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396875</wp:posOffset>
            </wp:positionH>
            <wp:positionV relativeFrom="page">
              <wp:posOffset>363220</wp:posOffset>
            </wp:positionV>
            <wp:extent cx="6763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328930</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57785</wp:posOffset>
            </wp:positionV>
            <wp:extent cx="20142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78" w:lineRule="exact"/>
        <w:rPr>
          <w:sz w:val="24"/>
          <w:szCs w:val="24"/>
          <w:color w:val="auto"/>
        </w:rPr>
      </w:pPr>
    </w:p>
    <w:p>
      <w:pPr>
        <w:ind w:left="5240"/>
        <w:spacing w:after="0"/>
        <w:rPr>
          <w:sz w:val="20"/>
          <w:szCs w:val="20"/>
          <w:color w:val="auto"/>
        </w:rPr>
      </w:pPr>
      <w:r>
        <w:rPr>
          <w:rFonts w:ascii="Arial" w:cs="Arial" w:eastAsia="Arial" w:hAnsi="Arial"/>
          <w:sz w:val="22"/>
          <w:szCs w:val="22"/>
          <w:b w:val="1"/>
          <w:bCs w:val="1"/>
          <w:color w:val="auto"/>
        </w:rPr>
        <w:t>Form 10-K</w:t>
      </w:r>
    </w:p>
    <w:p>
      <w:pPr>
        <w:spacing w:after="0" w:line="121" w:lineRule="exact"/>
        <w:rPr>
          <w:sz w:val="24"/>
          <w:szCs w:val="24"/>
          <w:color w:val="auto"/>
        </w:rPr>
      </w:pPr>
    </w:p>
    <w:p>
      <w:pPr>
        <w:ind w:left="1120" w:hanging="262"/>
        <w:spacing w:after="0"/>
        <w:tabs>
          <w:tab w:leader="none" w:pos="11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ANNUAL REPORT PURSUANT TO SECTION 13 OR 15(d) OF THE</w:t>
      </w:r>
    </w:p>
    <w:p>
      <w:pPr>
        <w:spacing w:after="0" w:line="20"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SECURITIES EXCHANGE ACT OF 1934</w:t>
      </w:r>
    </w:p>
    <w:p>
      <w:pPr>
        <w:spacing w:after="0" w:line="22"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For the Fiscal Year Ended March 30, 2025</w:t>
      </w:r>
    </w:p>
    <w:p>
      <w:pPr>
        <w:spacing w:after="0" w:line="100" w:lineRule="exact"/>
        <w:rPr>
          <w:sz w:val="24"/>
          <w:szCs w:val="24"/>
          <w:color w:val="auto"/>
        </w:rPr>
      </w:pPr>
    </w:p>
    <w:p>
      <w:pPr>
        <w:ind w:left="4120" w:right="3780" w:hanging="3262"/>
        <w:spacing w:after="0" w:line="298" w:lineRule="auto"/>
        <w:tabs>
          <w:tab w:leader="none" w:pos="1127" w:val="left"/>
        </w:tabs>
        <w:numPr>
          <w:ilvl w:val="0"/>
          <w:numId w:val="2"/>
        </w:numPr>
        <w:rPr>
          <w:rFonts w:ascii="MS PGothic" w:cs="MS PGothic" w:eastAsia="MS PGothic" w:hAnsi="MS PGothic"/>
          <w:sz w:val="21"/>
          <w:szCs w:val="21"/>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 w:lineRule="exact"/>
        <w:rPr>
          <w:rFonts w:ascii="MS PGothic" w:cs="MS PGothic" w:eastAsia="MS PGothic" w:hAnsi="MS PGothic"/>
          <w:sz w:val="21"/>
          <w:szCs w:val="21"/>
          <w:color w:val="auto"/>
          <w:highlight w:val="black"/>
        </w:rPr>
      </w:pPr>
    </w:p>
    <w:p>
      <w:pPr>
        <w:ind w:left="4580"/>
        <w:spacing w:after="0"/>
        <w:rPr>
          <w:rFonts w:ascii="MS PGothic" w:cs="MS PGothic" w:eastAsia="MS PGothic" w:hAnsi="MS PGothic"/>
          <w:sz w:val="21"/>
          <w:szCs w:val="21"/>
          <w:color w:val="auto"/>
          <w:highlight w:val="black"/>
        </w:rPr>
      </w:pPr>
      <w:r>
        <w:rPr>
          <w:rFonts w:ascii="Arial" w:cs="Arial" w:eastAsia="Arial" w:hAnsi="Arial"/>
          <w:sz w:val="18"/>
          <w:szCs w:val="18"/>
          <w:b w:val="1"/>
          <w:bCs w:val="1"/>
          <w:color w:val="auto"/>
        </w:rPr>
        <w:t>Commission File No.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128905</wp:posOffset>
            </wp:positionV>
            <wp:extent cx="20142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2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HAWKINS, INC.</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20"/>
          </w:cols>
          <w:pgMar w:left="320" w:top="709" w:right="359" w:bottom="1440" w:gutter="0" w:footer="0" w:header="0"/>
        </w:sectPr>
      </w:pPr>
    </w:p>
    <w:p>
      <w:pPr>
        <w:spacing w:after="0" w:line="41"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Minnesota</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41-0771293</w:t>
      </w:r>
    </w:p>
    <w:p>
      <w:pPr>
        <w:spacing w:after="0" w:line="42" w:lineRule="exact"/>
        <w:rPr>
          <w:sz w:val="24"/>
          <w:szCs w:val="24"/>
          <w:color w:val="auto"/>
        </w:rPr>
      </w:pPr>
    </w:p>
    <w:p>
      <w:pPr>
        <w:sectPr>
          <w:pgSz w:w="11900" w:h="16838" w:orient="portrait"/>
          <w:cols w:equalWidth="0" w:num="2">
            <w:col w:w="7540" w:space="720"/>
            <w:col w:w="2960"/>
          </w:cols>
          <w:pgMar w:left="320" w:top="709" w:right="359" w:bottom="1440" w:gutter="0" w:footer="0" w:header="0"/>
          <w:type w:val="continuous"/>
        </w:sectPr>
      </w:pPr>
    </w:p>
    <w:p>
      <w:pPr>
        <w:ind w:left="208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42" w:lineRule="exact"/>
        <w:rPr>
          <w:sz w:val="24"/>
          <w:szCs w:val="24"/>
          <w:color w:val="auto"/>
        </w:rPr>
      </w:pPr>
    </w:p>
    <w:p>
      <w:pPr>
        <w:sectPr>
          <w:pgSz w:w="11900" w:h="16838" w:orient="portrait"/>
          <w:cols w:equalWidth="0" w:num="2">
            <w:col w:w="6800" w:space="720"/>
            <w:col w:w="3700"/>
          </w:cols>
          <w:pgMar w:left="320" w:top="709" w:right="359" w:bottom="1440" w:gutter="0" w:footer="0" w:header="0"/>
          <w:type w:val="continuous"/>
        </w:sectPr>
      </w:pPr>
    </w:p>
    <w:p>
      <w:pPr>
        <w:ind w:left="1560"/>
        <w:spacing w:after="0"/>
        <w:rPr>
          <w:sz w:val="20"/>
          <w:szCs w:val="20"/>
          <w:color w:val="auto"/>
        </w:rPr>
      </w:pPr>
      <w:r>
        <w:rPr>
          <w:rFonts w:ascii="Arial" w:cs="Arial" w:eastAsia="Arial" w:hAnsi="Arial"/>
          <w:sz w:val="14"/>
          <w:szCs w:val="14"/>
          <w:b w:val="1"/>
          <w:bCs w:val="1"/>
          <w:color w:val="auto"/>
        </w:rPr>
        <w:t>2381 Rosegate, Roseville, 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55113</w:t>
      </w:r>
    </w:p>
    <w:p>
      <w:pPr>
        <w:spacing w:after="0" w:line="42" w:lineRule="exact"/>
        <w:rPr>
          <w:sz w:val="24"/>
          <w:szCs w:val="24"/>
          <w:color w:val="auto"/>
        </w:rPr>
      </w:pPr>
    </w:p>
    <w:p>
      <w:pPr>
        <w:sectPr>
          <w:pgSz w:w="11900" w:h="16838" w:orient="portrait"/>
          <w:cols w:equalWidth="0" w:num="2">
            <w:col w:w="7720" w:space="720"/>
            <w:col w:w="2780"/>
          </w:cols>
          <w:pgMar w:left="320" w:top="709" w:right="359" w:bottom="1440" w:gutter="0" w:footer="0" w:header="0"/>
          <w:type w:val="continuous"/>
        </w:sectPr>
      </w:pPr>
    </w:p>
    <w:p>
      <w:pPr>
        <w:ind w:left="154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109" w:lineRule="exact"/>
        <w:rPr>
          <w:sz w:val="24"/>
          <w:szCs w:val="24"/>
          <w:color w:val="auto"/>
        </w:rPr>
      </w:pPr>
    </w:p>
    <w:p>
      <w:pPr>
        <w:sectPr>
          <w:pgSz w:w="11900" w:h="16838" w:orient="portrait"/>
          <w:cols w:equalWidth="0" w:num="2">
            <w:col w:w="7580" w:space="720"/>
            <w:col w:w="2920"/>
          </w:cols>
          <w:pgMar w:left="320" w:top="709" w:right="35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(612) 331-6910</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1" w:lineRule="exact"/>
        <w:rPr>
          <w:sz w:val="24"/>
          <w:szCs w:val="24"/>
          <w:color w:val="auto"/>
        </w:rPr>
      </w:pPr>
    </w:p>
    <w:p>
      <w:pPr>
        <w:jc w:val="center"/>
        <w:ind w:right="140"/>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20"/>
          </w:cols>
          <w:pgMar w:left="320" w:top="709" w:right="359" w:bottom="1440" w:gutter="0" w:footer="0" w:header="0"/>
          <w:type w:val="continuous"/>
        </w:sectPr>
      </w:pPr>
    </w:p>
    <w:p>
      <w:pPr>
        <w:spacing w:after="0" w:line="42" w:lineRule="exact"/>
        <w:rPr>
          <w:sz w:val="24"/>
          <w:szCs w:val="24"/>
          <w:color w:val="auto"/>
        </w:rPr>
      </w:pPr>
    </w:p>
    <w:p>
      <w:pPr>
        <w:ind w:left="14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42" w:lineRule="exact"/>
        <w:rPr>
          <w:sz w:val="24"/>
          <w:szCs w:val="24"/>
          <w:color w:val="auto"/>
        </w:rPr>
      </w:pPr>
    </w:p>
    <w:p>
      <w:pPr>
        <w:sectPr>
          <w:pgSz w:w="11900" w:h="16838" w:orient="portrait"/>
          <w:cols w:equalWidth="0" w:num="3">
            <w:col w:w="4340" w:space="720"/>
            <w:col w:w="1920" w:space="720"/>
            <w:col w:w="3520"/>
          </w:cols>
          <w:pgMar w:left="320" w:top="709" w:right="359" w:bottom="1440" w:gutter="0" w:footer="0" w:header="0"/>
          <w:type w:val="continuous"/>
        </w:sectPr>
      </w:pPr>
    </w:p>
    <w:p>
      <w:pPr>
        <w:ind w:left="740"/>
        <w:spacing w:after="0"/>
        <w:rPr>
          <w:sz w:val="20"/>
          <w:szCs w:val="20"/>
          <w:color w:val="auto"/>
        </w:rPr>
      </w:pPr>
      <w:r>
        <w:rPr>
          <w:rFonts w:ascii="Arial" w:cs="Arial" w:eastAsia="Arial" w:hAnsi="Arial"/>
          <w:sz w:val="14"/>
          <w:szCs w:val="14"/>
          <w:color w:val="auto"/>
        </w:rPr>
        <w:t>Common Shares,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HWKN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42" w:lineRule="exact"/>
        <w:rPr>
          <w:sz w:val="24"/>
          <w:szCs w:val="24"/>
          <w:color w:val="auto"/>
        </w:rPr>
      </w:pPr>
    </w:p>
    <w:p>
      <w:pPr>
        <w:sectPr>
          <w:pgSz w:w="11900" w:h="16838" w:orient="portrait"/>
          <w:cols w:equalWidth="0" w:num="3">
            <w:col w:w="4680" w:space="720"/>
            <w:col w:w="2040" w:space="720"/>
            <w:col w:w="3060"/>
          </w:cols>
          <w:pgMar w:left="320" w:top="709" w:right="359" w:bottom="1440" w:gutter="0" w:footer="0" w:header="0"/>
          <w:type w:val="continuous"/>
        </w:sectPr>
      </w:pPr>
    </w:p>
    <w:p>
      <w:pPr>
        <w:jc w:val="center"/>
        <w:ind w:right="-19"/>
        <w:spacing w:after="0"/>
        <w:tabs>
          <w:tab w:leader="none" w:pos="140" w:val="left"/>
        </w:tabs>
        <w:rPr>
          <w:sz w:val="20"/>
          <w:szCs w:val="20"/>
          <w:color w:val="auto"/>
        </w:rPr>
      </w:pPr>
      <w:r>
        <w:rPr>
          <w:rFonts w:ascii="Arial" w:cs="Arial" w:eastAsia="Arial" w:hAnsi="Arial"/>
          <w:sz w:val="14"/>
          <w:szCs w:val="14"/>
          <w:b w:val="1"/>
          <w:bCs w:val="1"/>
          <w:color w:val="auto"/>
        </w:rPr>
        <w:t>Securities registered pursuant to Section 12(g) of the Act:</w:t>
        <w:tab/>
        <w:t>None</w:t>
      </w:r>
    </w:p>
    <w:p>
      <w:pPr>
        <w:sectPr>
          <w:pgSz w:w="11900" w:h="16838" w:orient="portrait"/>
          <w:cols w:equalWidth="0" w:num="1">
            <w:col w:w="11220"/>
          </w:cols>
          <w:pgMar w:left="320" w:top="709" w:right="359" w:bottom="1440" w:gutter="0" w:footer="0" w:header="0"/>
          <w:type w:val="continuous"/>
        </w:sectPr>
      </w:pPr>
    </w:p>
    <w:p>
      <w:pPr>
        <w:spacing w:after="0" w:line="185"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ectPr>
          <w:pgSz w:w="11900" w:h="16838" w:orient="portrait"/>
          <w:cols w:equalWidth="0" w:num="5">
            <w:col w:w="8700" w:space="180"/>
            <w:col w:w="260" w:space="80"/>
            <w:col w:w="160" w:space="180"/>
            <w:col w:w="200" w:space="100"/>
            <w:col w:w="1360"/>
          </w:cols>
          <w:pgMar w:left="320" w:top="709" w:right="359" w:bottom="1440" w:gutter="0" w:footer="0" w:header="0"/>
          <w:type w:val="continuous"/>
        </w:sectPr>
      </w:pPr>
    </w:p>
    <w:p>
      <w:pPr>
        <w:spacing w:after="0" w:line="3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0" w:lineRule="exact"/>
        <w:rPr>
          <w:sz w:val="24"/>
          <w:szCs w:val="24"/>
          <w:color w:val="auto"/>
        </w:rPr>
      </w:pPr>
    </w:p>
    <w:p>
      <w:pPr>
        <w:sectPr>
          <w:pgSz w:w="11900" w:h="16838" w:orient="portrait"/>
          <w:cols w:equalWidth="0" w:num="5">
            <w:col w:w="8800" w:space="180"/>
            <w:col w:w="260" w:space="80"/>
            <w:col w:w="160" w:space="180"/>
            <w:col w:w="200" w:space="100"/>
            <w:col w:w="1260"/>
          </w:cols>
          <w:pgMar w:left="320" w:top="709" w:right="359" w:bottom="1440" w:gutter="0" w:footer="0" w:header="0"/>
          <w:type w:val="continuous"/>
        </w:sectPr>
      </w:pPr>
    </w:p>
    <w:p>
      <w:pPr>
        <w:ind w:right="4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40" w:firstLine="324"/>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709" w:right="359" w:bottom="1440" w:gutter="0" w:footer="0" w:header="0"/>
          <w:type w:val="continuous"/>
        </w:sectPr>
      </w:pPr>
    </w:p>
    <w:p>
      <w:pPr>
        <w:spacing w:after="0" w:line="1" w:lineRule="exact"/>
        <w:rPr>
          <w:sz w:val="24"/>
          <w:szCs w:val="24"/>
          <w:color w:val="auto"/>
        </w:rPr>
      </w:pPr>
    </w:p>
    <w:p>
      <w:pPr>
        <w:ind w:left="2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158" w:lineRule="exact"/>
        <w:rPr>
          <w:sz w:val="24"/>
          <w:szCs w:val="24"/>
          <w:color w:val="auto"/>
        </w:rPr>
      </w:pPr>
    </w:p>
    <w:p>
      <w:pPr>
        <w:sectPr>
          <w:pgSz w:w="11900" w:h="16838" w:orient="portrait"/>
          <w:cols w:equalWidth="0" w:num="2">
            <w:col w:w="9060" w:space="720"/>
            <w:col w:w="1440"/>
          </w:cols>
          <w:pgMar w:left="320" w:top="709" w:right="359" w:bottom="1440" w:gutter="0" w:footer="0" w:header="0"/>
          <w:type w:val="continuous"/>
        </w:sectPr>
      </w:pPr>
    </w:p>
    <w:p>
      <w:pPr>
        <w:ind w:left="38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54" w:lineRule="exact"/>
        <w:rPr>
          <w:sz w:val="24"/>
          <w:szCs w:val="24"/>
          <w:color w:val="auto"/>
        </w:rPr>
      </w:pPr>
    </w:p>
    <w:p>
      <w:pPr>
        <w:sectPr>
          <w:pgSz w:w="11900" w:h="16838" w:orient="portrait"/>
          <w:cols w:equalWidth="0" w:num="2">
            <w:col w:w="8280" w:space="720"/>
            <w:col w:w="2220"/>
          </w:cols>
          <w:pgMar w:left="320" w:top="709" w:right="359" w:bottom="1440" w:gutter="0" w:footer="0" w:header="0"/>
          <w:type w:val="continuous"/>
        </w:sectPr>
      </w:pPr>
    </w:p>
    <w:p>
      <w:pPr>
        <w:ind w:left="902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1220"/>
          </w:cols>
          <w:pgMar w:left="320" w:top="709" w:right="359" w:bottom="1440" w:gutter="0" w:footer="0" w:header="0"/>
          <w:type w:val="continuous"/>
        </w:sectPr>
      </w:pPr>
    </w:p>
    <w:p>
      <w:pPr>
        <w:spacing w:after="0" w:line="228" w:lineRule="exact"/>
        <w:rPr>
          <w:sz w:val="24"/>
          <w:szCs w:val="24"/>
          <w:color w:val="auto"/>
        </w:rPr>
      </w:pPr>
    </w:p>
    <w:p>
      <w:pPr>
        <w:ind w:right="320" w:firstLine="324"/>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4" w:lineRule="exact"/>
        <w:rPr>
          <w:sz w:val="24"/>
          <w:szCs w:val="24"/>
          <w:color w:val="auto"/>
        </w:rPr>
      </w:pPr>
    </w:p>
    <w:p>
      <w:pPr>
        <w:ind w:right="2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1" w:lineRule="exact"/>
        <w:rPr>
          <w:sz w:val="24"/>
          <w:szCs w:val="24"/>
          <w:color w:val="auto"/>
        </w:rPr>
      </w:pPr>
    </w:p>
    <w:p>
      <w:pPr>
        <w:ind w:left="340"/>
        <w:spacing w:after="0" w:line="184" w:lineRule="exact"/>
        <w:tabs>
          <w:tab w:leader="none" w:pos="8580" w:val="left"/>
          <w:tab w:leader="none" w:pos="9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8" w:lineRule="exact"/>
        <w:rPr>
          <w:sz w:val="24"/>
          <w:szCs w:val="24"/>
          <w:color w:val="auto"/>
        </w:rPr>
      </w:pPr>
    </w:p>
    <w:p>
      <w:pPr>
        <w:ind w:right="60" w:firstLine="324"/>
        <w:spacing w:after="0" w:line="220"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ind w:right="400" w:firstLine="324"/>
        <w:spacing w:after="0" w:line="220"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4" w:lineRule="exact"/>
        <w:rPr>
          <w:sz w:val="24"/>
          <w:szCs w:val="24"/>
          <w:color w:val="auto"/>
        </w:rPr>
      </w:pPr>
    </w:p>
    <w:p>
      <w:pPr>
        <w:ind w:right="20" w:firstLine="324"/>
        <w:spacing w:after="0" w:line="265" w:lineRule="auto"/>
        <w:rPr>
          <w:sz w:val="20"/>
          <w:szCs w:val="20"/>
          <w:color w:val="auto"/>
        </w:rPr>
      </w:pPr>
      <w:r>
        <w:rPr>
          <w:rFonts w:ascii="Arial" w:cs="Arial" w:eastAsia="Arial" w:hAnsi="Arial"/>
          <w:sz w:val="16"/>
          <w:szCs w:val="16"/>
          <w:color w:val="auto"/>
        </w:rPr>
        <w:t>The aggregate market value of voting stock held by non-affiliates of the Registrant on September 27, 2024 (the last business day of the Registrant’s most recently completed second fiscal quarter) was approximately $2,519.6 million based upon the closing sale price for the Registrant’s common shares on that date as reported by The Nasdaq Stock Market LLC, excluding all shares held by officers and directors of the Registrant and by the Trustees of the Registrant’s Employee Stock Ownership Plan and Trust.</w:t>
      </w:r>
    </w:p>
    <w:p>
      <w:pPr>
        <w:spacing w:after="0" w:line="2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9, 2025, the Registrant had 20,800,012 shares of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72390</wp:posOffset>
            </wp:positionV>
            <wp:extent cx="20148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14855" cy="8890"/>
                    </a:xfrm>
                    <a:prstGeom prst="rect">
                      <a:avLst/>
                    </a:prstGeom>
                    <a:noFill/>
                  </pic:spPr>
                </pic:pic>
              </a:graphicData>
            </a:graphic>
          </wp:anchor>
        </w:drawing>
      </w:r>
    </w:p>
    <w:p>
      <w:pPr>
        <w:spacing w:after="0" w:line="24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Portions of our definitive Proxy Statement for the annual meeting of shareholders to be held July 30, 2025, are incorporated by reference in Part III of this</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62230</wp:posOffset>
            </wp:positionV>
            <wp:extent cx="67633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27940</wp:posOffset>
            </wp:positionV>
            <wp:extent cx="6763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ectPr>
          <w:pgSz w:w="11900" w:h="16838" w:orient="portrait"/>
          <w:cols w:equalWidth="0" w:num="1">
            <w:col w:w="11220"/>
          </w:cols>
          <w:pgMar w:left="320" w:top="709"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“expect,” “intend,” “plan,” “believe,” “seek,” “estimate,” “will” and similar expressions may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Except as required by law, we disclaim any intent or obligation to update any forward-looking statements, whether as a result of new information, future events or otherwise.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used in this Annual Report on Form 10-K, except where otherwise stated or indicated by the context, “Hawkins,” “we,” “us,” “the Company,” “our,” or “the Registrant” means Hawkins, Inc. References to "fiscal 2026" means our fiscal year ending March 29, 2026, “fiscal 2025” means our fiscal year ended March 30, 2025, “fiscal 2024” means our fiscal year ended March 31, 2024, and “fiscal 2023” means our fiscal year ended April 2,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20" w:type="dxa"/>
            <w:vAlign w:val="bottom"/>
            <w:gridSpan w:val="9"/>
          </w:tcPr>
          <w:p>
            <w:pPr>
              <w:jc w:val="center"/>
              <w:ind w:right="3640"/>
              <w:spacing w:after="0"/>
              <w:rPr>
                <w:sz w:val="20"/>
                <w:szCs w:val="20"/>
                <w:color w:val="auto"/>
              </w:rPr>
            </w:pPr>
            <w:r>
              <w:rPr>
                <w:rFonts w:ascii="Arial" w:cs="Arial" w:eastAsia="Arial" w:hAnsi="Arial"/>
                <w:sz w:val="18"/>
                <w:szCs w:val="18"/>
                <w:b w:val="1"/>
                <w:bCs w:val="1"/>
                <w:color w:val="auto"/>
                <w:w w:val="99"/>
              </w:rPr>
              <w:t>Hawkins, Inc.</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760" w:type="dxa"/>
            <w:vAlign w:val="bottom"/>
            <w:gridSpan w:val="11"/>
          </w:tcPr>
          <w:p>
            <w:pPr>
              <w:jc w:val="center"/>
              <w:ind w:right="3120"/>
              <w:spacing w:after="0"/>
              <w:rPr>
                <w:sz w:val="20"/>
                <w:szCs w:val="20"/>
                <w:color w:val="auto"/>
              </w:rPr>
            </w:pPr>
            <w:r>
              <w:rPr>
                <w:rFonts w:ascii="Arial" w:cs="Arial" w:eastAsia="Arial" w:hAnsi="Arial"/>
                <w:sz w:val="18"/>
                <w:szCs w:val="18"/>
                <w:b w:val="1"/>
                <w:bCs w:val="1"/>
                <w:color w:val="auto"/>
                <w:w w:val="99"/>
              </w:rPr>
              <w:t>Annual Report on Form 10-K</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700" w:type="dxa"/>
            <w:vAlign w:val="bottom"/>
            <w:gridSpan w:val="12"/>
          </w:tcPr>
          <w:p>
            <w:pPr>
              <w:jc w:val="center"/>
              <w:ind w:right="2180"/>
              <w:spacing w:after="0"/>
              <w:rPr>
                <w:sz w:val="20"/>
                <w:szCs w:val="20"/>
                <w:color w:val="auto"/>
              </w:rPr>
            </w:pPr>
            <w:r>
              <w:rPr>
                <w:rFonts w:ascii="Arial" w:cs="Arial" w:eastAsia="Arial" w:hAnsi="Arial"/>
                <w:sz w:val="18"/>
                <w:szCs w:val="18"/>
                <w:b w:val="1"/>
                <w:bCs w:val="1"/>
                <w:color w:val="auto"/>
                <w:w w:val="99"/>
              </w:rPr>
              <w:t>For the Fiscal Year Ended March 30, 2025</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gridSpan w:val="9"/>
            <w:vMerge w:val="restart"/>
          </w:tcPr>
          <w:p>
            <w:pPr>
              <w:jc w:val="center"/>
              <w:ind w:right="3680"/>
              <w:spacing w:after="0"/>
              <w:rPr>
                <w:sz w:val="20"/>
                <w:szCs w:val="20"/>
                <w:color w:val="auto"/>
              </w:rPr>
            </w:pPr>
            <w:r>
              <w:rPr>
                <w:rFonts w:ascii="Arial" w:cs="Arial" w:eastAsia="Arial" w:hAnsi="Arial"/>
                <w:sz w:val="18"/>
                <w:szCs w:val="18"/>
                <w:b w:val="1"/>
                <w:bCs w:val="1"/>
                <w:color w:val="auto"/>
                <w:w w:val="98"/>
              </w:rPr>
              <w:t>PART I</w:t>
            </w:r>
          </w:p>
        </w:tc>
        <w:tc>
          <w:tcPr>
            <w:tcW w:w="11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2"/>
        </w:trPr>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20" w:type="dxa"/>
            <w:vAlign w:val="bottom"/>
            <w:gridSpan w:val="9"/>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1.</w:t>
            </w:r>
          </w:p>
        </w:tc>
        <w:tc>
          <w:tcPr>
            <w:tcW w:w="89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Business</w:t>
            </w: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1A.</w:t>
            </w:r>
          </w:p>
        </w:tc>
        <w:tc>
          <w:tcPr>
            <w:tcW w:w="8940" w:type="dxa"/>
            <w:vAlign w:val="bottom"/>
            <w:gridSpan w:val="24"/>
          </w:tcPr>
          <w:p>
            <w:pPr>
              <w:spacing w:after="0" w:line="189" w:lineRule="exact"/>
              <w:rPr>
                <w:sz w:val="20"/>
                <w:szCs w:val="20"/>
                <w:color w:val="auto"/>
              </w:rPr>
            </w:pPr>
            <w:r>
              <w:rPr>
                <w:rFonts w:ascii="Arial" w:cs="Arial" w:eastAsia="Arial" w:hAnsi="Arial"/>
                <w:sz w:val="18"/>
                <w:szCs w:val="18"/>
                <w:color w:val="0000FF"/>
              </w:rPr>
              <w:t>Risk Factors</w:t>
            </w: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1B.</w:t>
            </w:r>
          </w:p>
        </w:tc>
        <w:tc>
          <w:tcPr>
            <w:tcW w:w="2240" w:type="dxa"/>
            <w:vAlign w:val="bottom"/>
            <w:gridSpan w:val="12"/>
            <w:shd w:val="clear" w:color="auto" w:fill="CCEEFF"/>
          </w:tcPr>
          <w:p>
            <w:pPr>
              <w:spacing w:after="0" w:line="189" w:lineRule="exact"/>
              <w:rPr>
                <w:sz w:val="20"/>
                <w:szCs w:val="20"/>
                <w:color w:val="auto"/>
              </w:rPr>
            </w:pPr>
            <w:r>
              <w:rPr>
                <w:rFonts w:ascii="Arial" w:cs="Arial" w:eastAsia="Arial" w:hAnsi="Arial"/>
                <w:sz w:val="18"/>
                <w:szCs w:val="18"/>
                <w:color w:val="0000FF"/>
                <w:w w:val="98"/>
              </w:rPr>
              <w:t>Unresolved Staff Comments</w:t>
            </w:r>
          </w:p>
        </w:tc>
        <w:tc>
          <w:tcPr>
            <w:tcW w:w="6700" w:type="dxa"/>
            <w:vAlign w:val="bottom"/>
            <w:gridSpan w:val="12"/>
            <w:shd w:val="clear" w:color="auto" w:fill="CCEEFF"/>
          </w:tcPr>
          <w:p>
            <w:pPr>
              <w:spacing w:after="0"/>
              <w:rPr>
                <w:sz w:val="16"/>
                <w:szCs w:val="16"/>
                <w:color w:val="auto"/>
              </w:rPr>
            </w:pP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1C.</w:t>
            </w:r>
          </w:p>
        </w:tc>
        <w:tc>
          <w:tcPr>
            <w:tcW w:w="2240" w:type="dxa"/>
            <w:vAlign w:val="bottom"/>
            <w:gridSpan w:val="12"/>
          </w:tcPr>
          <w:p>
            <w:pPr>
              <w:spacing w:after="0" w:line="189" w:lineRule="exact"/>
              <w:rPr>
                <w:sz w:val="20"/>
                <w:szCs w:val="20"/>
                <w:color w:val="auto"/>
              </w:rPr>
            </w:pPr>
            <w:r>
              <w:rPr>
                <w:rFonts w:ascii="Arial" w:cs="Arial" w:eastAsia="Arial" w:hAnsi="Arial"/>
                <w:sz w:val="18"/>
                <w:szCs w:val="18"/>
                <w:color w:val="0000FF"/>
              </w:rPr>
              <w:t>Cybersecurity</w:t>
            </w:r>
          </w:p>
        </w:tc>
        <w:tc>
          <w:tcPr>
            <w:tcW w:w="6700" w:type="dxa"/>
            <w:vAlign w:val="bottom"/>
            <w:gridSpan w:val="12"/>
          </w:tcPr>
          <w:p>
            <w:pPr>
              <w:spacing w:after="0"/>
              <w:rPr>
                <w:sz w:val="16"/>
                <w:szCs w:val="16"/>
                <w:color w:val="auto"/>
              </w:rPr>
            </w:pP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14</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2.</w:t>
            </w:r>
          </w:p>
        </w:tc>
        <w:tc>
          <w:tcPr>
            <w:tcW w:w="8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w w:val="97"/>
              </w:rPr>
              <w:t>Properties</w:t>
            </w:r>
          </w:p>
        </w:tc>
        <w:tc>
          <w:tcPr>
            <w:tcW w:w="8120" w:type="dxa"/>
            <w:vAlign w:val="bottom"/>
            <w:gridSpan w:val="20"/>
            <w:shd w:val="clear" w:color="auto" w:fill="CCEEFF"/>
          </w:tcPr>
          <w:p>
            <w:pPr>
              <w:spacing w:after="0"/>
              <w:rPr>
                <w:sz w:val="16"/>
                <w:szCs w:val="16"/>
                <w:color w:val="auto"/>
              </w:rPr>
            </w:pP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3.</w:t>
            </w:r>
          </w:p>
        </w:tc>
        <w:tc>
          <w:tcPr>
            <w:tcW w:w="8940" w:type="dxa"/>
            <w:vAlign w:val="bottom"/>
            <w:gridSpan w:val="24"/>
          </w:tcPr>
          <w:p>
            <w:pPr>
              <w:spacing w:after="0" w:line="189" w:lineRule="exact"/>
              <w:rPr>
                <w:sz w:val="20"/>
                <w:szCs w:val="20"/>
                <w:color w:val="auto"/>
              </w:rPr>
            </w:pPr>
            <w:r>
              <w:rPr>
                <w:rFonts w:ascii="Arial" w:cs="Arial" w:eastAsia="Arial" w:hAnsi="Arial"/>
                <w:sz w:val="18"/>
                <w:szCs w:val="18"/>
                <w:color w:val="0000FF"/>
              </w:rPr>
              <w:t>Legal Proceedings</w:t>
            </w: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4.</w:t>
            </w:r>
          </w:p>
        </w:tc>
        <w:tc>
          <w:tcPr>
            <w:tcW w:w="89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Disclosures</w:t>
            </w: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29"/>
        </w:trPr>
        <w:tc>
          <w:tcPr>
            <w:tcW w:w="1080" w:type="dxa"/>
            <w:vAlign w:val="bottom"/>
            <w:tcBorders>
              <w:top w:val="single" w:sz="8" w:color="CCEEFF"/>
            </w:tcBorders>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220" w:type="dxa"/>
            <w:vAlign w:val="bottom"/>
            <w:tcBorders>
              <w:top w:val="single" w:sz="8" w:color="CCEEFF"/>
            </w:tcBorders>
            <w:gridSpan w:val="9"/>
          </w:tcPr>
          <w:p>
            <w:pPr>
              <w:jc w:val="center"/>
              <w:ind w:right="3680"/>
              <w:spacing w:after="0"/>
              <w:rPr>
                <w:sz w:val="20"/>
                <w:szCs w:val="20"/>
                <w:color w:val="auto"/>
              </w:rPr>
            </w:pPr>
            <w:r>
              <w:rPr>
                <w:rFonts w:ascii="Arial" w:cs="Arial" w:eastAsia="Arial" w:hAnsi="Arial"/>
                <w:sz w:val="18"/>
                <w:szCs w:val="18"/>
                <w:b w:val="1"/>
                <w:bCs w:val="1"/>
                <w:color w:val="auto"/>
                <w:w w:val="96"/>
              </w:rPr>
              <w:t>PART II</w:t>
            </w:r>
          </w:p>
        </w:tc>
        <w:tc>
          <w:tcPr>
            <w:tcW w:w="9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8360" w:type="dxa"/>
            <w:vAlign w:val="bottom"/>
            <w:tcBorders>
              <w:bottom w:val="single" w:sz="8" w:color="0000FF"/>
            </w:tcBorders>
            <w:gridSpan w:val="23"/>
            <w:shd w:val="clear" w:color="auto" w:fill="CCEEFF"/>
          </w:tcPr>
          <w:p>
            <w:pPr>
              <w:spacing w:after="0" w:line="202" w:lineRule="exact"/>
              <w:rPr>
                <w:sz w:val="20"/>
                <w:szCs w:val="20"/>
                <w:color w:val="auto"/>
              </w:rPr>
            </w:pPr>
            <w:r>
              <w:rPr>
                <w:rFonts w:ascii="Arial" w:cs="Arial" w:eastAsia="Arial" w:hAnsi="Arial"/>
                <w:sz w:val="18"/>
                <w:szCs w:val="18"/>
                <w:color w:val="0000FF"/>
                <w:w w:val="99"/>
              </w:rPr>
              <w:t>Market for the Company’s Common Equity, Related Shareholder Matters, and Issuer Purchases of Equity</w:t>
            </w:r>
          </w:p>
        </w:tc>
        <w:tc>
          <w:tcPr>
            <w:tcW w:w="5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0000FF"/>
            </w:tcBorders>
            <w:gridSpan w:val="3"/>
            <w:shd w:val="clear" w:color="auto" w:fill="CCEEFF"/>
          </w:tcPr>
          <w:p>
            <w:pPr>
              <w:spacing w:after="0" w:line="182" w:lineRule="exact"/>
              <w:rPr>
                <w:sz w:val="20"/>
                <w:szCs w:val="20"/>
                <w:color w:val="auto"/>
              </w:rPr>
            </w:pPr>
            <w:r>
              <w:rPr>
                <w:rFonts w:ascii="Arial" w:cs="Arial" w:eastAsia="Arial" w:hAnsi="Arial"/>
                <w:sz w:val="18"/>
                <w:szCs w:val="18"/>
                <w:color w:val="0000FF"/>
                <w:w w:val="96"/>
              </w:rPr>
              <w:t>Securities</w:t>
            </w:r>
          </w:p>
        </w:tc>
        <w:tc>
          <w:tcPr>
            <w:tcW w:w="620" w:type="dxa"/>
            <w:vAlign w:val="bottom"/>
            <w:tcBorders>
              <w:bottom w:val="single" w:sz="8" w:color="CCEEFF"/>
            </w:tcBorders>
            <w:gridSpan w:val="4"/>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spacing w:after="0"/>
              <w:rPr>
                <w:sz w:val="18"/>
                <w:szCs w:val="18"/>
                <w:color w:val="auto"/>
              </w:rPr>
            </w:pPr>
          </w:p>
        </w:tc>
        <w:tc>
          <w:tcPr>
            <w:tcW w:w="1120" w:type="dxa"/>
            <w:vAlign w:val="bottom"/>
            <w:tcBorders>
              <w:bottom w:val="single" w:sz="8" w:color="CCEEFF"/>
            </w:tcBorders>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8"/>
        </w:trPr>
        <w:tc>
          <w:tcPr>
            <w:tcW w:w="10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6.</w:t>
            </w:r>
          </w:p>
        </w:tc>
        <w:tc>
          <w:tcPr>
            <w:tcW w:w="8940" w:type="dxa"/>
            <w:vAlign w:val="bottom"/>
            <w:gridSpan w:val="24"/>
          </w:tcPr>
          <w:p>
            <w:pPr>
              <w:spacing w:after="0" w:line="189" w:lineRule="exact"/>
              <w:rPr>
                <w:sz w:val="20"/>
                <w:szCs w:val="20"/>
                <w:color w:val="auto"/>
              </w:rPr>
            </w:pPr>
            <w:r>
              <w:rPr>
                <w:rFonts w:ascii="Arial" w:cs="Arial" w:eastAsia="Arial" w:hAnsi="Arial"/>
                <w:sz w:val="18"/>
                <w:szCs w:val="18"/>
                <w:color w:val="0000FF"/>
              </w:rPr>
              <w:t>Reserved</w:t>
            </w: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7.</w:t>
            </w:r>
          </w:p>
        </w:tc>
        <w:tc>
          <w:tcPr>
            <w:tcW w:w="89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7A.</w:t>
            </w:r>
          </w:p>
        </w:tc>
        <w:tc>
          <w:tcPr>
            <w:tcW w:w="7060" w:type="dxa"/>
            <w:vAlign w:val="bottom"/>
            <w:gridSpan w:val="20"/>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1880" w:type="dxa"/>
            <w:vAlign w:val="bottom"/>
            <w:gridSpan w:val="4"/>
          </w:tcPr>
          <w:p>
            <w:pPr>
              <w:spacing w:after="0"/>
              <w:rPr>
                <w:sz w:val="16"/>
                <w:szCs w:val="16"/>
                <w:color w:val="auto"/>
              </w:rPr>
            </w:pP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23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8.</w:t>
            </w:r>
          </w:p>
        </w:tc>
        <w:tc>
          <w:tcPr>
            <w:tcW w:w="372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w w:val="99"/>
              </w:rPr>
              <w:t>Financial Statements and Supplementary Data</w:t>
            </w:r>
          </w:p>
        </w:tc>
        <w:tc>
          <w:tcPr>
            <w:tcW w:w="5220" w:type="dxa"/>
            <w:vAlign w:val="bottom"/>
            <w:gridSpan w:val="9"/>
            <w:shd w:val="clear" w:color="auto" w:fill="CCEEFF"/>
          </w:tcPr>
          <w:p>
            <w:pPr>
              <w:spacing w:after="0"/>
              <w:rPr>
                <w:sz w:val="16"/>
                <w:szCs w:val="16"/>
                <w:color w:val="auto"/>
              </w:rPr>
            </w:pP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24</w:t>
            </w:r>
          </w:p>
        </w:tc>
        <w:tc>
          <w:tcPr>
            <w:tcW w:w="0" w:type="dxa"/>
            <w:vAlign w:val="bottom"/>
          </w:tcPr>
          <w:p>
            <w:pPr>
              <w:spacing w:after="0"/>
              <w:rPr>
                <w:sz w:val="1"/>
                <w:szCs w:val="1"/>
                <w:color w:val="auto"/>
              </w:rPr>
            </w:pPr>
          </w:p>
        </w:tc>
      </w:tr>
      <w:tr>
        <w:trPr>
          <w:trHeight w:val="21"/>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9.</w:t>
            </w:r>
          </w:p>
        </w:tc>
        <w:tc>
          <w:tcPr>
            <w:tcW w:w="8940" w:type="dxa"/>
            <w:vAlign w:val="bottom"/>
            <w:gridSpan w:val="24"/>
          </w:tcPr>
          <w:p>
            <w:pPr>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9A.</w:t>
            </w:r>
          </w:p>
        </w:tc>
        <w:tc>
          <w:tcPr>
            <w:tcW w:w="89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Controls and Procedures</w:t>
            </w: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9B.</w:t>
            </w:r>
          </w:p>
        </w:tc>
        <w:tc>
          <w:tcPr>
            <w:tcW w:w="1980" w:type="dxa"/>
            <w:vAlign w:val="bottom"/>
            <w:gridSpan w:val="11"/>
          </w:tcPr>
          <w:p>
            <w:pPr>
              <w:spacing w:after="0" w:line="189" w:lineRule="exact"/>
              <w:rPr>
                <w:sz w:val="20"/>
                <w:szCs w:val="20"/>
                <w:color w:val="auto"/>
              </w:rPr>
            </w:pPr>
            <w:r>
              <w:rPr>
                <w:rFonts w:ascii="Arial" w:cs="Arial" w:eastAsia="Arial" w:hAnsi="Arial"/>
                <w:sz w:val="18"/>
                <w:szCs w:val="18"/>
                <w:color w:val="0000FF"/>
              </w:rPr>
              <w:t>Other Information</w:t>
            </w:r>
          </w:p>
        </w:tc>
        <w:tc>
          <w:tcPr>
            <w:tcW w:w="6960" w:type="dxa"/>
            <w:vAlign w:val="bottom"/>
            <w:gridSpan w:val="13"/>
          </w:tcPr>
          <w:p>
            <w:pPr>
              <w:spacing w:after="0"/>
              <w:rPr>
                <w:sz w:val="16"/>
                <w:szCs w:val="16"/>
                <w:color w:val="auto"/>
              </w:rPr>
            </w:pP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9C.</w:t>
            </w:r>
          </w:p>
        </w:tc>
        <w:tc>
          <w:tcPr>
            <w:tcW w:w="5460" w:type="dxa"/>
            <w:vAlign w:val="bottom"/>
            <w:gridSpan w:val="18"/>
            <w:shd w:val="clear" w:color="auto" w:fill="CCEEFF"/>
          </w:tcPr>
          <w:p>
            <w:pPr>
              <w:spacing w:after="0" w:line="189" w:lineRule="exact"/>
              <w:rPr>
                <w:sz w:val="20"/>
                <w:szCs w:val="20"/>
                <w:color w:val="auto"/>
              </w:rPr>
            </w:pPr>
            <w:r>
              <w:rPr>
                <w:rFonts w:ascii="Arial" w:cs="Arial" w:eastAsia="Arial" w:hAnsi="Arial"/>
                <w:sz w:val="18"/>
                <w:szCs w:val="18"/>
                <w:color w:val="0000FF"/>
                <w:w w:val="99"/>
              </w:rPr>
              <w:t>Disclosure Regarding Foreign Jurisdictions That Prevent Inspections</w:t>
            </w:r>
          </w:p>
        </w:tc>
        <w:tc>
          <w:tcPr>
            <w:tcW w:w="3480" w:type="dxa"/>
            <w:vAlign w:val="bottom"/>
            <w:gridSpan w:val="6"/>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30"/>
        </w:trPr>
        <w:tc>
          <w:tcPr>
            <w:tcW w:w="1080" w:type="dxa"/>
            <w:vAlign w:val="bottom"/>
            <w:tcBorders>
              <w:top w:val="single" w:sz="8" w:color="CCEEFF"/>
            </w:tcBorders>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94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740" w:type="dxa"/>
            <w:vAlign w:val="bottom"/>
            <w:tcBorders>
              <w:top w:val="single" w:sz="8" w:color="0000FF"/>
            </w:tcBorders>
            <w:gridSpan w:val="3"/>
          </w:tcPr>
          <w:p>
            <w:pPr>
              <w:jc w:val="center"/>
              <w:ind w:right="180"/>
              <w:spacing w:after="0"/>
              <w:rPr>
                <w:sz w:val="20"/>
                <w:szCs w:val="20"/>
                <w:color w:val="auto"/>
              </w:rPr>
            </w:pPr>
            <w:r>
              <w:rPr>
                <w:rFonts w:ascii="Arial" w:cs="Arial" w:eastAsia="Arial" w:hAnsi="Arial"/>
                <w:sz w:val="18"/>
                <w:szCs w:val="18"/>
                <w:b w:val="1"/>
                <w:bCs w:val="1"/>
                <w:color w:val="auto"/>
                <w:w w:val="98"/>
              </w:rPr>
              <w:t>PART III</w:t>
            </w:r>
          </w:p>
        </w:tc>
        <w:tc>
          <w:tcPr>
            <w:tcW w:w="3480" w:type="dxa"/>
            <w:vAlign w:val="bottom"/>
            <w:tcBorders>
              <w:top w:val="single" w:sz="8" w:color="CCEEFF"/>
            </w:tcBorders>
            <w:gridSpan w:val="6"/>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10.</w:t>
            </w:r>
          </w:p>
        </w:tc>
        <w:tc>
          <w:tcPr>
            <w:tcW w:w="454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w w:val="99"/>
              </w:rPr>
              <w:t>Directors, Executive Officers, and Corporate Governance</w:t>
            </w:r>
          </w:p>
        </w:tc>
        <w:tc>
          <w:tcPr>
            <w:tcW w:w="4400" w:type="dxa"/>
            <w:vAlign w:val="bottom"/>
            <w:gridSpan w:val="8"/>
            <w:shd w:val="clear" w:color="auto" w:fill="CCEEFF"/>
          </w:tcPr>
          <w:p>
            <w:pPr>
              <w:spacing w:after="0"/>
              <w:rPr>
                <w:sz w:val="16"/>
                <w:szCs w:val="16"/>
                <w:color w:val="auto"/>
              </w:rPr>
            </w:pP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11.</w:t>
            </w:r>
          </w:p>
        </w:tc>
        <w:tc>
          <w:tcPr>
            <w:tcW w:w="4540" w:type="dxa"/>
            <w:vAlign w:val="bottom"/>
            <w:gridSpan w:val="16"/>
          </w:tcPr>
          <w:p>
            <w:pPr>
              <w:spacing w:after="0" w:line="189" w:lineRule="exact"/>
              <w:rPr>
                <w:sz w:val="20"/>
                <w:szCs w:val="20"/>
                <w:color w:val="auto"/>
              </w:rPr>
            </w:pPr>
            <w:r>
              <w:rPr>
                <w:rFonts w:ascii="Arial" w:cs="Arial" w:eastAsia="Arial" w:hAnsi="Arial"/>
                <w:sz w:val="18"/>
                <w:szCs w:val="18"/>
                <w:color w:val="0000FF"/>
              </w:rPr>
              <w:t>Executive Compensation</w:t>
            </w:r>
          </w:p>
        </w:tc>
        <w:tc>
          <w:tcPr>
            <w:tcW w:w="4400" w:type="dxa"/>
            <w:vAlign w:val="bottom"/>
            <w:gridSpan w:val="8"/>
          </w:tcPr>
          <w:p>
            <w:pPr>
              <w:spacing w:after="0"/>
              <w:rPr>
                <w:sz w:val="16"/>
                <w:szCs w:val="16"/>
                <w:color w:val="auto"/>
              </w:rPr>
            </w:pP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ITEM 12.</w:t>
            </w:r>
          </w:p>
        </w:tc>
        <w:tc>
          <w:tcPr>
            <w:tcW w:w="8020" w:type="dxa"/>
            <w:vAlign w:val="bottom"/>
            <w:tcBorders>
              <w:bottom w:val="single" w:sz="8" w:color="0000FF"/>
            </w:tcBorders>
            <w:gridSpan w:val="22"/>
            <w:shd w:val="clear" w:color="auto" w:fill="CCEEFF"/>
          </w:tcPr>
          <w:p>
            <w:pPr>
              <w:spacing w:after="0" w:line="182" w:lineRule="exact"/>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920" w:type="dxa"/>
            <w:vAlign w:val="bottom"/>
            <w:tcBorders>
              <w:bottom w:val="single" w:sz="8" w:color="CCEEFF"/>
            </w:tcBorders>
            <w:gridSpan w:val="2"/>
            <w:shd w:val="clear" w:color="auto" w:fill="CCEEFF"/>
          </w:tcPr>
          <w:p>
            <w:pPr>
              <w:spacing w:after="0"/>
              <w:rPr>
                <w:sz w:val="19"/>
                <w:szCs w:val="19"/>
                <w:color w:val="auto"/>
              </w:rPr>
            </w:pPr>
          </w:p>
        </w:tc>
        <w:tc>
          <w:tcPr>
            <w:tcW w:w="1120" w:type="dxa"/>
            <w:vAlign w:val="bottom"/>
            <w:tcBorders>
              <w:bottom w:val="single" w:sz="8" w:color="CCEEFF"/>
            </w:tcBorders>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8"/>
        </w:trPr>
        <w:tc>
          <w:tcPr>
            <w:tcW w:w="10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100" w:type="dxa"/>
            <w:vAlign w:val="bottom"/>
            <w:tcBorders>
              <w:top w:val="single" w:sz="8" w:color="CCEEFF"/>
            </w:tcBorders>
            <w:shd w:val="clear" w:color="auto" w:fill="0000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13.</w:t>
            </w:r>
          </w:p>
        </w:tc>
        <w:tc>
          <w:tcPr>
            <w:tcW w:w="8940" w:type="dxa"/>
            <w:vAlign w:val="bottom"/>
            <w:gridSpan w:val="24"/>
          </w:tcPr>
          <w:p>
            <w:pPr>
              <w:spacing w:after="0" w:line="189"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14.</w:t>
            </w:r>
          </w:p>
        </w:tc>
        <w:tc>
          <w:tcPr>
            <w:tcW w:w="89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Principal Accountant Fees and Services</w:t>
            </w: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30"/>
        </w:trPr>
        <w:tc>
          <w:tcPr>
            <w:tcW w:w="1080" w:type="dxa"/>
            <w:vAlign w:val="bottom"/>
            <w:tcBorders>
              <w:top w:val="single" w:sz="8" w:color="CCEEFF"/>
            </w:tcBorders>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94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5220" w:type="dxa"/>
            <w:vAlign w:val="bottom"/>
            <w:tcBorders>
              <w:top w:val="single" w:sz="8" w:color="CCEEFF"/>
            </w:tcBorders>
            <w:gridSpan w:val="9"/>
          </w:tcPr>
          <w:p>
            <w:pPr>
              <w:jc w:val="center"/>
              <w:ind w:right="3680"/>
              <w:spacing w:after="0"/>
              <w:rPr>
                <w:sz w:val="20"/>
                <w:szCs w:val="20"/>
                <w:color w:val="auto"/>
              </w:rPr>
            </w:pPr>
            <w:r>
              <w:rPr>
                <w:rFonts w:ascii="Arial" w:cs="Arial" w:eastAsia="Arial" w:hAnsi="Arial"/>
                <w:sz w:val="18"/>
                <w:szCs w:val="18"/>
                <w:b w:val="1"/>
                <w:bCs w:val="1"/>
                <w:color w:val="auto"/>
                <w:w w:val="98"/>
              </w:rPr>
              <w:t>PART IV</w:t>
            </w:r>
          </w:p>
        </w:tc>
        <w:tc>
          <w:tcPr>
            <w:tcW w:w="9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ITEM 15.</w:t>
            </w:r>
          </w:p>
        </w:tc>
        <w:tc>
          <w:tcPr>
            <w:tcW w:w="89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Exhibits and Financial Statement Schedules</w:t>
            </w:r>
          </w:p>
        </w:tc>
        <w:tc>
          <w:tcPr>
            <w:tcW w:w="11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51</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80" w:type="dxa"/>
            <w:vAlign w:val="bottom"/>
          </w:tcPr>
          <w:p>
            <w:pPr>
              <w:ind w:left="40"/>
              <w:spacing w:after="0" w:line="189" w:lineRule="exact"/>
              <w:rPr>
                <w:sz w:val="20"/>
                <w:szCs w:val="20"/>
                <w:color w:val="auto"/>
              </w:rPr>
            </w:pPr>
            <w:r>
              <w:rPr>
                <w:rFonts w:ascii="Arial" w:cs="Arial" w:eastAsia="Arial" w:hAnsi="Arial"/>
                <w:sz w:val="18"/>
                <w:szCs w:val="18"/>
                <w:color w:val="auto"/>
              </w:rPr>
              <w:t>ITEM 16.</w:t>
            </w:r>
          </w:p>
        </w:tc>
        <w:tc>
          <w:tcPr>
            <w:tcW w:w="1660" w:type="dxa"/>
            <w:vAlign w:val="bottom"/>
            <w:gridSpan w:val="9"/>
          </w:tcPr>
          <w:p>
            <w:pPr>
              <w:spacing w:after="0" w:line="189" w:lineRule="exact"/>
              <w:rPr>
                <w:sz w:val="20"/>
                <w:szCs w:val="20"/>
                <w:color w:val="auto"/>
              </w:rPr>
            </w:pPr>
            <w:r>
              <w:rPr>
                <w:rFonts w:ascii="Arial" w:cs="Arial" w:eastAsia="Arial" w:hAnsi="Arial"/>
                <w:sz w:val="18"/>
                <w:szCs w:val="18"/>
                <w:color w:val="0000FF"/>
                <w:w w:val="98"/>
              </w:rPr>
              <w:t>Form 10-K Summary</w:t>
            </w:r>
          </w:p>
        </w:tc>
        <w:tc>
          <w:tcPr>
            <w:tcW w:w="1840" w:type="dxa"/>
            <w:vAlign w:val="bottom"/>
            <w:gridSpan w:val="5"/>
          </w:tcPr>
          <w:p>
            <w:pPr>
              <w:spacing w:after="0"/>
              <w:rPr>
                <w:sz w:val="16"/>
                <w:szCs w:val="16"/>
                <w:color w:val="auto"/>
              </w:rPr>
            </w:pPr>
          </w:p>
        </w:tc>
        <w:tc>
          <w:tcPr>
            <w:tcW w:w="5440" w:type="dxa"/>
            <w:vAlign w:val="bottom"/>
            <w:gridSpan w:val="10"/>
          </w:tcPr>
          <w:p>
            <w:pPr>
              <w:spacing w:after="0"/>
              <w:rPr>
                <w:sz w:val="16"/>
                <w:szCs w:val="16"/>
                <w:color w:val="auto"/>
              </w:rPr>
            </w:pPr>
          </w:p>
        </w:tc>
        <w:tc>
          <w:tcPr>
            <w:tcW w:w="112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53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60" w:top="931"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leading water treatment and specialty ingredients company that formulates, manufactures, distributes, and blends products for our Water Treatment, Industrial and Health and Nutrition customers. We believe that we create value for our customers through superb service and support, quality products, personalized applications and trustworthy, creative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business in three segments: Water Treatment, Industrial, and Health and Nutrition.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Our Water Treatment Group specializes in providing chemicals, products, equipment, services and solutions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potable water, municipal and industrial wastewater, industrial process water, mainly non-residential swimming pool water and agricultural water. This group has the resources and flexibility to treat systems ranging in size from a single small well to a multi-million-gallon-per-day facility.</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group utilizes delivery routes operated by our employees who typically serve as route driver, salesperson and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We also believe that there are significant synergies between our Water Treatment and Industrial Groups that allow us to obtain a competitive cost position on many of the chemicals sold by the Water Treatment Group due to the large volumes of these chemicals purchased by our Industrial Group. In addition, our Water Treatment and Industrial groups share certain resources, which leverage fixed costs across both groups.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Water Treatment group operates out of 50 warehouses, primarily located in the eastern two-thirds of the United States, supplying products and services to customers in nearly all 50 states. We expect to continue to invest in existing and new branches to expand the group’s geographic coverage. Our Water Treatment Group has historically experienced higher sales during April to September, primarily due to a seasonal increase in chemicals used by municipal water treatment facilities and pools.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Our Industrial Group specializes in providing industrial chemicals, products and services to industries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agriculture, chemical processing, electronics, energy, food, pharmaceutical and plating. This group’s principal products are acids, alkalis and food and pharmaceutical-grade salts and ingredients.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Industrial Group:</w:t>
      </w:r>
    </w:p>
    <w:p>
      <w:pPr>
        <w:spacing w:after="0" w:line="252" w:lineRule="exact"/>
        <w:rPr>
          <w:sz w:val="20"/>
          <w:szCs w:val="20"/>
          <w:color w:val="auto"/>
        </w:rPr>
      </w:pPr>
    </w:p>
    <w:p>
      <w:pPr>
        <w:ind w:left="420" w:hanging="169"/>
        <w:spacing w:after="0" w:line="287" w:lineRule="auto"/>
        <w:tabs>
          <w:tab w:leader="none" w:pos="388"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Manufactures sodium hypochlorite (bleach), certain food and pharmaceutical-grade products, including liquid phosphates, lactates and other blended products, and agricultural products;</w:t>
      </w:r>
    </w:p>
    <w:p>
      <w:pPr>
        <w:spacing w:after="0" w:line="179" w:lineRule="exact"/>
        <w:rPr>
          <w:rFonts w:ascii="Arial" w:cs="Arial" w:eastAsia="Arial" w:hAnsi="Arial"/>
          <w:sz w:val="18"/>
          <w:szCs w:val="18"/>
          <w:color w:val="auto"/>
        </w:rPr>
      </w:pPr>
    </w:p>
    <w:p>
      <w:pPr>
        <w:ind w:left="420" w:hanging="169"/>
        <w:spacing w:after="0" w:line="287" w:lineRule="auto"/>
        <w:tabs>
          <w:tab w:leader="none" w:pos="38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Receives, stores and distributes various chemicals in bulk quantities, including liquid caustic soda, sulfuric acid, hydrochloric acid, urea, phosphoric acid, aqua ammonia and potassium hydroxide;</w:t>
      </w:r>
    </w:p>
    <w:p>
      <w:pPr>
        <w:spacing w:after="0" w:line="179" w:lineRule="exact"/>
        <w:rPr>
          <w:rFonts w:ascii="Arial" w:cs="Arial" w:eastAsia="Arial" w:hAnsi="Arial"/>
          <w:sz w:val="18"/>
          <w:szCs w:val="18"/>
          <w:color w:val="auto"/>
        </w:rPr>
      </w:pPr>
    </w:p>
    <w:p>
      <w:pPr>
        <w:ind w:left="420" w:hanging="169"/>
        <w:spacing w:after="0" w:line="287" w:lineRule="auto"/>
        <w:tabs>
          <w:tab w:leader="none" w:pos="38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Repackages water treatment chemicals for our Water Treatment Group and bulk industrial chemicals to sell in smaller quantities to our customers; and</w:t>
      </w:r>
    </w:p>
    <w:p>
      <w:pPr>
        <w:spacing w:after="0" w:line="179" w:lineRule="exact"/>
        <w:rPr>
          <w:rFonts w:ascii="Arial" w:cs="Arial" w:eastAsia="Arial" w:hAnsi="Arial"/>
          <w:sz w:val="18"/>
          <w:szCs w:val="18"/>
          <w:color w:val="auto"/>
        </w:rPr>
      </w:pPr>
    </w:p>
    <w:p>
      <w:pPr>
        <w:ind w:left="380" w:hanging="129"/>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Performs custom blending of chemicals according to customer formulas and specifications.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group’s sales are concentrated primarily in the central United States, while the group sells food and pharmaceutical products, as well as some agricultural products, nationally. The Industrial Group relies on a specially trained sales staff that works directly with customers on their specific needs. The group conducts its business primarily through manufacturing locations and terminal operations. Agricultural sales within this group tend to be seasonal, with higher sales during the typical planting season of March through June given our concentration in the upper Midwest.</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Our Health and Nutrition Group specializes in providing ingredient distribution, processing and formulation</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manufacturers of nutraceutical, functional food and beverage, personal care, dietary supplement and other nutritional food, health and wellness products. This group offers a diverse product portfolio including minerals, vitamins and amino acids, excipients, joint products, botanicals and herbs, sweeteners and enzymes.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The Health and Nutrition Group relies on a specially trained sales staff that works directly with customers on their specific needs. The group’s extensive product portfolio, combined with value-added services, including product formulation, sourcing, distribution, processing and blending, positions this group as a one-stop ingredient solutions provider to its customers. The group also follows rigorous quality control and compliance processes to provide reliable, high-quality products to its customers. The group operates out of facilities in California and New York, and its products are sold nationally and, in certain cases, internationally.</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Raw Materials. </w:t>
      </w:r>
      <w:r>
        <w:rPr>
          <w:rFonts w:ascii="Arial" w:cs="Arial" w:eastAsia="Arial" w:hAnsi="Arial"/>
          <w:sz w:val="18"/>
          <w:szCs w:val="18"/>
          <w:color w:val="auto"/>
        </w:rPr>
        <w:t>We have numerous suppliers, including many of the major chemical producers in the United States. We source our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nutrition ingredients from a wide array of domestic and international vendors. We typically have distributorship agreements or supply contracts with our suppliers that are periodically renewed. We believe that most of the products we purchase can be obtained from alternative sources should existing relationships be terminated. We are dependent upon the availability of our raw materials. While we believe that we have adequate sources of supply for our raw material and product requirements, we cannot be sure that supplies will be consistently available in the future. In the event that certain raw materials become generally unavailable, suppliers may extend lead times or limit or cut off the supply of materials to us. As a result, we may not be able to supply or manufacture products for our customers.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Our intellectual property portfolio is of economic importance to our business. When appropriate, we have pursued,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continue to pursue, patents covering our products. We have also obtained certain trademarks for our products to distinguish them from our competitors’ products. We regard many of the formulas, information and processes that we generate and use in the conduct of our business as proprietary and protectable under applicable copyright, patent, trademark, trade secret and unfair competition laws.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Customer Concentration. </w:t>
      </w:r>
      <w:r>
        <w:rPr>
          <w:rFonts w:ascii="Arial" w:cs="Arial" w:eastAsia="Arial" w:hAnsi="Arial"/>
          <w:sz w:val="18"/>
          <w:szCs w:val="18"/>
          <w:color w:val="auto"/>
        </w:rPr>
        <w:t>In fiscal 2025, none of our customers accounted for 10% or more of our total sales.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We operate in a competitive industry and compete with many producers, distributors and sales agents offering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to substantially all of the products we offer. Many of our competitors are larger than we are and may have greater financial resources, although no one competitor is dominant in all of the markets we serve. We compete by offering quality products with outstanding customer service at competitive prices coupled with value-added services or product formulation where needed. Because of our long-standing relationships with many of our suppliers, we are often able to leverage those relationships to obtain products when supplies are limited or to obtain competitive pricing.</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Working Capital. </w:t>
      </w:r>
      <w:r>
        <w:rPr>
          <w:rFonts w:ascii="Arial" w:cs="Arial" w:eastAsia="Arial" w:hAnsi="Arial"/>
          <w:sz w:val="18"/>
          <w:szCs w:val="18"/>
          <w:color w:val="auto"/>
        </w:rPr>
        <w:t>Due to the nature of our operations, which includes purchases of large quantities of bulk chemicals, the timing of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can result in significant changes in working capital and the resulting operating cash flow. Historically, our cash requirements for working capital increase during the period from March through November as caustic soda inventory levels increase with most of our barges received during this period.</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Regulatory Matters. </w:t>
      </w:r>
      <w:r>
        <w:rPr>
          <w:rFonts w:ascii="Arial" w:cs="Arial" w:eastAsia="Arial" w:hAnsi="Arial"/>
          <w:sz w:val="18"/>
          <w:szCs w:val="18"/>
          <w:color w:val="auto"/>
        </w:rPr>
        <w:t>We are subject to numerous federal, state and local environmental, health and safety laws and regulations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jurisdictions in which we operate, including laws and regulations relating to the management, storage, transportation and disposal of chemicals and wastes; product regulation; air, water and soil contamination; and the investigation and cleanup of any spills or releases that may result from our management, handling, storage, sale, or transportation of chemicals and other products. In addition, societal concerns regarding the safety of chemicals in commerce and their potential impact on the environment have resulted in a growing trend towards increasing levels of product safety and environmental protection regulations. These concerns have led to, and could continue to result in, more stringent regulatory intervention by governmental authorities.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we operate a fleet of approximately 400 commercial vehicles, primarily in our Water Treatment Group, which are highly regulated, including by the U.S. Department of Transportation (“DOT”). The DOT governs transportation matters, including authorization to engage in motor carrier service, including the necessary permits to conduct our businesses, equipment operation, and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The manufacture, packaging, labeling, advertising, promotion, distribution and sale of our agricultural, food, pharmaceutical and health and nutrition products are subject to regulation by numerous national and local governmental agencies in the United States and other countries. The primary regulatory bodies in the United States are the Food and Drug Administration (the “FDA”), the Environmental Protection Agency, the United States Department of Agriculture and the Federal Trade Commission, and we are also subject to similar regulators in other countries. In particular, the FDA’s current good manufacturing practices (“GMPs”) describe policies and procedures designed to ensure that nutraceuticals, pharmaceuticals and dietary supplements are produced in a quality manner, do not contain contaminants or impurities, and are accurately labeled and cover the manufacturing, packaging, labeling and storing of products, with requirements for quality control, design and construction of manufacturing plants, testing of ingredients and final products, record keeping, and complaints processes.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Further information related to government regulation applicable to our business is included in this Annual Report on Form 10-K, in Part I, Item 1A - Risk Factors.</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Human Capital. </w:t>
      </w:r>
      <w:r>
        <w:rPr>
          <w:rFonts w:ascii="Arial" w:cs="Arial" w:eastAsia="Arial" w:hAnsi="Arial"/>
          <w:sz w:val="18"/>
          <w:szCs w:val="18"/>
          <w:color w:val="auto"/>
        </w:rPr>
        <w:t>Our team is a key to our success and we are committed to creating a workplace that attracts top talent, develops leaders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drives performance on behalf of our customers and shareholders.</w:t>
      </w:r>
    </w:p>
    <w:p>
      <w:pPr>
        <w:spacing w:after="0" w:line="18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strive to recruit the best people for the job regardless of race, color, nationality, gender, age, disability, sexual orientation or any other status protected by law. It is our policy to comply fully with all applicable laws relating to discrimination in the workplace and we are committed to advancing an inclusive, collaborative and respectful culture.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health and safety of our employees is our highest priority. We work to ensure our employees have a thorough understanding of health and safety precautions that need to be taken in all business functions. Specific safety initiatives include accident prevention work, improving process controls, safety training, safety committees, safety audits, incident investigation and improvement measures.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strive to provide employees with competitive wages commensurate with their skill levels, experience, knowledge and the regional market. Full-time employees are eligible for health, dental and vision insurance, paid and unpaid leaves, 401(K) plan, retirement plans, life and disability/accident coverage and our employee assistance program.</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30, 2025, we had 1,035 employees across the United States, of which 1,031 were full-time employees. Approximately 45% of our employees were female or racially and ethnically diverse, and approximately 9% were covered by a collective bargaining agreement. Of the eight members of our Board of Directors, two are female, six are male, one is Asian American and seven are white.</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Available Information. </w:t>
      </w:r>
      <w:r>
        <w:rPr>
          <w:rFonts w:ascii="Arial" w:cs="Arial" w:eastAsia="Arial" w:hAnsi="Arial"/>
          <w:sz w:val="18"/>
          <w:szCs w:val="18"/>
          <w:color w:val="auto"/>
        </w:rPr>
        <w:t>Our Internet address is www.hawkinsinc.com. We have made available, free of charge, our Annual Reports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Quarterly Reports on Form 10-Q, Current Reports on Form 8-K, and, if applicable, amendments to those reports, as soon as reasonably practicable after we electronically file these materials with, or furnish them to, the Securities and Exchange Commission ("SEC").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 The SEC also maintains an internet site that contains reports, proxy and information statements, and other information regarding our company at http://www.sec.gov.</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current executive officers, their ages and offices held, are set forth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Name</w:t>
            </w:r>
          </w:p>
        </w:tc>
        <w:tc>
          <w:tcPr>
            <w:tcW w:w="2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Age</w:t>
            </w:r>
          </w:p>
        </w:tc>
        <w:tc>
          <w:tcPr>
            <w:tcW w:w="634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Office</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Patrick H. Hawkins</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19"/>
                <w:szCs w:val="19"/>
                <w:color w:val="auto"/>
              </w:rPr>
            </w:pPr>
          </w:p>
        </w:tc>
        <w:tc>
          <w:tcPr>
            <w:tcW w:w="6340" w:type="dxa"/>
            <w:vAlign w:val="bottom"/>
            <w:gridSpan w:val="3"/>
          </w:tcPr>
          <w:p>
            <w:pPr>
              <w:ind w:left="5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P. Oldenkamp</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52</w:t>
            </w:r>
          </w:p>
        </w:tc>
        <w:tc>
          <w:tcPr>
            <w:tcW w:w="520" w:type="dxa"/>
            <w:vAlign w:val="bottom"/>
            <w:shd w:val="clear" w:color="auto" w:fill="CCEEFF"/>
          </w:tcPr>
          <w:p>
            <w:pPr>
              <w:spacing w:after="0"/>
              <w:rPr>
                <w:sz w:val="19"/>
                <w:szCs w:val="19"/>
                <w:color w:val="auto"/>
              </w:rPr>
            </w:pPr>
          </w:p>
        </w:tc>
        <w:tc>
          <w:tcPr>
            <w:tcW w:w="6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30"/>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Richard G. Erstad</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61</w:t>
            </w:r>
          </w:p>
        </w:tc>
        <w:tc>
          <w:tcPr>
            <w:tcW w:w="520" w:type="dxa"/>
            <w:vAlign w:val="bottom"/>
          </w:tcPr>
          <w:p>
            <w:pPr>
              <w:spacing w:after="0"/>
              <w:rPr>
                <w:sz w:val="19"/>
                <w:szCs w:val="19"/>
                <w:color w:val="auto"/>
              </w:rPr>
            </w:pPr>
          </w:p>
        </w:tc>
        <w:tc>
          <w:tcPr>
            <w:tcW w:w="6340" w:type="dxa"/>
            <w:vAlign w:val="bottom"/>
            <w:gridSpan w:val="3"/>
          </w:tcPr>
          <w:p>
            <w:pPr>
              <w:ind w:left="520"/>
              <w:spacing w:after="0"/>
              <w:rPr>
                <w:sz w:val="20"/>
                <w:szCs w:val="20"/>
                <w:color w:val="auto"/>
              </w:rPr>
            </w:pPr>
            <w:r>
              <w:rPr>
                <w:rFonts w:ascii="Arial" w:cs="Arial" w:eastAsia="Arial" w:hAnsi="Arial"/>
                <w:sz w:val="18"/>
                <w:szCs w:val="18"/>
                <w:color w:val="auto"/>
              </w:rPr>
              <w:t>Vice President, General Counsel and Secretary</w:t>
            </w:r>
          </w:p>
        </w:tc>
      </w:tr>
      <w:tr>
        <w:trPr>
          <w:trHeight w:val="230"/>
        </w:trPr>
        <w:tc>
          <w:tcPr>
            <w:tcW w:w="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Drew M. Grahek</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55</w:t>
            </w:r>
          </w:p>
        </w:tc>
        <w:tc>
          <w:tcPr>
            <w:tcW w:w="520" w:type="dxa"/>
            <w:vAlign w:val="bottom"/>
            <w:shd w:val="clear" w:color="auto" w:fill="CCEEFF"/>
          </w:tcPr>
          <w:p>
            <w:pPr>
              <w:spacing w:after="0"/>
              <w:rPr>
                <w:sz w:val="19"/>
                <w:szCs w:val="19"/>
                <w:color w:val="auto"/>
              </w:rPr>
            </w:pPr>
          </w:p>
        </w:tc>
        <w:tc>
          <w:tcPr>
            <w:tcW w:w="6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Vice President — Operations</w:t>
            </w:r>
          </w:p>
        </w:tc>
      </w:tr>
      <w:tr>
        <w:trPr>
          <w:trHeight w:val="229"/>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Greg A. Jones</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9"/>
                <w:szCs w:val="19"/>
                <w:color w:val="auto"/>
              </w:rPr>
            </w:pPr>
          </w:p>
        </w:tc>
        <w:tc>
          <w:tcPr>
            <w:tcW w:w="6340" w:type="dxa"/>
            <w:vAlign w:val="bottom"/>
            <w:gridSpan w:val="3"/>
          </w:tcPr>
          <w:p>
            <w:pPr>
              <w:ind w:left="520"/>
              <w:spacing w:after="0"/>
              <w:rPr>
                <w:sz w:val="20"/>
                <w:szCs w:val="20"/>
                <w:color w:val="auto"/>
              </w:rPr>
            </w:pPr>
            <w:r>
              <w:rPr>
                <w:rFonts w:ascii="Arial" w:cs="Arial" w:eastAsia="Arial" w:hAnsi="Arial"/>
                <w:sz w:val="18"/>
                <w:szCs w:val="18"/>
                <w:color w:val="auto"/>
              </w:rPr>
              <w:t>Vice President — Food and Health Sciences</w:t>
            </w:r>
          </w:p>
        </w:tc>
      </w:tr>
      <w:tr>
        <w:trPr>
          <w:trHeight w:val="230"/>
        </w:trPr>
        <w:tc>
          <w:tcPr>
            <w:tcW w:w="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A. Lange</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55</w:t>
            </w:r>
          </w:p>
        </w:tc>
        <w:tc>
          <w:tcPr>
            <w:tcW w:w="520" w:type="dxa"/>
            <w:vAlign w:val="bottom"/>
            <w:shd w:val="clear" w:color="auto" w:fill="CCEEFF"/>
          </w:tcPr>
          <w:p>
            <w:pPr>
              <w:spacing w:after="0"/>
              <w:rPr>
                <w:sz w:val="19"/>
                <w:szCs w:val="19"/>
                <w:color w:val="auto"/>
              </w:rPr>
            </w:pPr>
          </w:p>
        </w:tc>
        <w:tc>
          <w:tcPr>
            <w:tcW w:w="6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Vice President — Water Treatment Group</w:t>
            </w:r>
          </w:p>
        </w:tc>
      </w:tr>
      <w:tr>
        <w:trPr>
          <w:trHeight w:val="230"/>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David J. Mangine</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19"/>
                <w:szCs w:val="19"/>
                <w:color w:val="auto"/>
              </w:rPr>
            </w:pPr>
          </w:p>
        </w:tc>
        <w:tc>
          <w:tcPr>
            <w:tcW w:w="6340" w:type="dxa"/>
            <w:vAlign w:val="bottom"/>
            <w:gridSpan w:val="3"/>
          </w:tcPr>
          <w:p>
            <w:pPr>
              <w:ind w:left="520"/>
              <w:spacing w:after="0"/>
              <w:rPr>
                <w:sz w:val="20"/>
                <w:szCs w:val="20"/>
                <w:color w:val="auto"/>
              </w:rPr>
            </w:pPr>
            <w:r>
              <w:rPr>
                <w:rFonts w:ascii="Arial" w:cs="Arial" w:eastAsia="Arial" w:hAnsi="Arial"/>
                <w:sz w:val="18"/>
                <w:szCs w:val="18"/>
                <w:color w:val="auto"/>
              </w:rPr>
              <w:t>Vice President — Industrial Solutions</w:t>
            </w:r>
          </w:p>
        </w:tc>
      </w:tr>
      <w:tr>
        <w:trPr>
          <w:trHeight w:val="229"/>
        </w:trPr>
        <w:tc>
          <w:tcPr>
            <w:tcW w:w="2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Shirley A. Rozeboom</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63</w:t>
            </w:r>
          </w:p>
        </w:tc>
        <w:tc>
          <w:tcPr>
            <w:tcW w:w="520" w:type="dxa"/>
            <w:vAlign w:val="bottom"/>
            <w:shd w:val="clear" w:color="auto" w:fill="CCEEFF"/>
          </w:tcPr>
          <w:p>
            <w:pPr>
              <w:spacing w:after="0"/>
              <w:rPr>
                <w:sz w:val="19"/>
                <w:szCs w:val="19"/>
                <w:color w:val="auto"/>
              </w:rPr>
            </w:pPr>
          </w:p>
        </w:tc>
        <w:tc>
          <w:tcPr>
            <w:tcW w:w="6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Vice President — Health and Nutrition</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i w:val="1"/>
          <w:iCs w:val="1"/>
          <w:color w:val="auto"/>
        </w:rPr>
        <w:t xml:space="preserve">Patrick H. Hawkins </w:t>
      </w:r>
      <w:r>
        <w:rPr>
          <w:rFonts w:ascii="Arial" w:cs="Arial" w:eastAsia="Arial" w:hAnsi="Arial"/>
          <w:sz w:val="18"/>
          <w:szCs w:val="18"/>
          <w:color w:val="auto"/>
        </w:rPr>
        <w:t>has been our Chief Executive Officer and President and member of our board since 2011. Mr. Hawkins has held the</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of President since 2010. He joined the Company in 1992 and served as the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Jeffrey P. Oldenkamp </w:t>
      </w:r>
      <w:r>
        <w:rPr>
          <w:rFonts w:ascii="Arial" w:cs="Arial" w:eastAsia="Arial" w:hAnsi="Arial"/>
          <w:sz w:val="18"/>
          <w:szCs w:val="18"/>
          <w:color w:val="auto"/>
        </w:rPr>
        <w:t>has been our Executive Vice President, Chief Financial Officer and Treasurer since October 2021. Mr. Oldenkamp</w:t>
      </w:r>
      <w:r>
        <w:rPr>
          <w:rFonts w:ascii="Arial" w:cs="Arial" w:eastAsia="Arial" w:hAnsi="Arial"/>
          <w:sz w:val="18"/>
          <w:szCs w:val="18"/>
          <w:i w:val="1"/>
          <w:iCs w:val="1"/>
          <w:color w:val="auto"/>
        </w:rPr>
        <w:t xml:space="preserve"> </w:t>
      </w:r>
      <w:r>
        <w:rPr>
          <w:rFonts w:ascii="Arial" w:cs="Arial" w:eastAsia="Arial" w:hAnsi="Arial"/>
          <w:sz w:val="18"/>
          <w:szCs w:val="18"/>
          <w:color w:val="auto"/>
        </w:rPr>
        <w:t>joined Hawkins in May 2017 and assumed the role of Chief Financial Officer, Vice President and Treasurer in June 2017. Prior to joining Hawkins, Mr. Oldenkamp was with MTS Systems Corporation, a supplier of high-performance test systems and sensors, where he served as Chief Financial Officer from 2015 to May 2017 and as Vice President of Finance for the MTS Test business from 2014 to 2015, and with Nilfisk-Advance, Inc., a global manufacturer of professional cleaning equipment, where he served as Americas Operations Chief Financial Officer and Vice President from 2012 to 2014.</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Richard G. Erstad </w:t>
      </w:r>
      <w:r>
        <w:rPr>
          <w:rFonts w:ascii="Arial" w:cs="Arial" w:eastAsia="Arial" w:hAnsi="Arial"/>
          <w:sz w:val="18"/>
          <w:szCs w:val="18"/>
          <w:color w:val="auto"/>
        </w:rPr>
        <w:t>has been our Vice President, General Counsel and Secretary since 2008. Mr. Erstad was General Counsel and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of BUCA, Inc., a 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Drew M. Grahek </w:t>
      </w:r>
      <w:r>
        <w:rPr>
          <w:rFonts w:ascii="Arial" w:cs="Arial" w:eastAsia="Arial" w:hAnsi="Arial"/>
          <w:sz w:val="18"/>
          <w:szCs w:val="18"/>
          <w:color w:val="auto"/>
        </w:rPr>
        <w:t>has been our Vice President - Operations since September 2018. Prior to joining Hawkins, Mr. Grahek was Adjunct Faculty</w:t>
      </w:r>
      <w:r>
        <w:rPr>
          <w:rFonts w:ascii="Arial" w:cs="Arial" w:eastAsia="Arial" w:hAnsi="Arial"/>
          <w:sz w:val="18"/>
          <w:szCs w:val="18"/>
          <w:i w:val="1"/>
          <w:iCs w:val="1"/>
          <w:color w:val="auto"/>
        </w:rPr>
        <w:t xml:space="preserve"> </w:t>
      </w:r>
      <w:r>
        <w:rPr>
          <w:rFonts w:ascii="Arial" w:cs="Arial" w:eastAsia="Arial" w:hAnsi="Arial"/>
          <w:sz w:val="18"/>
          <w:szCs w:val="18"/>
          <w:color w:val="auto"/>
        </w:rPr>
        <w:t>at the University of Minnesota College of Continuing Education and a Business Administrator in the Archdiocese of St. Paul and Minneapolis from June 2017 to June 2018; Director of Service Operations and Supply Chain with Ulta Beauty, Inc. from April 2016 to June 2017; and Director of Stores with Field and Stream Outdoor Stores, a division of Dick’s Sporting Goods, Inc. from July 2015 to April 2016. Previously, he spent a total of 23 years at Target Corporation in a variety of operations, merchandising and property management positions.</w:t>
      </w:r>
    </w:p>
    <w:p>
      <w:pPr>
        <w:spacing w:after="0" w:line="19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i w:val="1"/>
          <w:iCs w:val="1"/>
          <w:color w:val="auto"/>
        </w:rPr>
        <w:t xml:space="preserve">Greg A. Jones </w:t>
      </w:r>
      <w:r>
        <w:rPr>
          <w:rFonts w:ascii="Arial" w:cs="Arial" w:eastAsia="Arial" w:hAnsi="Arial"/>
          <w:sz w:val="18"/>
          <w:szCs w:val="18"/>
          <w:color w:val="auto"/>
        </w:rPr>
        <w:t>has been our Vice President - Food &amp; Health Sciences since April 2025. Prior to attaining this position, Mr. Jones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our as Vice President of Business since April 2024. Prior to joining Hawkins, Mr. Jones was a Global General Manager and Vice President for Kerry Taste &amp; Nutrition, a global manufacturer of specialized food ingredients, from 2019-2024; and with Winpak, a global manufacturer of high barrier packaging and equipment, where he served as U.S. Director of Sales from 2017-2019 and U.S. Manager of sales from 2010-2017.</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Douglas A. Lange </w:t>
      </w:r>
      <w:r>
        <w:rPr>
          <w:rFonts w:ascii="Arial" w:cs="Arial" w:eastAsia="Arial" w:hAnsi="Arial"/>
          <w:sz w:val="18"/>
          <w:szCs w:val="18"/>
          <w:color w:val="auto"/>
        </w:rPr>
        <w:t>has been our Vice President - Water Treatment Group since June 2020. Prior to attaining this position, Mr. Lange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as General Manager and Product Development Manager for the Water Treatment Group after joining the company in January 2019. Prior to joining the Company, Mr. Lange was with H.B. Fuller Company, a global supplier of special adhesives, where he served as Global Marketing Manager and Product Manager for specialty markets in electronics and wood products from 2011 to January 2019. Mr. Lange served in various roles in the specialty adhesives market for a total of 21 years prior to joining the Company.</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David J. Mangine </w:t>
      </w:r>
      <w:r>
        <w:rPr>
          <w:rFonts w:ascii="Arial" w:cs="Arial" w:eastAsia="Arial" w:hAnsi="Arial"/>
          <w:sz w:val="18"/>
          <w:szCs w:val="18"/>
          <w:color w:val="auto"/>
        </w:rPr>
        <w:t>has been our Vice President - Industrial Group since 2021. Prior to attaining this position, Mr. Mangine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Sales Manager from 2011 to 2021, after joining Hawkins in 2000 as an Account Manager.</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Shirley A. Rozeboom </w:t>
      </w:r>
      <w:r>
        <w:rPr>
          <w:rFonts w:ascii="Arial" w:cs="Arial" w:eastAsia="Arial" w:hAnsi="Arial"/>
          <w:sz w:val="18"/>
          <w:szCs w:val="18"/>
          <w:color w:val="auto"/>
        </w:rPr>
        <w:t>has been our Vice President - Health and Nutrition since 2019. Prior to attaining this position, Ms. Rozeboom held the</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of Senior Vice President of Sales for Stauber from 2012 to 2019, Director of Sales from 2008 to 2012 and Account Executive from 2000 to 2008.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carefully consider the following material factors regarding risks relating to an investment in our securities and when reading the information, including the financial information, contained in this Annual Report on Form 10-K. Shareholders are cautioned that these and other factors may affect future performance and cause actual results to differ materially from those that may be anticipated.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AND REPUTATIONAL RISKS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environment and face significant competition and price pressure.</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a highly competitive industry and compete with producers, manufacturers, distributors and sales agents offering products equivalent to substantially all of the products we offer. Competition is based on several key criteria, including product price, product performance, product quality, product availability and security of supply, breadth of product offerings, geographic reach, responsiveness of product development in cooperation with customers, technical expertise and customer service. Many of our competitors are larger than we are and may have greater financial resources, more product offerings and a broader geographic reach. As a result, these competitors may be able to offer a broader array of products to a larger geographic area and may be better able than us to withstand changes in conditions within our industry, changes in the prices and availability of raw materials and changes in general economic conditions as well as be able to introduce innovative products that reduce demand for or the profit from our products. Additionally, competitors’ pricing decisions could compel us to decrease our prices, which could adversely affect our margins and profitability. Our ability to maintain or increase our profitability would be dependent upon our ability to offset competitive decreases in the prices and margins of our products by improving production efficiency, investing in infrastructure to reduce freight costs, identifying and selling higher margin products, providing higher levels of technical expertise and customer service, and improving existing products through innovation and research and development. If we are unable to maintain our profitability or competitive position, we could lose market share to our competitors and experience reduced profitability.</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businesses expose us to potential product liability claims and recalls, which could adversely affect our financial condition and performance.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repackaging, blending, mixing and distribution of products by us, including chemical products and products used in food or food ingredients or with medical, pharmaceutical or dietary supplement applications, involve an inherent risk of exposure to product liability claims, product recalls, product seizures and related adverse publicity, including, without limitation, claims for exposure to our products, spills or release of our products, personal injuries, food-related claims and property damage or environmental claims. A product liability claim, judgment or recall against our customers could also result in substantial and unexpected expenditures for us, affect consumer confidence in our products and divert management’s attention from other responsibilities. Although we maintain product liability insurance, there can be no assurance that the type or level of coverage is adequate or that we will be able to continue to maintain our existing insurance or obtain comparable insurance at a reasonable cost, if at all. A product recall or a partially or completely uninsured judgment against us could have a material adverse effect on our business, financial condition and results of operations.</w:t>
      </w:r>
    </w:p>
    <w:p>
      <w:pPr>
        <w:spacing w:after="0" w:line="21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Changes in our customers’ needs or failure of our products to meet customers’ requirements could adversely affect our sales and profitability.</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products are used for a broad range of applications by our customers. Changes in our customers’ product needs or processes, or reductions in demand for their end products, may enable or require our customers to reduce or eliminate consumption of the products that we provide. Customers may also find alternative materials or processes that no longer require our products. Consequently, it is important that we develop new products to replace the sales of products that mature and decline in use.</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products provide important performance attributes to our customers’ products. If our products fail to meet the customers’ requirements or comply with applicable laws or regulations, perform in a manner inconsistent with the customers’ expectations, or have a shorter useful life than required, a customer could seek replacement of the product or damages for costs incurred as a result of the product failure. A successful claim or series of claims against us could have a material adverse effect on our financial condition and results of operations and could result in a loss of one or more customers. Reductions in demand for our products could adversely affect our sales and financial results and result in facility 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jc w:val="both"/>
        <w:spacing w:after="0" w:line="294" w:lineRule="auto"/>
        <w:rPr>
          <w:sz w:val="20"/>
          <w:szCs w:val="20"/>
          <w:color w:val="auto"/>
        </w:rPr>
      </w:pPr>
      <w:r>
        <w:rPr>
          <w:rFonts w:ascii="Arial" w:cs="Arial" w:eastAsia="Arial" w:hAnsi="Arial"/>
          <w:sz w:val="18"/>
          <w:szCs w:val="18"/>
          <w:b w:val="1"/>
          <w:bCs w:val="1"/>
          <w:i w:val="1"/>
          <w:iCs w:val="1"/>
          <w:color w:val="auto"/>
        </w:rPr>
        <w:t>Adverse publicity or negative public perception regarding particular ingredients or products could adversely affect the financial performance of those portions of our business.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Purchasing decisions made by consumers of products that contain our ingredients may be affected by adverse publicity or negative public perception regarding particular ingredients or products, such as fluoride, other chemicals used in food, or industries in general, such as the dietary supplement industry. This negative public perception may include publicity regarding the risks, efficacy, legality or quality of particular ingredients or products in general or of other companies or our products or ingredients specifically. Negative public perception may also arise from regulatory investigations, regardless of whether those investigations involve us, or negative statements made to the public. We are highly dependent upon consumers’ perception of the safety and quality of products that contain our ingredients as well as similar products distributed by other companies. Thus, the mere assertion that such products may be harmful could have a material adverse effect on us, regardless of whether these reports are scientifically supported. Publicity related to dietary supplements or food ingredients may also result in increased regulatory scrutiny of our industry. Adverse publicity may have a material adverse effect on our business, financial condition, results of operations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critical data and technology systems could materially affect our operations.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Information technology system failures, network disruptions and breaches of data security due to internal or external factors including phishing or cyber-attacks could disrupt our operations by causing delays or cancellation of customer orders, impede the manufacture or shipment of products or cause standard business processes to become ineffective, resulting in the unintentional disclosure of information or damage to our reputation. While we have taken steps to address these concerns by implementing network security and internal control measures, including employee training, comprehensive monitoring of our networks and systems, maintenance of backup and protective systems and disaster recovery and incident response plans, our employees, systems, networks, products, facilities and services remain vulnerable to phishing attacks and cyber-assault, and, as such, there can be no assurance that a system failure, network disruption or data security breach will not have a material adverse effect on our business, financial condition, operating results or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INDUSTRY</w:t>
      </w:r>
    </w:p>
    <w:p>
      <w:pPr>
        <w:spacing w:after="0" w:line="25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Fluctuations in the prices and availability of our raw materials, which may be cyclical in nature, could have a material adverse effect on our operations and the margins we receive on sales of our products.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experience regular and recurring fluctuations in the pricing of our raw materials. Those fluctuations can be significant and occur rapidly. The cyclicality of commodity markets, such as the market for caustic soda, primarily results from changes in the balance between supply and demand and the level of general economic activity. In addition, tariffs imposed by the United States or other countries could substantially impact the price or supply of raw materials. We cannot predict whether the markets for our raw materials will favorably impact or negatively impact the margins we can realize.</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prices we pay for our principal chemical raw materials generally lag the market prices of the underlying raw material. The cost of inventory we have on hand, particularly inventories of our bulk commodity chemicals where we have significant volumes stored at our facilities, generally will lag the current market pricing of such inventory. The pricing within our supply contracts generally adjusts quarterly or monthly. While we attempt to maintain competitive pricing and stable margin dollars, the potential variance in our cost of inventory from the current market pricing can cause significant volatility in our margins realized.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also dependent upon the availability of our raw materials. In the event that raw materials are in short supply or unavailable, raw material suppliers may extend lead times or limit or cut off supplies. As a result, we may not be able to supply or manufacture products for some or all of our customers. Constraints on the supply or delivery of critical raw materials could disrupt our operations and adversely affect the performance of our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9" w:name="page10"/>
    <w:bookmarkEnd w:id="9"/>
    <w:p>
      <w:pPr>
        <w:jc w:val="both"/>
        <w:spacing w:after="0" w:line="294" w:lineRule="auto"/>
        <w:rPr>
          <w:sz w:val="20"/>
          <w:szCs w:val="20"/>
          <w:color w:val="auto"/>
        </w:rPr>
      </w:pPr>
      <w:r>
        <w:rPr>
          <w:rFonts w:ascii="Arial" w:cs="Arial" w:eastAsia="Arial" w:hAnsi="Arial"/>
          <w:sz w:val="18"/>
          <w:szCs w:val="18"/>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our products is affected by general economic conditions. A decline in general economic or business conditions in the industries served by our customers, whether caused by inflation, monetary policy, import or export restrictions or delays, tariffs, or otherwise, could have a material adverse effect on our businesses. Although we sell to areas traditionally considered non-cyclical, such as water treatment, food products and health and nutritional ingredients, many of our customers are in businesses that are cyclical in nature, such as the industrial manufacturing and energy industries which include the ethanol and agriculture industries. Downturns in these industries could adversely affect our sales and our financial results by affecting demand for and pricing of our products.</w:t>
      </w:r>
    </w:p>
    <w:p>
      <w:pPr>
        <w:spacing w:after="0" w:line="211"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subject to hazards common to chemical manufacturing, blending, storage, handling and transportation, including explosions, fires, severe weather, natural disasters, mechanical failure, unscheduled downtime, transportation interruptions, traffic accidents involving our delivery vehicles, derailments,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or the absence of personnel due to pandemics or other disasters at any of our facilities, due to any of these hazards, may make it impossible for us to make sales to our customers and may result in a negative public or political reaction. Many of our facilities are near significant residential populations, which increases the risk of negative public or political reaction should an environmental issue occur and could lead to adverse land use or other regulatory actions that could limit our ability to grow or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problems at any of our facilities could result in significant unexpected costs.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federal, state and local environmental regulations regarding the ownership of real property and the operations conducted on real property. Under various federal, state and local laws, ordinances and regulations, we may own or operate real property or may have arranged for the disposal or treatment of hazardous or toxic substances at a property and, therefore, may become liable for the costs of removal or remediation of certain hazardous substances released on or in our property or disposed of by us, as well as certain other potential costs which could relate to hazardous or toxic substances (including governmental fines and injuries to persons and property). Such liability may be imposed whether or not we knew of, or were responsible for, the presence of these hazardous or toxic substances. Further, future changes in environmental laws or regulations may require additional investment in capital equipment or the implementation of additional compliance programs in the future. The cost of investigation, remediation or removal of such substances may be substantial.</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conduct of our operations, we have handled and do handle materials that are considered hazardous, toxic or volatile under federal, state and local laws. The potential for the accidental release of such products cannot be completely eliminated. In addition, we operate or own facilities located on or near real property that was formerly owned and operated by others. These properties may have been used in ways that involved hazardous materials. Contaminants may migrate from, within or through any such property, which may give rise to claims against us. Third parties who are responsible for contamination may not have funds, or may not make funds available when needed, to pay remediation costs imposed upon us jointly with them under environmental laws and regulations.</w:t>
      </w: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Water Treatment Group and our agricultural product sales within our Industrial Group are subject to seasonality and weather conditions, which could adversely affect our results of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Water Treatment Group has historically experienced higher sales during April to September, primarily due to a seasonal increase in chemicals used by municipal water treatment facilities and pools. Our agricultural product sales within our Industrial Group are also seasonal, primarily corresponding with the planting season. Demand in both of these areas is also affected by weather conditions, as either higher or lower than normal precipitation or temperatures may affect water usage and the timing and the amount of consumption of our products. We cannot assure you that seasonality or fluctuating weather conditions will not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OPERATIONAL RISKS</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Disruptions within our supply chain have negatively impacted, and could continue to negatively impact, our production, financial condition and results of operations.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been, and could continue to be, adversely affected by disruptions within our supply chain and transportation network. The raw materials we need are transported by truck, rail, barge or ship by third-party providers. The costs of transporting our products or necessary raw materials could be negatively affected by factors outside of our control, including rail service interruptions or rate increases, extreme weather events, tariffs, charges placed on incoming vessels or railcars, rising fuel costs and capacity constraints. In recent years,</w:t>
      </w:r>
    </w:p>
    <w:p>
      <w:pPr>
        <w:jc w:val="both"/>
        <w:spacing w:after="0" w:line="226" w:lineRule="auto"/>
        <w:rPr>
          <w:sz w:val="20"/>
          <w:szCs w:val="20"/>
          <w:color w:val="auto"/>
        </w:rPr>
      </w:pPr>
      <w:r>
        <w:rPr>
          <w:rFonts w:ascii="Arial" w:cs="Arial" w:eastAsia="Arial" w:hAnsi="Arial"/>
          <w:sz w:val="18"/>
          <w:szCs w:val="18"/>
          <w:color w:val="auto"/>
        </w:rPr>
        <w:t>unprecedented congestion in ocean shipping adversely impacted the reliability of our imported raw materials, and transport driver shortages have caused extended lead times for domestic shipments. In addition, rail shipments can be unreliable, with significant delays in service and</w:t>
      </w:r>
    </w:p>
    <w:p>
      <w:pPr>
        <w:spacing w:after="0" w:line="236" w:lineRule="auto"/>
        <w:rPr>
          <w:sz w:val="20"/>
          <w:szCs w:val="20"/>
          <w:color w:val="auto"/>
        </w:rPr>
      </w:pPr>
      <w:r>
        <w:rPr>
          <w:rFonts w:ascii="Arial" w:cs="Arial" w:eastAsia="Arial" w:hAnsi="Arial"/>
          <w:sz w:val="18"/>
          <w:szCs w:val="18"/>
          <w:color w:val="auto"/>
        </w:rPr>
        <w:t>increased costs. The impacts of high-profile derailments could further degrade service levels and cause railroads to increase costs.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Significant delays or increased costs relating to transportation could materially affect our financial condition and results of operations.</w:t>
      </w:r>
    </w:p>
    <w:p>
      <w:pPr>
        <w:spacing w:after="0" w:line="2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Similar supply chain issues have impacted and could continue to impact both our suppliers and our customers. The supply of our necessary raw materials could be interrupted due to shortages of raw materials, effects of economic, political or financial market conditions on a supplier's operations, labor disputes or weather conditions affecting products or shipments, transportation disruptions, natural disasters, outbreaks of disease, information system disruptions or other reasons beyond our control. Similar disruptions at our customers could reduce demand for our products, reducing our sales and profitability. Product shortages or delays in deliveries, along with other factors such as price inflation and higher transportation costs, have also resulted in price increases from our suppliers. We may be unable to pass these price increases on to our customers, which could erode our profit margins. These supply chain constraints, increased product costs and inflationary pressures could continue or escalate in the future, which would have an adverse impact on our business and results of operations.</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are highly dependent upon transportation infrastructure to ship and receive our products and delays in these shipments could adversely affect our results of operations.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maintain a number of owned trucks and trailers, we rely heavily upon transportation provided by third parties (including common carriers, barge companies, rail companies and trans-ocean cargo companies) to deliver products to us and to our customers. Our access to third-party transportation is not guaranteed, and we may be unable to transport our products in a timely manner, or at all, in certain circumstances, or at economically attractive rates. Disruptions in transportation are common, are often out of our control, and can happen suddenly and without warning. Rail limitations, such as limitations in rail capacity, availability of railcars, workforce shortages, threats of strikes, derailments, embargoes and adverse weather conditions have disrupted or delayed rail shipments in the past and could do so in the future. Barge shipments are delayed or impossible under certain circumstances, including during times of high or low water levels, when waterways are frozen and when locks and dams are inoperable. The availability and reliability of truck transportation have been negatively impacted by a number of factors, including limited availability of qualified drivers and equipment, limitations on drivers’ hours of service and failures of critical infrastructure, such as bridges and rail lines. The volumes handled by, and operating challenges at, ocean ports have at times been volatile and can delay the receipt of goods or cause the cost of shipping goods to be more expensive. Our failure to ship or receive products in a timely and efficient manner could have a material adverse effect on our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impact on our businesses.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the specialized and technical nature of our businesses,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6" w:right="339" w:bottom="1440" w:gutter="0" w:footer="0" w:header="0"/>
        </w:sectPr>
      </w:pPr>
    </w:p>
    <w:bookmarkStart w:id="11" w:name="page12"/>
    <w:bookmarkEnd w:id="11"/>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may not be able to successfully consummate future acquisitions or dispositions or integrate acquisitions into our business, which could result in unanticipated expenses and losses.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In addition, we may seek to divest of businesses that are underperforming or not core to our future business. The expense incurred in consummating transactions, the time it takes to integrate an acquisition or our failure to integrate businesses successfully could result in unanticipated expenses and losses. Furthermore, we may not be able to realize the anticipated benefits from acquisitions.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businesses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businesses are subject to risks stemming from natural disasters or other extraordinary events outside of our control, which could interrupt our production and adversely affect our results of operations.</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Natural disasters have the potential of interrupting our operations and damaging our properties, which could adversely affect our businesses. Flooding of the Mississippi River has temporarily shifted the Company’s terminal operations out of its buildings four times since the spring of 2010, including most recently the spring of 2019. We can give no assurance that flooding or other natural disasters will not recur or that there will not be material damage or interruption to our operations in the future from such disasters.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Chemical-related assets may be at greater risk of future terrorist attacks than other possible targets in the United States. With the expiration of the federal law that imposed site security requirements, various states have started to explore their own security requirements, which may not be uniform and compliance with such varied regulations may increase our overhead expenses. Federal regulations have also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or via certain modes of transportation could adversely affect the efficiency of our logistical operations. Broader restrictions on hazardous material movements could lead to additional investment and could change where and what products we provide.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occurrence of extraordinary events, including future terrorist attacks, wars, global health developments and pandemics,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208"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businesses could experience substantial effects from tariffs or changes in international trade policies that could adversely affect our results of operations.</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New or increased tariffs or other trade barriers imposed by governments, including the United States, could dramatically increase costs and delivery times within our supply chain. Certain of our business lines, such as our health and nutrition products, are dependent upon the import of key raw materials from a wide variety of international sources. In addition, many domestic suppliers rely on imported raw materials or parts for their production. Tariffs or other trade barriers could adversely affect our ability to source and import raw materials effectively, the cost of import and domestic products and our relative position compared to competitors that may not be adversely impacted to the same extent, whether due to exclusive domestic sources or alignment with favorable jurisdictions. Our domestic suppliers, who may not be directly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impacted by tariffs or other trade barriers, may also opportunistically increase prices or experience shortages in supply as competitors seek switch to domestic suppliers. Additionally, uncertainty inspired by the threat of changes in international trade policy could delay or reduce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demand for our products. We are unable to accurately predict the duration and extent to which tariffs may impact our businesses.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renew our leases of land where four of our operations facilities reside.</w:t>
      </w:r>
    </w:p>
    <w:p>
      <w:pPr>
        <w:sectPr>
          <w:pgSz w:w="11900" w:h="16838" w:orient="portrait"/>
          <w:cols w:equalWidth="0" w:num="1">
            <w:col w:w="11240"/>
          </w:cols>
          <w:pgMar w:left="320" w:top="9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type w:val="continuous"/>
        </w:sectPr>
      </w:pPr>
    </w:p>
    <w:bookmarkStart w:id="12" w:name="page13"/>
    <w:bookmarkEnd w:id="12"/>
    <w:p>
      <w:pPr>
        <w:jc w:val="both"/>
        <w:spacing w:after="0" w:line="254" w:lineRule="auto"/>
        <w:rPr>
          <w:sz w:val="20"/>
          <w:szCs w:val="20"/>
          <w:color w:val="auto"/>
        </w:rPr>
      </w:pPr>
      <w:r>
        <w:rPr>
          <w:rFonts w:ascii="Arial" w:cs="Arial" w:eastAsia="Arial" w:hAnsi="Arial"/>
          <w:sz w:val="18"/>
          <w:szCs w:val="18"/>
          <w:color w:val="auto"/>
        </w:rPr>
        <w:t>We lease the land where our three main terminals are located and where another significant manufacturing plant is located. These leases, including all renewal periods, have expiration dates from 2025 to 2044, one of which with an annual renewal period. The failure to secure extended lease terms on any one of these facilities may have a material adverse impact on our business, as they are where a portion of our chemicals are manufactured and where the majority of our bulk chemicals are stored. While we can make no assurances, based on historical experience and anticipated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option to either maintain the property or remove the property at our expense. The fourth lease provides that we turn any property remaining on the land over to the lessor for them to maintain or remove at their expense. The cost to relocate our operations could have a material adverse effect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LEGAL AND REGULATORY RISKS</w:t>
      </w:r>
    </w:p>
    <w:p>
      <w:pPr>
        <w:spacing w:after="0" w:line="25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Environmental, health and safety, transportation and storage laws and regulations cause us to incur substantial costs and may subject us to future liabilities and risks.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federal, state and local environmental, health, safety and land use laws and regulations in the jurisdictions in which we operate, including the management, storage, transportation and disposal of chemicals and wastes; product regulation; air water and soil contamination; land use, fire code and zoning; and the investigation and cleanup of any spills or releases that may result from our management, handling, storage, sale, or transportation of chemicals and other products. The nature of our business exposes us to risks of liability under these laws and regulations. Ongoing compliance with such laws and regulations is an important consideration for us and we invest substantial capital and incur significant operating costs in our compliance efforts. In addition, societal concerns regarding the safety of chemicals in commerce and their potential impact on the environment have resulted in a growing trend towards increasing levels of product safety and environmental protection regulations and restrictions on the locations and operations of chemical facilities. These concerns have led to, and could continue to result in, more stringent regulatory intervention by governmental authorities. In addition, these concerns could influence public perceptions, impact the commercial viability of the products we sell and increase the costs to comply with increasingly complex regulations, which could have a negative impact on our business, financial condition and results of operations.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operate a fleet of approximately 400 commercial vehicles, primarily in our Water Treatment Group, which are highly regulated, including by the DOT. The DOT governs transportation matters including authorization to engage in motor carrier service, including the necessary permits to conduct our businesses, equipment operation, and safety. We are audited periodically by the DOT to ensure that we are in compliance with various safety, hazardous materials, hours-of-service, and other rules and regulations. If we were found to be out of compliance, the DOT could severely restrict or otherwise impact our operations, which could have a material adverse effect on our operations as a whole, including our results of operations and cash flows.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violate applicable laws or regulations, in addition to being required to correct such violations, we could be held liable in administrative, civil or criminal proceedings for substantial fines and other sanctions that could disrupt, limit or halt our operations, which could have a material adverse effect on our operations as a whole, including our results of operations and cash flows. Liabilities associated with the investigation and cleanup of releases of hazardous substances, as well as personal injury, property damages or natural resource damages arising out of such releases of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been, and may in the future be, subject to claims relating to exposure to hazardous materials and the associated liabilities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14" w:name="page15"/>
    <w:bookmarkEnd w:id="14"/>
    <w:p>
      <w:pPr>
        <w:jc w:val="both"/>
        <w:spacing w:after="0" w:line="272" w:lineRule="auto"/>
        <w:rPr>
          <w:sz w:val="20"/>
          <w:szCs w:val="20"/>
          <w:color w:val="auto"/>
        </w:rPr>
      </w:pPr>
      <w:r>
        <w:rPr>
          <w:rFonts w:ascii="Arial" w:cs="Arial" w:eastAsia="Arial" w:hAnsi="Arial"/>
          <w:sz w:val="18"/>
          <w:szCs w:val="18"/>
          <w:b w:val="1"/>
          <w:bCs w:val="1"/>
          <w:i w:val="1"/>
          <w:iCs w:val="1"/>
          <w:color w:val="auto"/>
        </w:rPr>
        <w:t>Many of our products, particularly our food, pharmaceutical and health and nutrition products are subject to government regulation, both in the United States and abroad, which could increase our costs significantly and limit or prevent the sale of such products.</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manufacture, packaging, labeling, advertising, promotion, distribution and sale of many of our products, but our food, pharmaceutical, pesticide and health and nutrition products in particular, are subject to regulation by numerous national and local governmental agencies in the United States and other countries. The primary regulatory bodies in the United States are the Food and Drug Administration (the “FDA”), the Environmental Protection Agency, the United States Department of Agriculture and the Federal Trade Commission, and we are also subject to similar regulators in other countries. Recently, various of these regulatory bodies have announced significant changes to regulations, including changes in enforcement activities, as well as statements about attempts to prohibit the use of certain chemicals in food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drinking water, such as fluoride. Failure to comply with these requirements may result in various types of penalties or fines. These include injunctions, product withdrawals, recalls, product seizures, fines and criminal prosecutions. Individual states also regulate our</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products. A state may interpret claims or products presumptively valid under federal law as illegal under that state’s regulations. Approvals or licensing may be conditioned on reformulation of products or may be unavailable with respect to certain products or product ingredients. Any of these government agencies, as well as legislative bodies, can change existing regulations, or impose new ones, or could take aggressive measures, causing or contributing to a variety of negative consequences, which may include one or more of the following:</w:t>
      </w:r>
    </w:p>
    <w:p>
      <w:pPr>
        <w:spacing w:after="0" w:line="221"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stopping the sale of products,</w:t>
      </w:r>
    </w:p>
    <w:p>
      <w:pPr>
        <w:spacing w:after="0" w:line="27"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the markets or marketability of products,</w:t>
      </w:r>
    </w:p>
    <w:p>
      <w:pPr>
        <w:spacing w:after="0" w:line="9" w:lineRule="exact"/>
        <w:rPr>
          <w:rFonts w:ascii="Arial" w:cs="Arial" w:eastAsia="Arial" w:hAnsi="Arial"/>
          <w:sz w:val="18"/>
          <w:szCs w:val="18"/>
          <w:color w:val="auto"/>
        </w:rPr>
      </w:pPr>
    </w:p>
    <w:p>
      <w:pPr>
        <w:ind w:left="620" w:hanging="612"/>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requirements for the reformulation of certain or all products to meet new standards,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recall or discontinuance of certain or all products,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record-keeping requirements,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documentation of the properties of certain or all products,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or different labeling,</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event tracking and reporting, and</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scientific substantiation.</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particular, the FDA’s current GMPs describe policies and procedures designed to ensure that nutraceuticals, pharmaceuticals and dietary supplements are produced in a quality manner, do not contain contaminants or impurities, and are accurately labeled and cover the manufacturing, packaging, labeling and storing of products, with requirements for quality control, design and construction of manufacturing plants, testing of ingredients and final products, record keeping, and complaints processes. Those who manufacture, package or store dietary supplements must comply with current GMPs. If we or our suppliers fail to comply with current GMPs, the FDA may take enforcement action against us or our suppliers.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or all of the potential negative consequences described above could have a material adverse effect on us or substantially increase the cost of doing business in these areas. There can be no assurance that the regulatory environment in which we operate will not change or that such regulatory environment, or any specific action taken against us, will not result in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FINANCIAL RISKS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lines of commercial insurance, such as property, general liability and casualty insurance, but such insurance may not cover all risks associated with the hazards of our businesses and is subject to limitations, including deductibles and limits on the liabilities covered. We may incur losses beyond the limits or outside the coverage of our insurance policies, including liabilities for environmental remediation and product liability. In addition, from time to time, various types of insurance for companies in the chemical, food or health and nutrition products industries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covenants under our credit facility may have a material adverse effect.</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party to a second amended and restated credit agreement, as amended (the “Credit Agreement”), with U.S. Bank National Association ("U.S. Bank") and other lenders (collectively, the “Lenders”), which includes secured revolving credit facilities (the “Revolving Loan Facility”) totaling $400.0 million. The Revolving Loan Facility includes a $10.0 million letter of credit subfacility and a $25.0 million swingline subfacility. At March 30, 2025, we had $149 million outstanding under the Revolving Loan Facility.</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make payments on the Revolving Loan Facility from time to time. If we are unable to generate sufficient cash flow or otherwise obtain funds necessary to make payments on our credit facilities, we could be in default when the facilities become due in 2030. We are also required to comply with several financial covenants under the Credit Agreement. Our ability to comply with these financial covenants may be affected by events beyond our control, which could result in a default under the Credit Agreement; such default may have a material adverse effect on our business, financial condition, operating results or cash flows.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These restrictions may adversely affect our business.</w:t>
      </w:r>
    </w:p>
    <w:p>
      <w:pPr>
        <w:spacing w:after="0" w:line="1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Impairment to the carrying value of our goodwill or other intangible assets could adversely affect our financial condition and consolidated results of operations.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Goodwill represents the excess of the cost of acquired businesses over the fair value of identifiable tangible net assets and identifiable intangible assets purchased. Goodwill is tested at least annually for impairment and is tested for impairment more frequently if events or changes in circumstances indicate that the asset might be impaired. A significant amount of judgment is involved in determining if an indication of impairment exists. Factors may include, among others: a significant decline in our expected future cash flows; a sustained, significant decline in our stock price and market capitalization; a significant adverse change in the business climate; unanticipated competition; and slower growth rates. An adverse change in these factors may have a significant impact on the recoverability of the net assets recorded, and any resulting impairment charge in the future could have a material adverse effect on our financial condition and consolidated results of operations.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evaluate the useful lives of our intangible assets to determine if they are definite- or indefinite-lived. Reaching a determination on useful life requires significant judgments and assumptions regarding the future effects of obsolescence, demand, competition, other economic factors (such as the stability of the industry, legislative action that results in an uncertain or changing regulatory environment, and expected changes in distribution channels), and the expected lives of other related groups of assets.</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cannot accurately predict the amount and timing of any impairment of goodwill and other intangible assets. Should the value of these assets become impaired, there could be a material adverse effect on our financial condition and consolidated results of operations.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ITEM 1C. </w:t>
      </w:r>
      <w:r>
        <w:rPr>
          <w:rFonts w:ascii="Arial" w:cs="Arial" w:eastAsia="Arial" w:hAnsi="Arial"/>
          <w:sz w:val="18"/>
          <w:szCs w:val="18"/>
          <w:b w:val="1"/>
          <w:bCs w:val="1"/>
          <w:i w:val="1"/>
          <w:iCs w:val="1"/>
          <w:color w:val="auto"/>
        </w:rPr>
        <w:t>CYBERSECURITY</w:t>
      </w:r>
    </w:p>
    <w:p>
      <w:pPr>
        <w:spacing w:after="0" w:line="3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Hawkins is committed to maintaining robust cybersecurity practices to safeguard our operations, data, and stakeholders' interests. We monitor our cybersecurity landscape and adapt our strategies and governance practices to mitigate risks in this rapidly evolving area.</w:t>
      </w:r>
    </w:p>
    <w:p>
      <w:pPr>
        <w:spacing w:after="0" w:line="193"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Company acknowledges that cybersecurity threats present a risk of material adverse impacts on our operations, reputation, and financial condition. Cybersecurity threats are continuously evolving, becoming more sophisticated, and increasing in frequency. For Hawkins, these threats can potentially lead to data breaches, theft of intellectual property, operational disruptions, damage to persons and property, and financial losses. We have a comprehensive cybersecurity risk management strategy designed to promptly identify, assess, and mitigate the</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risk of occurrence and impact from cybersecurity threats. Despite our efforts, it is not possible to completely identify, prevent or mitigate the impacts of cybersecurity threats.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is primarily responsible for oversight of risks from cybersecurity threats. Our audit committee is specifically</w:t>
      </w:r>
    </w:p>
    <w:p>
      <w:pPr>
        <w:spacing w:after="0" w:line="1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responsible for oversight of cybersecurity risks within the Board of Directors. The audit committee is informed of our cybersecurity risk management practices at regularly scheduled meetings, including:</w:t>
      </w:r>
    </w:p>
    <w:p>
      <w:pPr>
        <w:ind w:left="620" w:hanging="288"/>
        <w:spacing w:after="0" w:line="219"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cybersecurity policies and strategies.</w:t>
      </w:r>
    </w:p>
    <w:p>
      <w:pPr>
        <w:ind w:left="620" w:hanging="288"/>
        <w:spacing w:after="0" w:line="234"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Incident response and recovery plans.</w:t>
      </w:r>
    </w:p>
    <w:p>
      <w:pPr>
        <w:ind w:left="620" w:hanging="288"/>
        <w:spacing w:after="0" w:line="219"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training and awareness programs.</w:t>
      </w: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Cybersecurity audits and engagement with external cybersecurity experts and advisors on an as-needed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Chief Information Officer ("CIO") is responsible for implementing our cybersecurity strategy, developing policies and procedures, and</w:t>
      </w:r>
    </w:p>
    <w:p>
      <w:pPr>
        <w:spacing w:after="0" w:line="1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ensuring that appropriate resources are allocated to cybersecurity initiatives. Our CIO has over 25 years of experience in the information technology field, including consulting on cybersecurity risks and mitigation in a variety of industries. He is a member of the local Infragard chapter and a regular speaker on cybersecurity topics at the Chlorine Institute. Additionally, the senior security and network engineering team has decades of experience in network and application security. The CIO is continually informed about the latest threats and developments in</w:t>
      </w:r>
    </w:p>
    <w:p>
      <w:pPr>
        <w:jc w:val="both"/>
        <w:spacing w:after="0" w:line="223" w:lineRule="auto"/>
        <w:rPr>
          <w:sz w:val="20"/>
          <w:szCs w:val="20"/>
          <w:color w:val="auto"/>
        </w:rPr>
      </w:pPr>
      <w:r>
        <w:rPr>
          <w:rFonts w:ascii="Arial" w:cs="Arial" w:eastAsia="Arial" w:hAnsi="Arial"/>
          <w:sz w:val="18"/>
          <w:szCs w:val="18"/>
          <w:color w:val="auto"/>
        </w:rPr>
        <w:t>cybersecurity, including potential threats and innovative risk management techniques. This ongoing knowledge acquisition is important for the effective prevention, detection, mitigation, and remediation of cybersecurity incidents. The CIO implements and oversees processes based on the National Institute of Standards and Technology ("NIST") cybersecurity framework and is responsible for the regular monitoring of our information systems. This includes the deployment of advanced security measures and regular system audits to identify potential</w:t>
      </w:r>
    </w:p>
    <w:p>
      <w:pPr>
        <w:jc w:val="both"/>
        <w:spacing w:after="0" w:line="237" w:lineRule="auto"/>
        <w:rPr>
          <w:sz w:val="20"/>
          <w:szCs w:val="20"/>
          <w:color w:val="auto"/>
        </w:rPr>
      </w:pPr>
      <w:r>
        <w:rPr>
          <w:rFonts w:ascii="Arial" w:cs="Arial" w:eastAsia="Arial" w:hAnsi="Arial"/>
          <w:sz w:val="18"/>
          <w:szCs w:val="18"/>
          <w:color w:val="auto"/>
        </w:rPr>
        <w:t>vulnerabilities. Management reports at least twice yearly to the audit committee on the status of our cybersecurity efforts, including assessments of significant risks identified and actions designed to mitigate such risks.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Management and Strategy</w:t>
      </w:r>
    </w:p>
    <w:p>
      <w:pPr>
        <w:spacing w:after="0" w:line="22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cybersecurity risk management strategy is a separate component of our overall risk management process and is designed to protect our assets, including information technology systems, data, and operations, from cybersecurity threats. This involves:</w:t>
      </w:r>
    </w:p>
    <w:p>
      <w:pPr>
        <w:ind w:left="620" w:hanging="288"/>
        <w:spacing w:after="0" w:line="219"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Continuous monitoring and assessment of our cybersecurity posture.</w:t>
      </w:r>
    </w:p>
    <w:p>
      <w:pPr>
        <w:ind w:left="620" w:hanging="288"/>
        <w:spacing w:after="0" w:line="23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Implementation of security measures such as firewalls, intrusion detection systems, and encryption.</w:t>
      </w:r>
    </w:p>
    <w:p>
      <w:pPr>
        <w:ind w:left="620" w:hanging="288"/>
        <w:spacing w:after="0" w:line="219"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Ongoing cybersecurity training and testing of our employees.</w:t>
      </w:r>
    </w:p>
    <w:p>
      <w:pPr>
        <w:ind w:left="620" w:hanging="288"/>
        <w:spacing w:after="0" w:line="219"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Regular cybersecurity assessments and penetration testing.</w:t>
      </w: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Vendor risk management to ensure third-party compliance with our cybersecurity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also maintain an incident response plan ("IRP") that outlines procedures for responding to cybersecurity incidents, minimizing their</w:t>
      </w:r>
    </w:p>
    <w:p>
      <w:pPr>
        <w:spacing w:after="0" w:line="1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impact, and communicating with relevant stakeholders, including regulators, customers, and employees. During a cyber incident, our CIO and network security team assess the severity of the incident and notify key management and (if deemed necessary) our audit committee as promptly as practicable. Our incident plan is reviewed annually and updated as appropriate to address evolving threats and our business conditions.</w:t>
      </w:r>
    </w:p>
    <w:p>
      <w:pPr>
        <w:spacing w:after="0" w:line="20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the normal course of business, we experience cybersecurity threats and attempted breaches of our systems and network. We classify and track these events based on significance and implement remediation actions that we consider appropriate to address the risks relating to such incidents. We have not experienced any cybersecurity incident, and the risks presented by cybersecurity threats have not materially affected, and are not reasonably likely to materially affect, our business strategy, results of operations or financial condition. However, even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well-designed and implemented cybersecurity programs cannot completely eliminate cybersecurity threats, and we cannot guarantee that such events or material impacts will not occur in the future.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facilities material to our operations consist of our locations described below. In addition to the facilities listed below, our Water Treatment group operates out of several additional warehouse locations, the majority of which are owned by us. We believe that our facilities are adequate and suitable for the purposes they serve. Unless noted, each facility listed below is owned by us and is primarily used as office and warehouse space. We believe that we carry customary levels of insurance covering the replacement of damaged property.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0" w:type="dxa"/>
            <w:vAlign w:val="bottom"/>
          </w:tcPr>
          <w:p>
            <w:pPr>
              <w:spacing w:after="0"/>
              <w:rPr>
                <w:sz w:val="20"/>
                <w:szCs w:val="20"/>
                <w:color w:val="auto"/>
              </w:rPr>
            </w:pPr>
          </w:p>
        </w:tc>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Group</w:t>
            </w:r>
          </w:p>
        </w:tc>
        <w:tc>
          <w:tcPr>
            <w:tcW w:w="3500" w:type="dxa"/>
            <w:vAlign w:val="bottom"/>
            <w:gridSpan w:val="2"/>
            <w:vMerge w:val="restart"/>
          </w:tcPr>
          <w:p>
            <w:pPr>
              <w:jc w:val="center"/>
              <w:ind w:left="171"/>
              <w:spacing w:after="0"/>
              <w:rPr>
                <w:sz w:val="20"/>
                <w:szCs w:val="20"/>
                <w:color w:val="auto"/>
              </w:rPr>
            </w:pPr>
            <w:r>
              <w:rPr>
                <w:rFonts w:ascii="Arial" w:cs="Arial" w:eastAsia="Arial" w:hAnsi="Arial"/>
                <w:sz w:val="14"/>
                <w:szCs w:val="14"/>
                <w:b w:val="1"/>
                <w:bCs w:val="1"/>
                <w:color w:val="auto"/>
              </w:rPr>
              <w:t>Location</w:t>
            </w: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Rail/Barge</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Approx.</w:t>
            </w:r>
          </w:p>
        </w:tc>
        <w:tc>
          <w:tcPr>
            <w:tcW w:w="0" w:type="dxa"/>
            <w:vAlign w:val="bottom"/>
          </w:tcPr>
          <w:p>
            <w:pPr>
              <w:spacing w:after="0"/>
              <w:rPr>
                <w:sz w:val="1"/>
                <w:szCs w:val="1"/>
                <w:color w:val="auto"/>
              </w:rPr>
            </w:pPr>
          </w:p>
        </w:tc>
      </w:tr>
      <w:tr>
        <w:trPr>
          <w:trHeight w:val="189"/>
        </w:trPr>
        <w:tc>
          <w:tcPr>
            <w:tcW w:w="600" w:type="dxa"/>
            <w:vAlign w:val="bottom"/>
          </w:tcPr>
          <w:p>
            <w:pPr>
              <w:spacing w:after="0"/>
              <w:rPr>
                <w:sz w:val="16"/>
                <w:szCs w:val="16"/>
                <w:color w:val="auto"/>
              </w:rPr>
            </w:pPr>
          </w:p>
        </w:tc>
        <w:tc>
          <w:tcPr>
            <w:tcW w:w="3460" w:type="dxa"/>
            <w:vAlign w:val="bottom"/>
            <w:vMerge w:val="continue"/>
          </w:tcPr>
          <w:p>
            <w:pPr>
              <w:spacing w:after="0"/>
              <w:rPr>
                <w:sz w:val="16"/>
                <w:szCs w:val="16"/>
                <w:color w:val="auto"/>
              </w:rPr>
            </w:pPr>
          </w:p>
        </w:tc>
        <w:tc>
          <w:tcPr>
            <w:tcW w:w="3500" w:type="dxa"/>
            <w:vAlign w:val="bottom"/>
            <w:gridSpan w:val="2"/>
            <w:vMerge w:val="continue"/>
          </w:tcPr>
          <w:p>
            <w:pPr>
              <w:spacing w:after="0"/>
              <w:rPr>
                <w:sz w:val="16"/>
                <w:szCs w:val="16"/>
                <w:color w:val="auto"/>
              </w:rPr>
            </w:pPr>
          </w:p>
        </w:tc>
        <w:tc>
          <w:tcPr>
            <w:tcW w:w="1780" w:type="dxa"/>
            <w:vAlign w:val="bottom"/>
            <w:gridSpan w:val="2"/>
          </w:tcPr>
          <w:p>
            <w:pPr>
              <w:jc w:val="center"/>
              <w:ind w:right="400"/>
              <w:spacing w:after="0" w:line="189" w:lineRule="exact"/>
              <w:rPr>
                <w:sz w:val="20"/>
                <w:szCs w:val="20"/>
                <w:color w:val="auto"/>
              </w:rPr>
            </w:pPr>
            <w:r>
              <w:rPr>
                <w:rFonts w:ascii="Arial" w:cs="Arial" w:eastAsia="Arial" w:hAnsi="Arial"/>
                <w:sz w:val="18"/>
                <w:szCs w:val="18"/>
                <w:b w:val="1"/>
                <w:bCs w:val="1"/>
                <w:color w:val="auto"/>
                <w:w w:val="98"/>
              </w:rPr>
              <w:t>Access</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Square Feet</w:t>
            </w:r>
          </w:p>
        </w:tc>
        <w:tc>
          <w:tcPr>
            <w:tcW w:w="0" w:type="dxa"/>
            <w:vAlign w:val="bottom"/>
          </w:tcPr>
          <w:p>
            <w:pPr>
              <w:spacing w:after="0"/>
              <w:rPr>
                <w:sz w:val="1"/>
                <w:szCs w:val="1"/>
                <w:color w:val="auto"/>
              </w:rPr>
            </w:pPr>
          </w:p>
        </w:tc>
      </w:tr>
      <w:tr>
        <w:trPr>
          <w:trHeight w:val="223"/>
        </w:trPr>
        <w:tc>
          <w:tcPr>
            <w:tcW w:w="60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Corporate headquarters</w:t>
            </w:r>
          </w:p>
        </w:tc>
        <w:tc>
          <w:tcPr>
            <w:tcW w:w="3120" w:type="dxa"/>
            <w:vAlign w:val="bottom"/>
            <w:tcBorders>
              <w:top w:val="single" w:sz="8" w:color="auto"/>
            </w:tcBorders>
            <w:shd w:val="clear" w:color="auto" w:fill="CCEEFF"/>
          </w:tcPr>
          <w:p>
            <w:pPr>
              <w:jc w:val="center"/>
              <w:ind w:left="571"/>
              <w:spacing w:after="0"/>
              <w:rPr>
                <w:sz w:val="20"/>
                <w:szCs w:val="20"/>
                <w:color w:val="auto"/>
              </w:rPr>
            </w:pPr>
            <w:r>
              <w:rPr>
                <w:rFonts w:ascii="Arial" w:cs="Arial" w:eastAsia="Arial" w:hAnsi="Arial"/>
                <w:sz w:val="18"/>
                <w:szCs w:val="18"/>
                <w:color w:val="auto"/>
                <w:w w:val="99"/>
              </w:rPr>
              <w:t>Roseville, MN</w:t>
            </w:r>
          </w:p>
        </w:tc>
        <w:tc>
          <w:tcPr>
            <w:tcW w:w="3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50,000</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Health and Nutrition</w:t>
            </w:r>
          </w:p>
        </w:tc>
        <w:tc>
          <w:tcPr>
            <w:tcW w:w="3500" w:type="dxa"/>
            <w:vAlign w:val="bottom"/>
            <w:gridSpan w:val="2"/>
          </w:tcPr>
          <w:p>
            <w:pPr>
              <w:jc w:val="center"/>
              <w:ind w:left="171"/>
              <w:spacing w:after="0"/>
              <w:rPr>
                <w:sz w:val="20"/>
                <w:szCs w:val="20"/>
                <w:color w:val="auto"/>
              </w:rPr>
            </w:pPr>
            <w:r>
              <w:rPr>
                <w:rFonts w:ascii="Arial" w:cs="Arial" w:eastAsia="Arial" w:hAnsi="Arial"/>
                <w:sz w:val="18"/>
                <w:szCs w:val="18"/>
                <w:color w:val="auto"/>
                <w:w w:val="99"/>
              </w:rPr>
              <w:t>Fullerton, CA (1)</w:t>
            </w: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8"/>
              </w:rPr>
              <w:t>56,000</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rPr>
              <w:t>Florida, NY (2)</w:t>
            </w: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107,000</w:t>
            </w: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3500" w:type="dxa"/>
            <w:vAlign w:val="bottom"/>
            <w:gridSpan w:val="2"/>
          </w:tcPr>
          <w:p>
            <w:pPr>
              <w:jc w:val="center"/>
              <w:ind w:left="191"/>
              <w:spacing w:after="0"/>
              <w:rPr>
                <w:sz w:val="20"/>
                <w:szCs w:val="20"/>
                <w:color w:val="auto"/>
              </w:rPr>
            </w:pPr>
            <w:r>
              <w:rPr>
                <w:rFonts w:ascii="Arial" w:cs="Arial" w:eastAsia="Arial" w:hAnsi="Arial"/>
                <w:sz w:val="18"/>
                <w:szCs w:val="18"/>
                <w:color w:val="auto"/>
              </w:rPr>
              <w:t>Minneapolis, MN (3)</w:t>
            </w: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Rail</w:t>
            </w:r>
          </w:p>
        </w:tc>
        <w:tc>
          <w:tcPr>
            <w:tcW w:w="1780" w:type="dxa"/>
            <w:vAlign w:val="bottom"/>
          </w:tcPr>
          <w:p>
            <w:pPr>
              <w:jc w:val="center"/>
              <w:spacing w:after="0"/>
              <w:rPr>
                <w:sz w:val="20"/>
                <w:szCs w:val="20"/>
                <w:color w:val="auto"/>
              </w:rPr>
            </w:pPr>
            <w:r>
              <w:rPr>
                <w:rFonts w:ascii="Arial" w:cs="Arial" w:eastAsia="Arial" w:hAnsi="Arial"/>
                <w:sz w:val="18"/>
                <w:szCs w:val="18"/>
                <w:color w:val="auto"/>
              </w:rPr>
              <w:t>177,000</w:t>
            </w: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99"/>
              </w:rPr>
              <w:t>Centralia, IL (3)</w:t>
            </w:r>
          </w:p>
        </w:tc>
        <w:tc>
          <w:tcPr>
            <w:tcW w:w="178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6"/>
              </w:rPr>
              <w:t>Rail</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121,000</w:t>
            </w: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500" w:type="dxa"/>
            <w:vAlign w:val="bottom"/>
            <w:gridSpan w:val="2"/>
          </w:tcPr>
          <w:p>
            <w:pPr>
              <w:jc w:val="center"/>
              <w:ind w:left="191"/>
              <w:spacing w:after="0"/>
              <w:rPr>
                <w:sz w:val="20"/>
                <w:szCs w:val="20"/>
                <w:color w:val="auto"/>
              </w:rPr>
            </w:pPr>
            <w:r>
              <w:rPr>
                <w:rFonts w:ascii="Arial" w:cs="Arial" w:eastAsia="Arial" w:hAnsi="Arial"/>
                <w:sz w:val="18"/>
                <w:szCs w:val="18"/>
                <w:color w:val="auto"/>
              </w:rPr>
              <w:t>Dupo, IL (3) (4) (6)</w:t>
            </w: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Rail</w:t>
            </w:r>
          </w:p>
        </w:tc>
        <w:tc>
          <w:tcPr>
            <w:tcW w:w="1780" w:type="dxa"/>
            <w:vAlign w:val="bottom"/>
          </w:tcPr>
          <w:p>
            <w:pPr>
              <w:jc w:val="center"/>
              <w:spacing w:after="0"/>
              <w:rPr>
                <w:sz w:val="20"/>
                <w:szCs w:val="20"/>
                <w:color w:val="auto"/>
              </w:rPr>
            </w:pPr>
            <w:r>
              <w:rPr>
                <w:rFonts w:ascii="Arial" w:cs="Arial" w:eastAsia="Arial" w:hAnsi="Arial"/>
                <w:sz w:val="18"/>
                <w:szCs w:val="18"/>
                <w:color w:val="auto"/>
                <w:w w:val="98"/>
              </w:rPr>
              <w:t>64,000</w:t>
            </w: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9"/>
              </w:rPr>
              <w:t>St. Paul, MN (3) (5)</w:t>
            </w:r>
          </w:p>
        </w:tc>
        <w:tc>
          <w:tcPr>
            <w:tcW w:w="17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Rail/Barge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32,000</w:t>
            </w: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500" w:type="dxa"/>
            <w:vAlign w:val="bottom"/>
            <w:gridSpan w:val="2"/>
          </w:tcPr>
          <w:p>
            <w:pPr>
              <w:jc w:val="center"/>
              <w:ind w:left="191"/>
              <w:spacing w:after="0"/>
              <w:rPr>
                <w:sz w:val="20"/>
                <w:szCs w:val="20"/>
                <w:color w:val="auto"/>
              </w:rPr>
            </w:pPr>
            <w:r>
              <w:rPr>
                <w:rFonts w:ascii="Arial" w:cs="Arial" w:eastAsia="Arial" w:hAnsi="Arial"/>
                <w:sz w:val="18"/>
                <w:szCs w:val="18"/>
                <w:color w:val="auto"/>
              </w:rPr>
              <w:t>Rosemount, MN (3)</w:t>
            </w: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Rail</w:t>
            </w:r>
          </w:p>
        </w:tc>
        <w:tc>
          <w:tcPr>
            <w:tcW w:w="1780" w:type="dxa"/>
            <w:vAlign w:val="bottom"/>
          </w:tcPr>
          <w:p>
            <w:pPr>
              <w:jc w:val="center"/>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spacing w:after="0"/>
              <w:rPr>
                <w:sz w:val="19"/>
                <w:szCs w:val="19"/>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 and Water Treatment</w:t>
            </w:r>
          </w:p>
        </w:tc>
        <w:tc>
          <w:tcPr>
            <w:tcW w:w="350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9"/>
              </w:rPr>
              <w:t>St. Paul, MN (3) (5) (6)</w:t>
            </w:r>
          </w:p>
        </w:tc>
        <w:tc>
          <w:tcPr>
            <w:tcW w:w="17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Rail/Barge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59,000</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500" w:type="dxa"/>
            <w:vAlign w:val="bottom"/>
            <w:gridSpan w:val="2"/>
          </w:tcPr>
          <w:p>
            <w:pPr>
              <w:jc w:val="center"/>
              <w:ind w:left="171"/>
              <w:spacing w:after="0"/>
              <w:rPr>
                <w:sz w:val="20"/>
                <w:szCs w:val="20"/>
                <w:color w:val="auto"/>
              </w:rPr>
            </w:pPr>
            <w:r>
              <w:rPr>
                <w:rFonts w:ascii="Arial" w:cs="Arial" w:eastAsia="Arial" w:hAnsi="Arial"/>
                <w:sz w:val="18"/>
                <w:szCs w:val="18"/>
                <w:color w:val="auto"/>
                <w:w w:val="99"/>
              </w:rPr>
              <w:t>Camanche, IA (3) (6)</w:t>
            </w: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Rail/Barge</w:t>
            </w:r>
          </w:p>
        </w:tc>
        <w:tc>
          <w:tcPr>
            <w:tcW w:w="1780" w:type="dxa"/>
            <w:vAlign w:val="bottom"/>
          </w:tcPr>
          <w:p>
            <w:pPr>
              <w:jc w:val="center"/>
              <w:spacing w:after="0"/>
              <w:rPr>
                <w:sz w:val="20"/>
                <w:szCs w:val="20"/>
                <w:color w:val="auto"/>
              </w:rPr>
            </w:pPr>
            <w:r>
              <w:rPr>
                <w:rFonts w:ascii="Arial" w:cs="Arial" w:eastAsia="Arial" w:hAnsi="Arial"/>
                <w:sz w:val="18"/>
                <w:szCs w:val="18"/>
                <w:color w:val="auto"/>
                <w:w w:val="98"/>
              </w:rPr>
              <w:t>95,000</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rPr>
              <w:t>Memphis, TN (3) (6)</w:t>
            </w:r>
          </w:p>
        </w:tc>
        <w:tc>
          <w:tcPr>
            <w:tcW w:w="1780" w:type="dxa"/>
            <w:vAlign w:val="bottom"/>
            <w:gridSpan w:val="2"/>
            <w:shd w:val="clear" w:color="auto" w:fill="CCEEFF"/>
          </w:tcPr>
          <w:p>
            <w:pPr>
              <w:jc w:val="center"/>
              <w:ind w:right="420"/>
              <w:spacing w:after="0"/>
              <w:rPr>
                <w:sz w:val="20"/>
                <w:szCs w:val="20"/>
                <w:color w:val="auto"/>
              </w:rPr>
            </w:pPr>
            <w:r>
              <w:rPr>
                <w:rFonts w:ascii="Arial" w:cs="Arial" w:eastAsia="Arial" w:hAnsi="Arial"/>
                <w:sz w:val="18"/>
                <w:szCs w:val="18"/>
                <w:color w:val="auto"/>
                <w:w w:val="99"/>
              </w:rPr>
              <w:t>Rail/Barge</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41,000</w:t>
            </w: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3460" w:type="dxa"/>
            <w:vAlign w:val="bottom"/>
          </w:tcPr>
          <w:p>
            <w:pPr>
              <w:ind w:left="20"/>
              <w:spacing w:after="0"/>
              <w:rPr>
                <w:sz w:val="20"/>
                <w:szCs w:val="20"/>
                <w:color w:val="auto"/>
              </w:rPr>
            </w:pPr>
            <w:r>
              <w:rPr>
                <w:rFonts w:ascii="Arial" w:cs="Arial" w:eastAsia="Arial" w:hAnsi="Arial"/>
                <w:sz w:val="18"/>
                <w:szCs w:val="18"/>
                <w:color w:val="auto"/>
              </w:rPr>
              <w:t>Water Treatment</w:t>
            </w:r>
          </w:p>
        </w:tc>
        <w:tc>
          <w:tcPr>
            <w:tcW w:w="3500" w:type="dxa"/>
            <w:vAlign w:val="bottom"/>
            <w:gridSpan w:val="2"/>
          </w:tcPr>
          <w:p>
            <w:pPr>
              <w:jc w:val="center"/>
              <w:ind w:left="191"/>
              <w:spacing w:after="0"/>
              <w:rPr>
                <w:sz w:val="20"/>
                <w:szCs w:val="20"/>
                <w:color w:val="auto"/>
              </w:rPr>
            </w:pPr>
            <w:r>
              <w:rPr>
                <w:rFonts w:ascii="Arial" w:cs="Arial" w:eastAsia="Arial" w:hAnsi="Arial"/>
                <w:sz w:val="18"/>
                <w:szCs w:val="18"/>
                <w:color w:val="auto"/>
                <w:w w:val="99"/>
              </w:rPr>
              <w:t>Apopka, FL (3)</w:t>
            </w: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Rail</w:t>
            </w:r>
          </w:p>
        </w:tc>
        <w:tc>
          <w:tcPr>
            <w:tcW w:w="1780" w:type="dxa"/>
            <w:vAlign w:val="bottom"/>
          </w:tcPr>
          <w:p>
            <w:pPr>
              <w:jc w:val="center"/>
              <w:spacing w:after="0"/>
              <w:rPr>
                <w:sz w:val="20"/>
                <w:szCs w:val="20"/>
                <w:color w:val="auto"/>
              </w:rPr>
            </w:pPr>
            <w:r>
              <w:rPr>
                <w:rFonts w:ascii="Arial" w:cs="Arial" w:eastAsia="Arial" w:hAnsi="Arial"/>
                <w:sz w:val="18"/>
                <w:szCs w:val="18"/>
                <w:color w:val="auto"/>
                <w:w w:val="98"/>
              </w:rPr>
              <w:t>32,000</w:t>
            </w: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8"/>
              </w:rPr>
              <w:t>Camby, IN (3)</w:t>
            </w: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41,000</w:t>
            </w: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500" w:type="dxa"/>
            <w:vAlign w:val="bottom"/>
            <w:gridSpan w:val="2"/>
          </w:tcPr>
          <w:p>
            <w:pPr>
              <w:jc w:val="center"/>
              <w:ind w:left="191"/>
              <w:spacing w:after="0"/>
              <w:rPr>
                <w:sz w:val="20"/>
                <w:szCs w:val="20"/>
                <w:color w:val="auto"/>
              </w:rPr>
            </w:pPr>
            <w:r>
              <w:rPr>
                <w:rFonts w:ascii="Arial" w:cs="Arial" w:eastAsia="Arial" w:hAnsi="Arial"/>
                <w:sz w:val="18"/>
                <w:szCs w:val="18"/>
                <w:color w:val="auto"/>
                <w:w w:val="99"/>
              </w:rPr>
              <w:t>Fairborn, OH (6)</w:t>
            </w:r>
          </w:p>
        </w:tc>
        <w:tc>
          <w:tcPr>
            <w:tcW w:w="178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Rail</w:t>
            </w:r>
          </w:p>
        </w:tc>
        <w:tc>
          <w:tcPr>
            <w:tcW w:w="1780" w:type="dxa"/>
            <w:vAlign w:val="bottom"/>
          </w:tcPr>
          <w:p>
            <w:pPr>
              <w:jc w:val="center"/>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30"/>
        </w:trPr>
        <w:tc>
          <w:tcPr>
            <w:tcW w:w="60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jc w:val="center"/>
              <w:ind w:left="171"/>
              <w:spacing w:after="0"/>
              <w:rPr>
                <w:sz w:val="20"/>
                <w:szCs w:val="20"/>
                <w:color w:val="auto"/>
              </w:rPr>
            </w:pPr>
            <w:r>
              <w:rPr>
                <w:rFonts w:ascii="Arial" w:cs="Arial" w:eastAsia="Arial" w:hAnsi="Arial"/>
                <w:sz w:val="18"/>
                <w:szCs w:val="18"/>
                <w:color w:val="auto"/>
                <w:w w:val="99"/>
              </w:rPr>
              <w:t>Fayetteville, TN (3)</w:t>
            </w: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54,000</w:t>
            </w:r>
          </w:p>
        </w:tc>
        <w:tc>
          <w:tcPr>
            <w:tcW w:w="0" w:type="dxa"/>
            <w:vAlign w:val="bottom"/>
          </w:tcPr>
          <w:p>
            <w:pPr>
              <w:spacing w:after="0"/>
              <w:rPr>
                <w:sz w:val="1"/>
                <w:szCs w:val="1"/>
                <w:color w:val="auto"/>
              </w:rPr>
            </w:pPr>
          </w:p>
        </w:tc>
      </w:tr>
      <w:tr>
        <w:trPr>
          <w:trHeight w:val="239"/>
        </w:trPr>
        <w:tc>
          <w:tcPr>
            <w:tcW w:w="6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500" w:type="dxa"/>
            <w:vAlign w:val="bottom"/>
            <w:gridSpan w:val="2"/>
          </w:tcPr>
          <w:p>
            <w:pPr>
              <w:jc w:val="center"/>
              <w:ind w:left="171"/>
              <w:spacing w:after="0"/>
              <w:rPr>
                <w:sz w:val="20"/>
                <w:szCs w:val="20"/>
                <w:color w:val="auto"/>
              </w:rPr>
            </w:pPr>
            <w:r>
              <w:rPr>
                <w:rFonts w:ascii="Arial" w:cs="Arial" w:eastAsia="Arial" w:hAnsi="Arial"/>
                <w:sz w:val="18"/>
                <w:szCs w:val="18"/>
                <w:color w:val="auto"/>
                <w:w w:val="99"/>
              </w:rPr>
              <w:t>Sulphur, LA (3)</w:t>
            </w: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8"/>
              </w:rPr>
              <w:t>30,000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600" w:hanging="349"/>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is a leased facility comprising administrative offices and a distribution facility. The lease runs through January 2026.</w:t>
      </w:r>
    </w:p>
    <w:p>
      <w:pPr>
        <w:spacing w:after="0" w:line="103" w:lineRule="exact"/>
        <w:rPr>
          <w:rFonts w:ascii="Arial" w:cs="Arial" w:eastAsia="Arial" w:hAnsi="Arial"/>
          <w:sz w:val="18"/>
          <w:szCs w:val="18"/>
          <w:color w:val="auto"/>
        </w:rPr>
      </w:pPr>
    </w:p>
    <w:p>
      <w:pPr>
        <w:ind w:left="580" w:hanging="329"/>
        <w:spacing w:after="0" w:line="287" w:lineRule="auto"/>
        <w:tabs>
          <w:tab w:leader="none" w:pos="59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is comprised of (i) a 79,000 square foot manufacturing plant which sits on approximately 16 acres and (ii) a leased 28,000 square foot warehouse located in close proximity that is leased until December 2025.</w:t>
      </w:r>
    </w:p>
    <w:p>
      <w:pPr>
        <w:spacing w:after="0" w:line="31" w:lineRule="exact"/>
        <w:rPr>
          <w:rFonts w:ascii="Arial" w:cs="Arial" w:eastAsia="Arial" w:hAnsi="Arial"/>
          <w:sz w:val="18"/>
          <w:szCs w:val="18"/>
          <w:color w:val="auto"/>
        </w:rPr>
      </w:pPr>
    </w:p>
    <w:p>
      <w:pPr>
        <w:ind w:left="580" w:right="20" w:hanging="329"/>
        <w:spacing w:after="0" w:line="287" w:lineRule="auto"/>
        <w:tabs>
          <w:tab w:leader="none" w:pos="59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is a manufacturing and/or distribution facility owned by the Company. This facility includes outside storage tanks for the storage of liquid bulk chemicals, as well as smaller tanks for storing and mixing chemicals.</w:t>
      </w:r>
    </w:p>
    <w:p>
      <w:pPr>
        <w:spacing w:after="0" w:line="17" w:lineRule="exact"/>
        <w:rPr>
          <w:rFonts w:ascii="Arial" w:cs="Arial" w:eastAsia="Arial" w:hAnsi="Arial"/>
          <w:sz w:val="18"/>
          <w:szCs w:val="18"/>
          <w:color w:val="auto"/>
        </w:rPr>
      </w:pPr>
    </w:p>
    <w:p>
      <w:pPr>
        <w:ind w:left="600" w:hanging="349"/>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land for this facility is leased from a third party, with automatic one-year renewal periods.</w:t>
      </w:r>
    </w:p>
    <w:p>
      <w:pPr>
        <w:spacing w:after="0" w:line="103" w:lineRule="exact"/>
        <w:rPr>
          <w:rFonts w:ascii="Arial" w:cs="Arial" w:eastAsia="Arial" w:hAnsi="Arial"/>
          <w:sz w:val="18"/>
          <w:szCs w:val="18"/>
          <w:color w:val="auto"/>
        </w:rPr>
      </w:pPr>
    </w:p>
    <w:p>
      <w:pPr>
        <w:ind w:left="580" w:right="20" w:hanging="329"/>
        <w:spacing w:after="0" w:line="287" w:lineRule="auto"/>
        <w:tabs>
          <w:tab w:leader="none" w:pos="59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land for these facilities is leased from the Port Authority of the City of St. Paul, Minnesota. One of the applicable leases runs through July 2029 and two run through 2044, including all available lease extensions.</w:t>
      </w:r>
    </w:p>
    <w:p>
      <w:pPr>
        <w:spacing w:after="0" w:line="31" w:lineRule="exact"/>
        <w:rPr>
          <w:rFonts w:ascii="Arial" w:cs="Arial" w:eastAsia="Arial" w:hAnsi="Arial"/>
          <w:sz w:val="18"/>
          <w:szCs w:val="18"/>
          <w:color w:val="auto"/>
        </w:rPr>
      </w:pPr>
    </w:p>
    <w:p>
      <w:pPr>
        <w:ind w:left="600" w:hanging="349"/>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is a manufacturing facility owned by the Company that manufactures bleach.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300" w:hanging="1295"/>
        <w:spacing w:after="0" w:line="296"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COMPANY’S COMMON EQUITY, RELATED SHAREHOLDER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EQUITY SECURITIES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common shares are listed on the Nasdaq Global Select Market under the symbol “HWKN.” As of May 9, 2025, shares of our common shares were held by approximately 330 shareholders of record.</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authorized the repurchase of up to 2.6 million shares of our outstanding common stock, initially approved on May 29, 2014 and subsequently amended from time to time. The shares may be purchased on the open market or in privately negotiated transactions subject to applicable securities laws and regulations. We repurchased 100,402 shares of our common stock during the three months ended March 30, 2025 and 205,943 during the twelve months ended March 30, 2025. As of March 30, 2025, 731,544 shares remained available to be purchased under the share repurchase program. The following table sets forth information concerning purchases of our common stock for the three months ended March 30,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vMerge w:val="restart"/>
          </w:tcPr>
          <w:p>
            <w:pPr>
              <w:jc w:val="right"/>
              <w:ind w:right="33"/>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Average Price Paid Per</w:t>
            </w:r>
          </w:p>
        </w:tc>
        <w:tc>
          <w:tcPr>
            <w:tcW w:w="20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 a</w:t>
            </w:r>
          </w:p>
        </w:tc>
        <w:tc>
          <w:tcPr>
            <w:tcW w:w="100" w:type="dxa"/>
            <w:vAlign w:val="bottom"/>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2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2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0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 Plan</w:t>
            </w:r>
          </w:p>
        </w:tc>
        <w:tc>
          <w:tcPr>
            <w:tcW w:w="100" w:type="dxa"/>
            <w:vAlign w:val="bottom"/>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Plans or</w:t>
            </w:r>
          </w:p>
        </w:tc>
        <w:tc>
          <w:tcPr>
            <w:tcW w:w="0" w:type="dxa"/>
            <w:vAlign w:val="bottom"/>
          </w:tcPr>
          <w:p>
            <w:pPr>
              <w:spacing w:after="0"/>
              <w:rPr>
                <w:sz w:val="1"/>
                <w:szCs w:val="1"/>
                <w:color w:val="auto"/>
              </w:rPr>
            </w:pPr>
          </w:p>
        </w:tc>
      </w:tr>
      <w:tr>
        <w:trPr>
          <w:trHeight w:val="216"/>
        </w:trPr>
        <w:tc>
          <w:tcPr>
            <w:tcW w:w="2580" w:type="dxa"/>
            <w:vAlign w:val="bottom"/>
            <w:gridSpan w:val="2"/>
            <w:vMerge w:val="continue"/>
          </w:tcPr>
          <w:p>
            <w:pPr>
              <w:spacing w:after="0"/>
              <w:rPr>
                <w:sz w:val="18"/>
                <w:szCs w:val="18"/>
                <w:color w:val="auto"/>
              </w:rPr>
            </w:pPr>
          </w:p>
        </w:tc>
        <w:tc>
          <w:tcPr>
            <w:tcW w:w="2060" w:type="dxa"/>
            <w:vAlign w:val="bottom"/>
          </w:tcPr>
          <w:p>
            <w:pPr>
              <w:jc w:val="right"/>
              <w:ind w:right="533"/>
              <w:spacing w:after="0"/>
              <w:rPr>
                <w:sz w:val="20"/>
                <w:szCs w:val="20"/>
                <w:color w:val="auto"/>
              </w:rPr>
            </w:pPr>
            <w:r>
              <w:rPr>
                <w:rFonts w:ascii="Arial" w:cs="Arial" w:eastAsia="Arial" w:hAnsi="Arial"/>
                <w:sz w:val="16"/>
                <w:szCs w:val="16"/>
                <w:b w:val="1"/>
                <w:bCs w:val="1"/>
                <w:color w:val="auto"/>
              </w:rPr>
              <w:t>Purchased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Share</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rPr>
              <w:t>or Program</w:t>
            </w:r>
          </w:p>
        </w:tc>
        <w:tc>
          <w:tcPr>
            <w:tcW w:w="1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12/30/2024-01/26/2025</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831,946</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01/27/2025-02/23/2025</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100,402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114.84</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100,402</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731,544</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02/24/2025-03/30/2025</w:t>
            </w:r>
          </w:p>
        </w:tc>
        <w:tc>
          <w:tcPr>
            <w:tcW w:w="120" w:type="dxa"/>
            <w:vAlign w:val="bottom"/>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731,544</w:t>
            </w:r>
          </w:p>
        </w:tc>
        <w:tc>
          <w:tcPr>
            <w:tcW w:w="0" w:type="dxa"/>
            <w:vAlign w:val="bottom"/>
          </w:tcPr>
          <w:p>
            <w:pPr>
              <w:spacing w:after="0"/>
              <w:rPr>
                <w:sz w:val="1"/>
                <w:szCs w:val="1"/>
                <w:color w:val="auto"/>
              </w:rPr>
            </w:pPr>
          </w:p>
        </w:tc>
      </w:tr>
      <w:tr>
        <w:trPr>
          <w:trHeight w:val="232"/>
        </w:trPr>
        <w:tc>
          <w:tcPr>
            <w:tcW w:w="258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2060" w:type="dxa"/>
            <w:vAlign w:val="bottom"/>
          </w:tcPr>
          <w:p>
            <w:pPr>
              <w:jc w:val="right"/>
              <w:spacing w:after="0"/>
              <w:rPr>
                <w:sz w:val="20"/>
                <w:szCs w:val="20"/>
                <w:color w:val="auto"/>
              </w:rPr>
            </w:pPr>
            <w:r>
              <w:rPr>
                <w:rFonts w:ascii="Arial" w:cs="Arial" w:eastAsia="Arial" w:hAnsi="Arial"/>
                <w:sz w:val="18"/>
                <w:szCs w:val="18"/>
                <w:color w:val="auto"/>
              </w:rPr>
              <w:t>100,402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100,402</w:t>
            </w: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graph compares the cumulative total shareholder return on our common shares with the cumulative total returns of the Nasdaq Industrial Index, the Nasdaq Composite Index, the Russell 2000 Index and the Standard &amp; Poor’s (“S&amp;P”) Small Cap 600 Index for our last five completed fiscal years. The graph assumes the investment of $100 in our stock and each of those indices on March 29, 2020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46990</wp:posOffset>
            </wp:positionV>
            <wp:extent cx="5254625" cy="3711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54625" cy="371157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fiscal 2025 and 2024. This discussion should be read in conjunction with the Consolidated Financial Statements and Notes to Consolidated Financial Statements included in Item 8 of this Annual Report on Form 10-K.</w:t>
      </w:r>
    </w:p>
    <w:p>
      <w:pPr>
        <w:spacing w:after="0" w:line="198"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We have omitted discussion of the earliest of the three years covered by our consolidated financial statements presented in this report because that disclosure was already included in our </w:t>
      </w:r>
      <w:hyperlink r:id="rId35">
        <w:r>
          <w:rPr>
            <w:rFonts w:ascii="Arial" w:cs="Arial" w:eastAsia="Arial" w:hAnsi="Arial"/>
            <w:sz w:val="18"/>
            <w:szCs w:val="18"/>
            <w:u w:val="single" w:color="auto"/>
            <w:color w:val="0000FF"/>
          </w:rPr>
          <w:t>Annual Report on Form 10-K for fiscal 2024</w:t>
        </w:r>
      </w:hyperlink>
      <w:r>
        <w:rPr>
          <w:rFonts w:ascii="Arial" w:cs="Arial" w:eastAsia="Arial" w:hAnsi="Arial"/>
          <w:sz w:val="18"/>
          <w:szCs w:val="18"/>
          <w:color w:val="auto"/>
        </w:rPr>
        <w:t>, filed with the SEC on May 15, 2024. You are encouraged to reference Part II, Item 7, within that report, for a discussion of our financial condition and results of operations for fiscal 2024 compared to fiscal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derive substantially all of our revenues from the sale of specialty chemicals and ingredients that we formulate, manufacture, blend and distribute, for our Water Treatment, Industrial, and Health and Nutrition customers.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Overview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Highlights of fiscal 2025 include:</w:t>
      </w:r>
    </w:p>
    <w:p>
      <w:pPr>
        <w:spacing w:after="0" w:line="252" w:lineRule="exact"/>
        <w:rPr>
          <w:sz w:val="20"/>
          <w:szCs w:val="20"/>
          <w:color w:val="auto"/>
        </w:rPr>
      </w:pPr>
    </w:p>
    <w:p>
      <w:pPr>
        <w:ind w:left="620" w:hanging="36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$974.4 million, an increase of $55.2 million, or 6% from fiscal 2024;</w:t>
      </w:r>
    </w:p>
    <w:p>
      <w:pPr>
        <w:spacing w:after="0" w:line="252" w:lineRule="exact"/>
        <w:rPr>
          <w:rFonts w:ascii="Arial" w:cs="Arial" w:eastAsia="Arial" w:hAnsi="Arial"/>
          <w:sz w:val="18"/>
          <w:szCs w:val="18"/>
          <w:color w:val="auto"/>
        </w:rPr>
      </w:pPr>
    </w:p>
    <w:p>
      <w:pPr>
        <w:ind w:left="620" w:hanging="36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of $225.5 million, an increase of $31.9 million, or 16% from fiscal 2024; and</w:t>
      </w:r>
    </w:p>
    <w:p>
      <w:pPr>
        <w:spacing w:after="0" w:line="252" w:lineRule="exact"/>
        <w:rPr>
          <w:rFonts w:ascii="Arial" w:cs="Arial" w:eastAsia="Arial" w:hAnsi="Arial"/>
          <w:sz w:val="18"/>
          <w:szCs w:val="18"/>
          <w:color w:val="auto"/>
        </w:rPr>
      </w:pPr>
    </w:p>
    <w:p>
      <w:pPr>
        <w:ind w:left="620" w:hanging="36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Diluted earnings per share (EPS) of $4.03, an increase of $0.44, or 12%, from fiscal 2024.</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as raw material prices rise and fall, particularly in our Water Treatment and Industrial segments. The costs for certain of our raw materials can rise or fall rapidly, causing fluctuations in gross profit as a percentage of sales.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the last in, first out (“LIFO”) method of valuing the majority of our inventory in our Water Treatment and Industrial segments, which causes the most recent product costs to be recognized in our income statement. The LIFO inventory valuation method and the resulting cost of sales are consistent with our business practices of pricing to current chemical raw material prices. Inventories in our Health and Nutrition segment are valued using the first-in, first-out (“FIFO”) method.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disclose the sales of our bulk commodity products as a percentage of total sales dollars for our Water Treatment and Industrial segments. Our definition of bulk commodity products includes products that we do not modify in any way, but receive, store, and ship from our facilities, or direct ship to our customers in large quantities. We disclose the percentage of our overall sales that consist of sales of bulk commodity products as these products are generally distributed and we do not add significant value to these products in comparison to our non-bulk products. Sales of these products are generally highly competitive and price sensitive. As a result, bulk commodity products generally have our lowest margins.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 of Results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Acquisitions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On January 31, 2025, we acquired substantially all the assets of Amerochem Corporation ("Amerochem") under the terms of a purchase</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agreement with Amerochem and its shareholders. Amerochem distributed water treatment chemicals and equipment to its customers primarily throughout North Carolina. The results of operations since the acquisition date and the assets are included in our Water Treatment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segment.</w:t>
      </w:r>
    </w:p>
    <w:p>
      <w:pPr>
        <w:spacing w:after="0" w:line="23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October 30, 2024, we acquired substantially all the assets of Waterguard, Inc. ("Water Guard") under the terms of a purchase agreement with Water Guard and its shareholders. Water Guard distributed water treatment chemicals and equipment to its customers primarily throughout North Carolina. The results of operations since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acquisition date and the assets are included in our Water Treatment segment.</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0" w:name="page21"/>
    <w:bookmarkEnd w:id="20"/>
    <w:p>
      <w:pPr>
        <w:jc w:val="both"/>
        <w:ind w:right="780"/>
        <w:spacing w:after="0" w:line="291" w:lineRule="auto"/>
        <w:rPr>
          <w:sz w:val="20"/>
          <w:szCs w:val="20"/>
          <w:color w:val="auto"/>
        </w:rPr>
      </w:pPr>
      <w:r>
        <w:rPr>
          <w:rFonts w:ascii="Arial" w:cs="Arial" w:eastAsia="Arial" w:hAnsi="Arial"/>
          <w:sz w:val="17"/>
          <w:szCs w:val="17"/>
          <w:color w:val="auto"/>
        </w:rPr>
        <w:t>On June 28, 2024, we acquired substantially all the assets of Wofford Water Service, Inc. ("Wofford") under the terms of a purchase agreement with Wofford and its shareholders. Wofford distributed water treatment chemicals and equipment to customers mainly in Mississippi. The results of operations since the acquisition date and the assets are included in our Water Treatment segment.</w:t>
      </w:r>
    </w:p>
    <w:p>
      <w:pPr>
        <w:spacing w:after="0" w:line="18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On June 3, 2024, we acquired substantially all the assets of Intercoastal Trading, Inc. and certain related entities ("Intercoastal") under the terms of a purchase agreement with Intercoastal and its shareholders. Intercoastal distributed water treatment chemicals and equipment to its customers in Maryland, Delaware and Virginia. The results of operations since the acquisition date and the assets are included in our Water Treatment segment.</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aggregate annual revenue of these four businesses acquired in fiscal 2025 totaled approximately $67 million, as determined using the applicable twelve-month period preceding each respective acquisition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After the end of the fiscal year, on April 25, 2025, we acquired substantially all of the assets of Surplus Management, Inc. dba WaterSurplus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("WaterSurplus") for approximately $ 150 million, and may be obligated to pay up to an additional $53.7 million based on achieving certain earnings targets five years after the closing of the acquisition. WaterSurplus delivers sustainable water treatment solutions throughout the</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United States focused on membrane separation systems, engineering and design services, media filtration systems, new equipment and rental unit manufacturing and sales, along with rapid-response PFAS removal solutions for “forever chemicals”. WaterSurplus serves municipal water customers as well as customers in the food and beverage industry, offering patented products within its filtration business that reduce the frequency of membrane cleaning resulting in lower energy costs, downtime, and lower overall operational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from our statement of income as a percentage of sales for fiscal 2025 and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80" w:type="dxa"/>
            <w:vAlign w:val="bottom"/>
          </w:tcPr>
          <w:p>
            <w:pPr>
              <w:spacing w:after="0"/>
              <w:rPr>
                <w:sz w:val="20"/>
                <w:szCs w:val="20"/>
                <w:color w:val="auto"/>
              </w:rPr>
            </w:pPr>
          </w:p>
        </w:tc>
        <w:tc>
          <w:tcPr>
            <w:tcW w:w="1720" w:type="dxa"/>
            <w:vAlign w:val="bottom"/>
            <w:gridSpan w:val="2"/>
          </w:tcPr>
          <w:p>
            <w:pPr>
              <w:ind w:left="320"/>
              <w:spacing w:after="0"/>
              <w:rPr>
                <w:sz w:val="20"/>
                <w:szCs w:val="20"/>
                <w:color w:val="auto"/>
              </w:rPr>
            </w:pPr>
            <w:r>
              <w:rPr>
                <w:rFonts w:ascii="Arial" w:cs="Arial" w:eastAsia="Arial" w:hAnsi="Arial"/>
                <w:sz w:val="18"/>
                <w:szCs w:val="18"/>
                <w:b w:val="1"/>
                <w:bCs w:val="1"/>
                <w:color w:val="auto"/>
              </w:rPr>
              <w:t>Fiscal 2025</w:t>
            </w:r>
          </w:p>
        </w:tc>
        <w:tc>
          <w:tcPr>
            <w:tcW w:w="1620" w:type="dxa"/>
            <w:vAlign w:val="bottom"/>
          </w:tcPr>
          <w:p>
            <w:pPr>
              <w:jc w:val="right"/>
              <w:ind w:right="230"/>
              <w:spacing w:after="0"/>
              <w:rPr>
                <w:sz w:val="20"/>
                <w:szCs w:val="20"/>
                <w:color w:val="auto"/>
              </w:rPr>
            </w:pPr>
            <w:r>
              <w:rPr>
                <w:rFonts w:ascii="Arial" w:cs="Arial" w:eastAsia="Arial" w:hAnsi="Arial"/>
                <w:sz w:val="18"/>
                <w:szCs w:val="18"/>
                <w:b w:val="1"/>
                <w:bCs w:val="1"/>
                <w:color w:val="auto"/>
              </w:rPr>
              <w:t>Fiscal 2024</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20" w:type="dxa"/>
            <w:vAlign w:val="bottom"/>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11.0 %</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8.2 %</w:t>
            </w:r>
          </w:p>
        </w:tc>
      </w:tr>
      <w:tr>
        <w:trPr>
          <w:trHeight w:val="20"/>
        </w:trPr>
        <w:tc>
          <w:tcPr>
            <w:tcW w:w="7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2025 Compared to Fiscal 2024</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Sales were $974.4 million for fiscal 2025, an increase of $55.2 million, or 6%, from sales of $919.2 million for fiscal 2024. The year-over-year increase was driven by sales growth in our Water Treatment segment, while sales in our Industrial and Health and Nutrition segments declined year over year.</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$83.2 million, or 23%, to $446.5 million for fiscal 2025,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$363.3 million for fiscal 2024. Sales of bulk commodity products in the Water Treatment segment were approximately 9% of sales dollars in both fiscal 2025 and fiscal 2024. Sales increased as a result of $72 million of added sales from acquired businesses as well as increased sales volumes of 5% in our legacy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jc w:val="both"/>
        <w:spacing w:after="0" w:line="262"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$27.0 million, or 7%, to $382.5 million for fiscal 2025, as compared to $409.5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2024. Sales of bulk commodity products in the Industrial segment were approximately 15% of sales dollars in fiscal 2025 and 14% of sales dollars in fiscal 2024. Although total sales volume was up slightly year over year, sales declined due to lower selling prices on certain products and product mix changes.</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Health and Nutrition segment sales decreased $0.9 million, or 1%, to $145.5 million for fiscal 2025,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$146.4 million for fiscal 2024. An increase in sales of our distributed products was largely offset by decreased sales of our manufactured products. The overall decrease in sales of our manufactured products was driven by decreased sales of a lower-margin product.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increased $31.9 million, or 16%, to $225.5 million, or 23% of sales, for fiscal 2025, from $193.6 million, or 21% of sales, for fiscal 2024. During fiscal 2025, the LIFO reserve decreased, and gross profits increased, by $1.6 million, primarily due to lower prices year-over-year on certain products. In fiscal 2024, the LIFO reserve decreased, and gross profits increased, by $15.4 million. Included as a reduction to gross profit in the prior year was a $7.7 million charge to operating expense for an environmental liability related to perchlorinated biphenyls (PCBs) discovered in the soil at our Rosemount, MN, facility.</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$23.1 million, or 23%, to $121.6 million, or 27%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2025, from $98.5 million, or 27% of sales, for fiscal 2024. During fiscal 2025, the LIFO reserve decreased, and gross profits increased, by $0.5 million. During fiscal 2024, the LIFO reserve decreased, and gross profit increased, by $3.3 million. Gross profit increased as a result of the increased sales.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$5.1 million, or 8%, to $72.6 million, or 19% of sales, for fiscal 2025,</w:t>
      </w:r>
      <w:r>
        <w:rPr>
          <w:rFonts w:ascii="Arial" w:cs="Arial" w:eastAsia="Arial" w:hAnsi="Arial"/>
          <w:sz w:val="18"/>
          <w:szCs w:val="18"/>
          <w:i w:val="1"/>
          <w:iCs w:val="1"/>
          <w:color w:val="auto"/>
        </w:rPr>
        <w:t xml:space="preserve"> </w:t>
      </w:r>
      <w:r>
        <w:rPr>
          <w:rFonts w:ascii="Arial" w:cs="Arial" w:eastAsia="Arial" w:hAnsi="Arial"/>
          <w:sz w:val="18"/>
          <w:szCs w:val="18"/>
          <w:color w:val="auto"/>
        </w:rPr>
        <w:t>from $67.5 million, or 16% of sales, for fiscal 2024. During fiscal 2025, the LIFO reserve decreased, and gross profits increased, by $1.1 million. In fiscal 2024, the LIFO reserve decreased, and gross profits increased, by $ 12.1 million. Included as a reduction to gross profit in the prior year was a $7.7 million charge to operating expense for an environmental liability related to PCBs discovered in the soil at our Rosemount, MN, facility. Gross profit increased as a result of the environmental charge in the prior year not repeating in the current year, partially offset by the negative year-over-year impact of the change in the LIFO reserve, as well as improved margins on certain products.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Gross profit for our Health and Nutrition segment increased $3.7 million, or 13%, to $31.3 million, or 22%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fiscal 2025, from $27.6 million, or 19% of sales, for fiscal 2024. Gross profit increased as a result of a favorable product mix shift.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SG&amp;A expenses increased $16.8 million, or 19% to $106.4 million, or 11% of sales, for fiscal 2025, from $89.6 million, or 10% of sales, for fiscal 2024. Expenses increased largely due to $10.4 million in added costs from the acquired business in our Water Treatment segment, including amortization of intangibles of $4.2 million, as well as increased variable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Operating income increased $15.2 million, or 15%, to $119.2 million, or 12% of sales, for fiscal 2025, as compared to $104.0 million, or 11% of sales, for fiscal 2024, due to the combined impact of the factors discussed above.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5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Interest expense was $ 5.4 million for fiscal 2025, an increase of $1.2 million from interest expense of $4.3 million for fiscal 2024. Interest expense increased due to higher outstanding borrowings in the current year, primarily to fund current year acquisitions.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3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effective tax rate was approximately 26% for both fiscal 2025 and fiscal 2024. The effective tax rate is impacted by projected levels of annual taxable income, permanent items, and state taxes.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Selected Quarterly Financial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for our fiscal quarters is shown below. No changes have been made to previously reported information.</w:t>
      </w: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(In thousands, except per share data)</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Fiscal 2025</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Second</w:t>
            </w:r>
          </w:p>
        </w:tc>
        <w:tc>
          <w:tcPr>
            <w:tcW w:w="120" w:type="dxa"/>
            <w:vAlign w:val="bottom"/>
          </w:tcPr>
          <w:p>
            <w:pPr>
              <w:spacing w:after="0"/>
              <w:rPr>
                <w:sz w:val="19"/>
                <w:szCs w:val="19"/>
                <w:color w:val="auto"/>
              </w:rPr>
            </w:pPr>
          </w:p>
        </w:tc>
        <w:tc>
          <w:tcPr>
            <w:tcW w:w="1340" w:type="dxa"/>
            <w:vAlign w:val="bottom"/>
            <w:gridSpan w:val="2"/>
          </w:tcPr>
          <w:p>
            <w:pPr>
              <w:ind w:left="320"/>
              <w:spacing w:after="0"/>
              <w:rPr>
                <w:sz w:val="20"/>
                <w:szCs w:val="20"/>
                <w:color w:val="auto"/>
              </w:rPr>
            </w:pPr>
            <w:r>
              <w:rPr>
                <w:rFonts w:ascii="Arial" w:cs="Arial" w:eastAsia="Arial" w:hAnsi="Arial"/>
                <w:sz w:val="18"/>
                <w:szCs w:val="18"/>
                <w:b w:val="1"/>
                <w:bCs w:val="1"/>
                <w:color w:val="auto"/>
              </w:rPr>
              <w:t>Third</w:t>
            </w:r>
          </w:p>
        </w:tc>
        <w:tc>
          <w:tcPr>
            <w:tcW w:w="2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Fourth</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255,879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226,205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245,318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974,431</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64,655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60,222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48,424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225,538</w:t>
            </w: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24,864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26,477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27,361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106,364</w:t>
            </w: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39,791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33,745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119,174</w:t>
            </w:r>
          </w:p>
        </w:tc>
        <w:tc>
          <w:tcPr>
            <w:tcW w:w="0" w:type="dxa"/>
            <w:vAlign w:val="bottom"/>
          </w:tcPr>
          <w:p>
            <w:pPr>
              <w:spacing w:after="0"/>
              <w:rPr>
                <w:sz w:val="1"/>
                <w:szCs w:val="1"/>
                <w:color w:val="auto"/>
              </w:rPr>
            </w:pPr>
          </w:p>
        </w:tc>
      </w:tr>
      <w:tr>
        <w:trPr>
          <w:trHeight w:val="25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84,345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20" w:type="dxa"/>
            <w:vAlign w:val="bottom"/>
            <w:vMerge w:val="continue"/>
          </w:tcPr>
          <w:p>
            <w:pPr>
              <w:spacing w:after="0"/>
              <w:rPr>
                <w:sz w:val="17"/>
                <w:szCs w:val="17"/>
                <w:color w:val="auto"/>
              </w:rPr>
            </w:pPr>
          </w:p>
        </w:tc>
        <w:tc>
          <w:tcPr>
            <w:tcW w:w="340" w:type="dxa"/>
            <w:vAlign w:val="bottom"/>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1.39</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1.16</w:t>
            </w:r>
          </w:p>
        </w:tc>
        <w:tc>
          <w:tcPr>
            <w:tcW w:w="1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0.72</w:t>
            </w:r>
          </w:p>
        </w:tc>
        <w:tc>
          <w:tcPr>
            <w:tcW w:w="10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0.79</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3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Fiscal 2024</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20" w:type="dxa"/>
            <w:vAlign w:val="bottom"/>
            <w:vMerge w:val="restart"/>
          </w:tcPr>
          <w:p>
            <w:pPr>
              <w:ind w:left="20"/>
              <w:spacing w:after="0"/>
              <w:rPr>
                <w:sz w:val="20"/>
                <w:szCs w:val="20"/>
                <w:color w:val="auto"/>
              </w:rPr>
            </w:pPr>
            <w:r>
              <w:rPr>
                <w:rFonts w:ascii="Arial" w:cs="Arial" w:eastAsia="Arial" w:hAnsi="Arial"/>
                <w:sz w:val="18"/>
                <w:szCs w:val="18"/>
                <w:color w:val="auto"/>
              </w:rPr>
              <w:t>Sales</w:t>
            </w:r>
          </w:p>
        </w:tc>
        <w:tc>
          <w:tcPr>
            <w:tcW w:w="34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Second</w:t>
            </w:r>
          </w:p>
        </w:tc>
        <w:tc>
          <w:tcPr>
            <w:tcW w:w="120" w:type="dxa"/>
            <w:vAlign w:val="bottom"/>
          </w:tcPr>
          <w:p>
            <w:pPr>
              <w:spacing w:after="0"/>
              <w:rPr>
                <w:sz w:val="19"/>
                <w:szCs w:val="19"/>
                <w:color w:val="auto"/>
              </w:rPr>
            </w:pPr>
          </w:p>
        </w:tc>
        <w:tc>
          <w:tcPr>
            <w:tcW w:w="1340" w:type="dxa"/>
            <w:vAlign w:val="bottom"/>
            <w:gridSpan w:val="2"/>
          </w:tcPr>
          <w:p>
            <w:pPr>
              <w:ind w:left="320"/>
              <w:spacing w:after="0"/>
              <w:rPr>
                <w:sz w:val="20"/>
                <w:szCs w:val="20"/>
                <w:color w:val="auto"/>
              </w:rPr>
            </w:pPr>
            <w:r>
              <w:rPr>
                <w:rFonts w:ascii="Arial" w:cs="Arial" w:eastAsia="Arial" w:hAnsi="Arial"/>
                <w:sz w:val="18"/>
                <w:szCs w:val="18"/>
                <w:b w:val="1"/>
                <w:bCs w:val="1"/>
                <w:color w:val="auto"/>
              </w:rPr>
              <w:t>Third</w:t>
            </w:r>
          </w:p>
        </w:tc>
        <w:tc>
          <w:tcPr>
            <w:tcW w:w="2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Fourth</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520" w:type="dxa"/>
            <w:vAlign w:val="bottom"/>
            <w:vMerge w:val="continue"/>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251,120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236,526</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208,496</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223,020</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919,162</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193,636</w:t>
            </w: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5"/>
                <w:szCs w:val="15"/>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19,504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20,895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23,774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25,427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89,600</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104,036</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23,430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75,363</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9"/>
        </w:trPr>
        <w:tc>
          <w:tcPr>
            <w:tcW w:w="35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may not equal the face of the Consolidated Statements of Income due to rounding.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provided by operating activities in fiscal 2025 was $111.1 million compared to $159.5 million in fiscal 2024. The decrease in cash provided by operating activities in fiscal 2025 as compared to fiscal 2024 was primarily driven by increases in customer receivables as a result of higher sales, as well as higher inventory levels, partially offset by an increase in net income. Due to the nature of our operations, which includes purchases of large quantities of bulk chemicals, the timing of purchases can result in significant changes in working capital and the resulting operating cash flow. Historically, our cash requirements for working capital increase during the period from March through November as inventory levels increase as most of our barges are received during this period.</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used in investing activities was $128.0 million in fiscal 2025 compared to $122.5 million in fiscal 2024. Capital expenditures for property, plant and equipment were $41.1 million in fiscal 2025 and $40.2 million in fiscal 2024. Cash used in investing activities included Water Treatment group acquisition spending of $87.4 million in fiscal 2025 compared to $83.5 million of acquisition spending in fiscal 2024.</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used in financing activities was $ 14.8 million in fiscal 2025 compared to $37.4 million in fiscal 2024. Cash used in financing activities included net debt borrowings of $50.0 million in fiscal 2025 and net debt repayments of $13.0 million in fiscal 2024. We paid out cash dividends of $14.6 million in fiscal 2025 and $13.2 million in fiscal 2024. In fiscal 2025, we used $20.7 million to repurchase shares under our board-authorized share repurchase program, and in fiscal 2024, we used $11.3 million to repurchase shares under the program.</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cash balance was $5.1 million at March 30, 2025, a decrease of $2.1 million as compared with March 31, 2024. Cash flows generated by operations during fiscal 2025 were offset by the cash expended for acquisitions, capital expenditures, repayments of debt, dividend payments and share repurchases in fiscal 2025.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jc w:val="both"/>
        <w:spacing w:after="0" w:line="261" w:lineRule="auto"/>
        <w:rPr>
          <w:sz w:val="20"/>
          <w:szCs w:val="20"/>
          <w:color w:val="auto"/>
        </w:rPr>
      </w:pPr>
      <w:r>
        <w:rPr>
          <w:rFonts w:ascii="Arial" w:cs="Arial" w:eastAsia="Arial" w:hAnsi="Arial"/>
          <w:sz w:val="18"/>
          <w:szCs w:val="18"/>
          <w:color w:val="auto"/>
        </w:rPr>
        <w:t>We are party to the Credit Agreement with U.S. Bank and the lenders which provides us with the Revolving Loan Facility totaling $400.0 million. The Revolving Loan Facility includes a $10 million letter of credit subfacility and $25 million swingline subfacility. The Revolving Loan Facility has a five-year maturity date, maturing on April 25, 2030. The Revolving Loan Facility is secured by substantially all of our personal property assets and those of our subsidiaries. At March 30, 2025, we had $149 million outstanding under the Revolving Loan Facility.</w:t>
      </w:r>
    </w:p>
    <w:p>
      <w:pPr>
        <w:spacing w:after="0" w:line="200" w:lineRule="exact"/>
        <w:rPr>
          <w:sz w:val="20"/>
          <w:szCs w:val="20"/>
          <w:color w:val="auto"/>
        </w:rPr>
      </w:pP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the Revolving Loan Facility bear interest at a rate per annum equal to one of the following, plus, in both cases, an applicable margin based upon our leverage ratio: (a) Term SOFR for an interest period of one, three or six months as selected by us, reset at the end of the selected interest period, or (b) a base rate determined by reference to the highest of (1) U. S. Bank’s prime rate, (2) the Federal Funds Effective Rate plus 0.5%, or (3) one-month Term SOFR for U.S. dollars plus 1.0%. The Term SOFR margin is between 1.0% and 1.85%, depending on our leverage ratio. The base rate margin is between 0.00% and 0.85%, depending on our leverage ratio. At March 30, 2025, the effective interest rate on our borrowings was 4.3%.</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and 0.25%, depending on our leverage ratio.</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 March 30, 2025, the unamortized balance of these costs was $0.2 million, and is reflected as a reduction of debt on our balance sheet.</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3.5 to 1.0, subject to an election by us to increase the maximum total cash flow leverage ratio to 4.0 to 1.0 after certain Permitted Acquisitions subject to limitations set forth in the Credit Agreement.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March 30, 2025 and expect to remain in compliance with all covenants for the next 12 months.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 We believe that our existing cash and cash equivalents, together with cash generated from operations and available borrowings under our existing Credit Agreement, will be sufficient to meet our working capital expenditure requirements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Material Cash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aggregate information about our contractual payment obligations and the periods in which payments are due:</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Payments Due by Fiscal Period</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3000" w:type="dxa"/>
            <w:vAlign w:val="bottom"/>
            <w:vMerge w:val="restart"/>
          </w:tcPr>
          <w:p>
            <w:pPr>
              <w:spacing w:after="0"/>
              <w:rPr>
                <w:sz w:val="20"/>
                <w:szCs w:val="20"/>
                <w:color w:val="auto"/>
              </w:rPr>
            </w:pPr>
            <w:r>
              <w:rPr>
                <w:rFonts w:ascii="Arial" w:cs="Arial" w:eastAsia="Arial" w:hAnsi="Arial"/>
                <w:sz w:val="18"/>
                <w:szCs w:val="18"/>
                <w:b w:val="1"/>
                <w:bCs w:val="1"/>
                <w:color w:val="auto"/>
              </w:rPr>
              <w:t>Contractual Obligation</w:t>
            </w:r>
          </w:p>
        </w:tc>
        <w:tc>
          <w:tcPr>
            <w:tcW w:w="220" w:type="dxa"/>
            <w:vAlign w:val="bottom"/>
          </w:tcPr>
          <w:p>
            <w:pPr>
              <w:spacing w:after="0"/>
              <w:rPr>
                <w:sz w:val="15"/>
                <w:szCs w:val="15"/>
                <w:color w:val="auto"/>
              </w:rPr>
            </w:pP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300" w:type="dxa"/>
            <w:vAlign w:val="bottom"/>
          </w:tcPr>
          <w:p>
            <w:pPr>
              <w:spacing w:after="0"/>
              <w:rPr>
                <w:sz w:val="15"/>
                <w:szCs w:val="15"/>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2027</w:t>
            </w:r>
          </w:p>
        </w:tc>
        <w:tc>
          <w:tcPr>
            <w:tcW w:w="300" w:type="dxa"/>
            <w:vAlign w:val="bottom"/>
          </w:tcPr>
          <w:p>
            <w:pPr>
              <w:spacing w:after="0"/>
              <w:rPr>
                <w:sz w:val="15"/>
                <w:szCs w:val="15"/>
                <w:color w:val="auto"/>
              </w:rPr>
            </w:pPr>
          </w:p>
        </w:tc>
        <w:tc>
          <w:tcPr>
            <w:tcW w:w="8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2028</w:t>
            </w:r>
          </w:p>
        </w:tc>
        <w:tc>
          <w:tcPr>
            <w:tcW w:w="320" w:type="dxa"/>
            <w:vAlign w:val="bottom"/>
          </w:tcPr>
          <w:p>
            <w:pPr>
              <w:spacing w:after="0"/>
              <w:rPr>
                <w:sz w:val="15"/>
                <w:szCs w:val="15"/>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2029</w:t>
            </w:r>
          </w:p>
        </w:tc>
        <w:tc>
          <w:tcPr>
            <w:tcW w:w="260" w:type="dxa"/>
            <w:vAlign w:val="bottom"/>
          </w:tcPr>
          <w:p>
            <w:pPr>
              <w:spacing w:after="0"/>
              <w:rPr>
                <w:sz w:val="15"/>
                <w:szCs w:val="15"/>
                <w:color w:val="auto"/>
              </w:rPr>
            </w:pPr>
          </w:p>
        </w:tc>
        <w:tc>
          <w:tcPr>
            <w:tcW w:w="8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2030</w:t>
            </w:r>
          </w:p>
        </w:tc>
        <w:tc>
          <w:tcPr>
            <w:tcW w:w="220" w:type="dxa"/>
            <w:vAlign w:val="bottom"/>
          </w:tcPr>
          <w:p>
            <w:pPr>
              <w:spacing w:after="0"/>
              <w:rPr>
                <w:sz w:val="15"/>
                <w:szCs w:val="15"/>
                <w:color w:val="auto"/>
              </w:rPr>
            </w:pPr>
          </w:p>
        </w:tc>
        <w:tc>
          <w:tcPr>
            <w:tcW w:w="1020" w:type="dxa"/>
            <w:vAlign w:val="bottom"/>
          </w:tcPr>
          <w:p>
            <w:pPr>
              <w:jc w:val="right"/>
              <w:ind w:right="70"/>
              <w:spacing w:after="0" w:line="177" w:lineRule="exact"/>
              <w:rPr>
                <w:sz w:val="20"/>
                <w:szCs w:val="20"/>
                <w:color w:val="auto"/>
              </w:rPr>
            </w:pPr>
            <w:r>
              <w:rPr>
                <w:rFonts w:ascii="Arial" w:cs="Arial" w:eastAsia="Arial" w:hAnsi="Arial"/>
                <w:sz w:val="18"/>
                <w:szCs w:val="18"/>
                <w:b w:val="1"/>
                <w:bCs w:val="1"/>
                <w:color w:val="auto"/>
                <w:w w:val="97"/>
              </w:rPr>
              <w:t>More than</w:t>
            </w:r>
          </w:p>
        </w:tc>
        <w:tc>
          <w:tcPr>
            <w:tcW w:w="320" w:type="dxa"/>
            <w:vAlign w:val="bottom"/>
          </w:tcPr>
          <w:p>
            <w:pPr>
              <w:spacing w:after="0"/>
              <w:rPr>
                <w:sz w:val="15"/>
                <w:szCs w:val="15"/>
                <w:color w:val="auto"/>
              </w:rPr>
            </w:pPr>
          </w:p>
        </w:tc>
        <w:tc>
          <w:tcPr>
            <w:tcW w:w="8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3000" w:type="dxa"/>
            <w:vAlign w:val="bottom"/>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 Years</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Senior secured revolver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149,000</w:t>
            </w:r>
          </w:p>
        </w:tc>
        <w:tc>
          <w:tcPr>
            <w:tcW w:w="3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149,000</w:t>
            </w: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Interest payments (2)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6,527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6,527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3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13,598</w:t>
            </w: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Arial" w:cs="Arial" w:eastAsia="Arial" w:hAnsi="Arial"/>
                <w:sz w:val="18"/>
                <w:szCs w:val="18"/>
                <w:color w:val="auto"/>
              </w:rPr>
              <w:t>Operating lease obligations (3)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3,425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2,955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2,685</w:t>
            </w:r>
          </w:p>
        </w:tc>
        <w:tc>
          <w:tcPr>
            <w:tcW w:w="3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2,309</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3,053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15,875</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Pension withdrawal liability (4)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3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467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1,636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39"/>
        </w:trPr>
        <w:tc>
          <w:tcPr>
            <w:tcW w:w="3000" w:type="dxa"/>
            <w:vAlign w:val="bottom"/>
          </w:tcPr>
          <w:p>
            <w:pPr>
              <w:spacing w:after="0"/>
              <w:rPr>
                <w:sz w:val="20"/>
                <w:szCs w:val="20"/>
                <w:color w:val="auto"/>
              </w:rPr>
            </w:pPr>
            <w:r>
              <w:rPr>
                <w:rFonts w:ascii="Arial" w:cs="Arial" w:eastAsia="Arial" w:hAnsi="Arial"/>
                <w:sz w:val="18"/>
                <w:szCs w:val="18"/>
                <w:color w:val="auto"/>
              </w:rPr>
              <w:t>Earnout liability (5)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12,604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12,604</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57" w:lineRule="auto"/>
        <w:tabs>
          <w:tab w:leader="none" w:pos="541"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balance outstanding as of March 30, 2025, and assumes such amount remains outstanding until its maturity date, as periodic payments are not required under the terms of our Credit Agreement. However, it is our intention to pay down our debt with available excess cash flow. See Note 8 to our consolidated Financial Statements for further information.</w:t>
      </w:r>
    </w:p>
    <w:p>
      <w:pPr>
        <w:spacing w:after="0" w:line="1" w:lineRule="exact"/>
        <w:rPr>
          <w:rFonts w:ascii="Arial" w:cs="Arial" w:eastAsia="Arial" w:hAnsi="Arial"/>
          <w:sz w:val="18"/>
          <w:szCs w:val="18"/>
          <w:color w:val="auto"/>
        </w:rPr>
      </w:pPr>
    </w:p>
    <w:p>
      <w:pPr>
        <w:ind w:left="340" w:hanging="332"/>
        <w:spacing w:after="0" w:line="250" w:lineRule="auto"/>
        <w:tabs>
          <w:tab w:leader="none" w:pos="603"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interest payments and commitment fees payable on outstanding balances under our revolver, net of the expected receivable from our interest rate swap agreement, and assumes interest rates remain unchanged from the rate as of March 30, 2025.</w:t>
      </w: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reported under ASC Topic 842.</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relates to our withdrawal from a multiemployer pension plan. Payments on this obligation will continue through 2034.</w:t>
      </w:r>
    </w:p>
    <w:p>
      <w:pPr>
        <w:spacing w:after="0" w:line="9" w:lineRule="exact"/>
        <w:rPr>
          <w:rFonts w:ascii="Arial" w:cs="Arial" w:eastAsia="Arial" w:hAnsi="Arial"/>
          <w:sz w:val="18"/>
          <w:szCs w:val="18"/>
          <w:color w:val="auto"/>
        </w:rPr>
      </w:pPr>
    </w:p>
    <w:p>
      <w:pPr>
        <w:ind w:left="340" w:hanging="332"/>
        <w:spacing w:after="0" w:line="266" w:lineRule="auto"/>
        <w:tabs>
          <w:tab w:leader="none" w:pos="53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fair value of the earnout liability recorded in conjunction with the Water Solutions acquisition is based upon achieving certain targets payable 3 years after acquisition.</w:t>
      </w:r>
    </w:p>
    <w:p>
      <w:pPr>
        <w:spacing w:after="0" w:line="6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addition to the above contractual obligations, in the ordinary course of business we have routine cash requirements related to capital expenditures for new trucks, facility improvements and expansions, safety equipment and other additions of property, plant and equipment. Our capital expenditures in fiscal 2025 were $41.1 million and in fiscal 2024 were $40.2 million. We anticipate total capital expenditures to be approximately $60 million for fiscal 2026.</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have determined the following is a critical accounting estimate material to our consolidated financial position, results of operations or cash flow.</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Acquisition accounting. </w:t>
      </w:r>
      <w:r>
        <w:rPr>
          <w:rFonts w:ascii="Arial" w:cs="Arial" w:eastAsia="Arial" w:hAnsi="Arial"/>
          <w:sz w:val="18"/>
          <w:szCs w:val="18"/>
          <w:color w:val="auto"/>
        </w:rPr>
        <w:t>The fair value of the consideration we pay for each new acquisition is allocated to tangible assets and identifiable</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assets and liabilities assumed. The accounting for acquisitions involves a considerable amount of judgment and estimate, including the fair value of certain forms of consideration; fair value of acquired intangible assets involving projections of future revenues and cash flows that are then either discounted at an estimated discount rate or measured at an estimated royalty rate; fair value of other acquired assets and assumed liabilities, including potential contingencies; and the useful lives of the acquired assets. The assumptions used are determined at the time of the acquisition in accordance with accepted valuation models. Projections are developed using internal forecasts, available industry and market data and estimates of long-term rates of growth for the business. The impact of prior or future acquisitions on our financial position or results of operations may be materially impacted by the change in or initial selection of assumptions and estimates. See Note 2, Acquisitions included in Part II, Item 8 of this Form 10-K for further discussion of business combination accounting valuation methodology and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on to our customers; however, there are no assurances that we will be able to pass on the increases in the future.</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credit facility. A 25-basis point change in interest rates on the variable-rate portion of debt not covered by the interest rate swap would potentially increase or decrease annual interest expense by approximately $0.2 million. Other types of market risk, such as foreign currency risk, do not arise in the normal course of our business activities.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7"/>
        </w:trPr>
        <w:tc>
          <w:tcPr>
            <w:tcW w:w="1066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40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40" w:type="dxa"/>
            <w:vAlign w:val="bottom"/>
            <w:gridSpan w:val="5"/>
          </w:tcPr>
          <w:p>
            <w:pPr>
              <w:jc w:val="center"/>
              <w:ind w:right="294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0640" w:type="dxa"/>
            <w:vAlign w:val="bottom"/>
            <w:gridSpan w:val="9"/>
          </w:tcPr>
          <w:p>
            <w:pPr>
              <w:spacing w:after="0" w:line="195"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3051F2"/>
              </w:rPr>
              <w:t>(PCAOB ID: 248)</w:t>
            </w:r>
          </w:p>
        </w:tc>
        <w:tc>
          <w:tcPr>
            <w:tcW w:w="580" w:type="dxa"/>
            <w:vAlign w:val="bottom"/>
            <w:gridSpan w:val="2"/>
          </w:tcPr>
          <w:p>
            <w:pPr>
              <w:jc w:val="right"/>
              <w:ind w:right="380"/>
              <w:spacing w:after="0" w:line="195" w:lineRule="exact"/>
              <w:rPr>
                <w:sz w:val="20"/>
                <w:szCs w:val="20"/>
                <w:color w:val="auto"/>
              </w:rPr>
            </w:pPr>
            <w:r>
              <w:rPr>
                <w:rFonts w:ascii="Arial" w:cs="Arial" w:eastAsia="Arial" w:hAnsi="Arial"/>
                <w:sz w:val="18"/>
                <w:szCs w:val="18"/>
                <w:color w:val="0000FF"/>
                <w:w w:val="89"/>
              </w:rPr>
              <w:t>25</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shd w:val="clear" w:color="auto" w:fill="3051F2"/>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600" w:type="dxa"/>
            <w:vAlign w:val="bottom"/>
            <w:gridSpan w:val="7"/>
          </w:tcPr>
          <w:p>
            <w:pPr>
              <w:spacing w:after="0"/>
              <w:rPr>
                <w:sz w:val="20"/>
                <w:szCs w:val="20"/>
                <w:color w:val="auto"/>
              </w:rPr>
            </w:pPr>
            <w:r>
              <w:rPr>
                <w:rFonts w:ascii="Arial" w:cs="Arial" w:eastAsia="Arial" w:hAnsi="Arial"/>
                <w:sz w:val="18"/>
                <w:szCs w:val="18"/>
                <w:color w:val="0000FF"/>
              </w:rPr>
              <w:t>Consolidated Balance Sheets</w:t>
            </w:r>
          </w:p>
        </w:tc>
        <w:tc>
          <w:tcPr>
            <w:tcW w:w="144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0000FF"/>
                <w:w w:val="89"/>
              </w:rPr>
              <w:t>27</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0000FF"/>
                <w:w w:val="99"/>
              </w:rPr>
              <w:t>Consolidated Statements of Income</w:t>
            </w:r>
          </w:p>
        </w:tc>
        <w:tc>
          <w:tcPr>
            <w:tcW w:w="7780" w:type="dxa"/>
            <w:vAlign w:val="bottom"/>
            <w:gridSpan w:val="7"/>
          </w:tcPr>
          <w:p>
            <w:pPr>
              <w:spacing w:after="0"/>
              <w:rPr>
                <w:sz w:val="22"/>
                <w:szCs w:val="22"/>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0000FF"/>
                <w:w w:val="89"/>
              </w:rPr>
              <w:t>28</w:t>
            </w:r>
          </w:p>
        </w:tc>
      </w:tr>
      <w:tr>
        <w:trPr>
          <w:trHeight w:val="20"/>
        </w:trPr>
        <w:tc>
          <w:tcPr>
            <w:tcW w:w="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640" w:type="dxa"/>
            <w:vAlign w:val="bottom"/>
            <w:gridSpan w:val="9"/>
          </w:tcPr>
          <w:p>
            <w:pPr>
              <w:spacing w:after="0"/>
              <w:rPr>
                <w:sz w:val="20"/>
                <w:szCs w:val="20"/>
                <w:color w:val="auto"/>
              </w:rPr>
            </w:pPr>
            <w:r>
              <w:rPr>
                <w:rFonts w:ascii="Arial" w:cs="Arial" w:eastAsia="Arial" w:hAnsi="Arial"/>
                <w:sz w:val="18"/>
                <w:szCs w:val="18"/>
                <w:color w:val="0000FF"/>
              </w:rPr>
              <w:t>Consolidated Statements of Comprehensive Income</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0000FF"/>
                <w:w w:val="89"/>
              </w:rPr>
              <w:t>29</w:t>
            </w:r>
          </w:p>
        </w:tc>
      </w:tr>
      <w:tr>
        <w:trPr>
          <w:trHeight w:val="20"/>
        </w:trPr>
        <w:tc>
          <w:tcPr>
            <w:tcW w:w="2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gridSpan w:val="6"/>
          </w:tcPr>
          <w:p>
            <w:pPr>
              <w:spacing w:after="0"/>
              <w:rPr>
                <w:sz w:val="20"/>
                <w:szCs w:val="20"/>
                <w:color w:val="auto"/>
              </w:rPr>
            </w:pPr>
            <w:r>
              <w:rPr>
                <w:rFonts w:ascii="Arial" w:cs="Arial" w:eastAsia="Arial" w:hAnsi="Arial"/>
                <w:sz w:val="18"/>
                <w:szCs w:val="18"/>
                <w:color w:val="0000FF"/>
              </w:rPr>
              <w:t>Consolidated Statements of Shareholders’ Equity</w:t>
            </w:r>
          </w:p>
        </w:tc>
        <w:tc>
          <w:tcPr>
            <w:tcW w:w="6480" w:type="dxa"/>
            <w:vAlign w:val="bottom"/>
            <w:gridSpan w:val="3"/>
          </w:tcPr>
          <w:p>
            <w:pPr>
              <w:spacing w:after="0"/>
              <w:rPr>
                <w:sz w:val="22"/>
                <w:szCs w:val="22"/>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0000FF"/>
                <w:w w:val="89"/>
              </w:rPr>
              <w:t>30</w:t>
            </w: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920" w:type="dxa"/>
            <w:vAlign w:val="bottom"/>
            <w:gridSpan w:val="5"/>
          </w:tcPr>
          <w:p>
            <w:pPr>
              <w:spacing w:after="0"/>
              <w:rPr>
                <w:sz w:val="20"/>
                <w:szCs w:val="20"/>
                <w:color w:val="auto"/>
              </w:rPr>
            </w:pPr>
            <w:r>
              <w:rPr>
                <w:rFonts w:ascii="Arial" w:cs="Arial" w:eastAsia="Arial" w:hAnsi="Arial"/>
                <w:sz w:val="18"/>
                <w:szCs w:val="18"/>
                <w:color w:val="0000FF"/>
              </w:rPr>
              <w:t>Consolidated Statements of Cash Flows</w:t>
            </w:r>
          </w:p>
        </w:tc>
        <w:tc>
          <w:tcPr>
            <w:tcW w:w="6720" w:type="dxa"/>
            <w:vAlign w:val="bottom"/>
            <w:gridSpan w:val="4"/>
          </w:tcPr>
          <w:p>
            <w:pPr>
              <w:spacing w:after="0"/>
              <w:rPr>
                <w:sz w:val="22"/>
                <w:szCs w:val="22"/>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0000FF"/>
                <w:w w:val="89"/>
              </w:rPr>
              <w:t>31</w:t>
            </w:r>
          </w:p>
        </w:tc>
      </w:tr>
      <w:tr>
        <w:trPr>
          <w:trHeight w:val="20"/>
        </w:trPr>
        <w:tc>
          <w:tcPr>
            <w:tcW w:w="2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40" w:type="dxa"/>
            <w:vAlign w:val="bottom"/>
            <w:gridSpan w:val="5"/>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640" w:type="dxa"/>
            <w:vAlign w:val="bottom"/>
            <w:gridSpan w:val="9"/>
          </w:tcPr>
          <w:p>
            <w:pPr>
              <w:spacing w:after="0"/>
              <w:rPr>
                <w:sz w:val="20"/>
                <w:szCs w:val="20"/>
                <w:color w:val="auto"/>
              </w:rPr>
            </w:pPr>
            <w:r>
              <w:rPr>
                <w:rFonts w:ascii="Arial" w:cs="Arial" w:eastAsia="Arial" w:hAnsi="Arial"/>
                <w:sz w:val="18"/>
                <w:szCs w:val="18"/>
                <w:color w:val="0000FF"/>
              </w:rPr>
              <w:t>Notes to Consolidated Financial Statements</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0000FF"/>
                <w:w w:val="89"/>
              </w:rPr>
              <w:t>32</w:t>
            </w:r>
          </w:p>
        </w:tc>
      </w:tr>
      <w:tr>
        <w:trPr>
          <w:trHeight w:val="929"/>
        </w:trPr>
        <w:tc>
          <w:tcPr>
            <w:tcW w:w="20" w:type="dxa"/>
            <w:vAlign w:val="bottom"/>
          </w:tcPr>
          <w:p>
            <w:pPr>
              <w:spacing w:after="0"/>
              <w:rPr>
                <w:sz w:val="24"/>
                <w:szCs w:val="24"/>
                <w:color w:val="auto"/>
              </w:rPr>
            </w:pPr>
          </w:p>
        </w:tc>
        <w:tc>
          <w:tcPr>
            <w:tcW w:w="3500" w:type="dxa"/>
            <w:vAlign w:val="bottom"/>
            <w:tcBorders>
              <w:top w:val="single" w:sz="8" w:color="0000FF"/>
            </w:tcBorders>
            <w:gridSpan w:val="4"/>
          </w:tcPr>
          <w:p>
            <w:pPr>
              <w:spacing w:after="0"/>
              <w:rPr>
                <w:sz w:val="24"/>
                <w:szCs w:val="24"/>
                <w:color w:val="auto"/>
              </w:rPr>
            </w:pPr>
          </w:p>
        </w:tc>
        <w:tc>
          <w:tcPr>
            <w:tcW w:w="2540" w:type="dxa"/>
            <w:vAlign w:val="bottom"/>
            <w:gridSpan w:val="4"/>
          </w:tcPr>
          <w:p>
            <w:pPr>
              <w:jc w:val="right"/>
              <w:ind w:right="340"/>
              <w:spacing w:after="0"/>
              <w:rPr>
                <w:sz w:val="20"/>
                <w:szCs w:val="20"/>
                <w:color w:val="auto"/>
              </w:rPr>
            </w:pPr>
            <w:r>
              <w:rPr>
                <w:rFonts w:ascii="Arial" w:cs="Arial" w:eastAsia="Arial" w:hAnsi="Arial"/>
                <w:sz w:val="18"/>
                <w:szCs w:val="18"/>
                <w:color w:val="auto"/>
              </w:rPr>
              <w:t>24</w:t>
            </w:r>
          </w:p>
        </w:tc>
        <w:tc>
          <w:tcPr>
            <w:tcW w:w="46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internal control over financial reporting</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Hawkins, Inc. (a Minnesota corporation) and subsidiaries (the “Company”) as of March 30, 2025,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March 30, 2025,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March 30, 2025, and our report dated May 14, 2025 expressed an unqualified opinion on those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 of, and opinion on, the Company’s internal control over financial reporting does not include the internal control over financial reporting of Amerochem or Waterguard, wholly-owned subsidiaries, whose financial statements reflect total assets and revenues constituting less than 10 and less than 2 percent, respectively, of the related consolidated financial statement amounts as of and for the year ended March 30, 2025. As indicated in Management’s Report, Amerochem and Waterguard were acquired during fiscal 2025. Management’s assertion on the effectiveness of the Company’s internal control over financial reporting excluded internal control over financial reporting of Amerochem and Waterguard.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14, 2025</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8" w:name="page29"/>
    <w:bookmarkEnd w:id="28"/>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audited the accompanying consolidated balance sheets of Hawkins, Inc. (a Minnesota corporation) and subsidiaries (the “Company”) as of March 30, 2025 and March 31, 2024, and the related consolidated statements of income, comprehensive income, shareholders’ equity, and cash flows for each of the three years in the period ended March 30, 2025, and the related notes and financial statement schedule included under Item 15(a) (collectively referred to as the “consolidated financial statements”). In our opinion, the consolidated financial statements present fairly, in all material respects, the financial position of the Company as of March 30, 2025 and March 31, 2024, and the results of its operations and its cash flows for each of the three years in the period ended March 30, 2025, in conformity with accounting principles generally accepted in the United States of America.</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March 30, 2025, based on criteria established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(“COSO”),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May 14, 2025 expressed an unqualified opinion.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30, 2025</w:t>
            </w:r>
          </w:p>
        </w:tc>
        <w:tc>
          <w:tcPr>
            <w:tcW w:w="180" w:type="dxa"/>
            <w:vAlign w:val="bottom"/>
          </w:tcPr>
          <w:p>
            <w:pPr>
              <w:spacing w:after="0"/>
              <w:rPr>
                <w:sz w:val="20"/>
                <w:szCs w:val="20"/>
                <w:color w:val="auto"/>
              </w:rPr>
            </w:pPr>
          </w:p>
        </w:tc>
        <w:tc>
          <w:tcPr>
            <w:tcW w:w="1660" w:type="dxa"/>
            <w:vAlign w:val="bottom"/>
          </w:tcPr>
          <w:p>
            <w:pPr>
              <w:jc w:val="right"/>
              <w:ind w:right="199"/>
              <w:spacing w:after="0"/>
              <w:rPr>
                <w:sz w:val="20"/>
                <w:szCs w:val="20"/>
                <w:color w:val="auto"/>
              </w:rPr>
            </w:pPr>
            <w:r>
              <w:rPr>
                <w:rFonts w:ascii="Arial" w:cs="Arial" w:eastAsia="Arial" w:hAnsi="Arial"/>
                <w:sz w:val="18"/>
                <w:szCs w:val="18"/>
                <w:b w:val="1"/>
                <w:bCs w:val="1"/>
                <w:color w:val="auto"/>
              </w:rPr>
              <w:t>March 31, 2024</w:t>
            </w:r>
          </w:p>
        </w:tc>
        <w:tc>
          <w:tcPr>
            <w:tcW w:w="0" w:type="dxa"/>
            <w:vAlign w:val="bottom"/>
          </w:tcPr>
          <w:p>
            <w:pPr>
              <w:spacing w:after="0"/>
              <w:rPr>
                <w:sz w:val="1"/>
                <w:szCs w:val="1"/>
                <w:color w:val="auto"/>
              </w:rPr>
            </w:pPr>
          </w:p>
        </w:tc>
      </w:tr>
      <w:tr>
        <w:trPr>
          <w:trHeight w:val="196"/>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7,153</w:t>
            </w: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Trade accounts receivables, net</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131,795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114,477</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74,600</w:t>
            </w: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6,596</w:t>
            </w:r>
          </w:p>
        </w:tc>
        <w:tc>
          <w:tcPr>
            <w:tcW w:w="0" w:type="dxa"/>
            <w:vAlign w:val="bottom"/>
          </w:tcPr>
          <w:p>
            <w:pPr>
              <w:spacing w:after="0"/>
              <w:rPr>
                <w:sz w:val="1"/>
                <w:szCs w:val="1"/>
                <w:color w:val="auto"/>
              </w:rPr>
            </w:pPr>
          </w:p>
        </w:tc>
      </w:tr>
      <w:tr>
        <w:trPr>
          <w:trHeight w:val="209"/>
        </w:trPr>
        <w:tc>
          <w:tcPr>
            <w:tcW w:w="7440" w:type="dxa"/>
            <w:vAlign w:val="bottom"/>
          </w:tcPr>
          <w:p>
            <w:pPr>
              <w:ind w:left="112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230,691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202,826</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Land</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18,679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17,916</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Buildings and improvements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147,701</w:t>
            </w: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Machinery and equipment</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150,981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141,262</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Transportation equipment</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67,868</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Office furniture and equipment</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11,901</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386,648</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195,667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177,774</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property, plant, and equipment</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208,874</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Right-of-use assets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11,713</w:t>
            </w: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135,409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103,399</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116,626</w:t>
            </w: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Deferred compensation plan asset</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11,185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9,584</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4,912</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313,890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246,234</w:t>
            </w:r>
          </w:p>
        </w:tc>
        <w:tc>
          <w:tcPr>
            <w:tcW w:w="0" w:type="dxa"/>
            <w:vAlign w:val="bottom"/>
          </w:tcPr>
          <w:p>
            <w:pPr>
              <w:spacing w:after="0"/>
              <w:rPr>
                <w:sz w:val="1"/>
                <w:szCs w:val="1"/>
                <w:color w:val="auto"/>
              </w:rPr>
            </w:pPr>
          </w:p>
        </w:tc>
      </w:tr>
      <w:tr>
        <w:trPr>
          <w:trHeight w:val="234"/>
        </w:trPr>
        <w:tc>
          <w:tcPr>
            <w:tcW w:w="74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769,867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657,934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Accounts payable — trade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61,195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56,387</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payroll and employee benefits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19,532</w:t>
            </w: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9,913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9,913</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Environmental remediation</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7,700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7,700</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7,832</w:t>
            </w:r>
          </w:p>
        </w:tc>
        <w:tc>
          <w:tcPr>
            <w:tcW w:w="0" w:type="dxa"/>
            <w:vAlign w:val="bottom"/>
          </w:tcPr>
          <w:p>
            <w:pPr>
              <w:spacing w:after="0"/>
              <w:rPr>
                <w:sz w:val="1"/>
                <w:szCs w:val="1"/>
                <w:color w:val="auto"/>
              </w:rPr>
            </w:pPr>
          </w:p>
        </w:tc>
      </w:tr>
      <w:tr>
        <w:trPr>
          <w:trHeight w:val="209"/>
        </w:trPr>
        <w:tc>
          <w:tcPr>
            <w:tcW w:w="7440" w:type="dxa"/>
            <w:vAlign w:val="bottom"/>
          </w:tcPr>
          <w:p>
            <w:pPr>
              <w:ind w:left="112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107,135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103,307</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Long-term debt, less current portion</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138,906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88,818</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lease liability</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9,530</w:t>
            </w: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Pension withdrawal liability</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3,155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3,538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Deferred compensation liability</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13,132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11,764</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Earnout liability</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11,235</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202,440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148,601</w:t>
            </w:r>
          </w:p>
        </w:tc>
        <w:tc>
          <w:tcPr>
            <w:tcW w:w="0" w:type="dxa"/>
            <w:vAlign w:val="bottom"/>
          </w:tcPr>
          <w:p>
            <w:pPr>
              <w:spacing w:after="0"/>
              <w:rPr>
                <w:sz w:val="1"/>
                <w:szCs w:val="1"/>
                <w:color w:val="auto"/>
              </w:rPr>
            </w:pPr>
          </w:p>
        </w:tc>
      </w:tr>
      <w:tr>
        <w:trPr>
          <w:trHeight w:val="209"/>
        </w:trPr>
        <w:tc>
          <w:tcPr>
            <w:tcW w:w="7440" w:type="dxa"/>
            <w:vAlign w:val="bottom"/>
          </w:tcPr>
          <w:p>
            <w:pPr>
              <w:ind w:left="80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309,575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251,908</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44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Common shares; authorized: 60,000,000 shares of $0.01 par value; 20,684,621 and 20,790,261</w:t>
            </w:r>
          </w:p>
        </w:tc>
        <w:tc>
          <w:tcPr>
            <w:tcW w:w="20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issued and outstanding for 2025 and 2024, respectively</w:t>
            </w:r>
          </w:p>
        </w:tc>
        <w:tc>
          <w:tcPr>
            <w:tcW w:w="20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24,094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38,154</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434,259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364,549</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3,115</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460,292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406,026</w:t>
            </w:r>
          </w:p>
        </w:tc>
        <w:tc>
          <w:tcPr>
            <w:tcW w:w="0" w:type="dxa"/>
            <w:vAlign w:val="bottom"/>
          </w:tcPr>
          <w:p>
            <w:pPr>
              <w:spacing w:after="0"/>
              <w:rPr>
                <w:sz w:val="1"/>
                <w:szCs w:val="1"/>
                <w:color w:val="auto"/>
              </w:rPr>
            </w:pPr>
          </w:p>
        </w:tc>
      </w:tr>
      <w:tr>
        <w:trPr>
          <w:trHeight w:val="209"/>
        </w:trPr>
        <w:tc>
          <w:tcPr>
            <w:tcW w:w="7440" w:type="dxa"/>
            <w:vAlign w:val="bottom"/>
          </w:tcPr>
          <w:p>
            <w:pPr>
              <w:ind w:left="112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769,867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657,934</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9"/>
              </w:rPr>
              <w:t>Fiscal Year Ended</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23"/>
        </w:trPr>
        <w:tc>
          <w:tcPr>
            <w:tcW w:w="5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30, 2025</w:t>
            </w:r>
          </w:p>
        </w:tc>
        <w:tc>
          <w:tcPr>
            <w:tcW w:w="180" w:type="dxa"/>
            <w:vAlign w:val="bottom"/>
          </w:tcPr>
          <w:p>
            <w:pPr>
              <w:spacing w:after="0"/>
              <w:rPr>
                <w:sz w:val="19"/>
                <w:szCs w:val="19"/>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March 31, 2024</w:t>
            </w:r>
          </w:p>
        </w:tc>
        <w:tc>
          <w:tcPr>
            <w:tcW w:w="200" w:type="dxa"/>
            <w:vAlign w:val="bottom"/>
          </w:tcPr>
          <w:p>
            <w:pPr>
              <w:spacing w:after="0"/>
              <w:rPr>
                <w:sz w:val="19"/>
                <w:szCs w:val="19"/>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rPr>
              <w:t>April 02, 2023</w:t>
            </w: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919,162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935,098</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(725,526)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(769,979)</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165,119</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(76,969)</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88,150</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(5,234)</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114,383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101,145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82,582</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(22,541)</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75,363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60,041</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outstanding-basic</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20,803,872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20,864,348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20,848,077</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outstanding-diluted</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20,936,502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21,014,326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21,014,905</w:t>
            </w:r>
          </w:p>
        </w:tc>
      </w:tr>
      <w:tr>
        <w:trPr>
          <w:trHeight w:val="270"/>
        </w:trPr>
        <w:tc>
          <w:tcPr>
            <w:tcW w:w="5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0"/>
        </w:trPr>
        <w:tc>
          <w:tcPr>
            <w:tcW w:w="5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39"/>
        </w:trPr>
        <w:tc>
          <w:tcPr>
            <w:tcW w:w="5780" w:type="dxa"/>
            <w:vAlign w:val="bottom"/>
          </w:tcPr>
          <w:p>
            <w:pPr>
              <w:ind w:left="20"/>
              <w:spacing w:after="0"/>
              <w:rPr>
                <w:sz w:val="20"/>
                <w:szCs w:val="20"/>
                <w:color w:val="auto"/>
              </w:rPr>
            </w:pPr>
            <w:r>
              <w:rPr>
                <w:rFonts w:ascii="Arial" w:cs="Arial" w:eastAsia="Arial" w:hAnsi="Arial"/>
                <w:sz w:val="18"/>
                <w:szCs w:val="18"/>
                <w:color w:val="auto"/>
              </w:rPr>
              <w:t>Cash dividends declared and paid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0.7000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0.6300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0.5700</w:t>
            </w:r>
          </w:p>
        </w:tc>
      </w:tr>
    </w:tbl>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Fiscal Year Ended</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30, 2025</w:t>
            </w:r>
          </w:p>
        </w:tc>
        <w:tc>
          <w:tcPr>
            <w:tcW w:w="16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2024</w:t>
            </w:r>
          </w:p>
        </w:tc>
        <w:tc>
          <w:tcPr>
            <w:tcW w:w="20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rPr>
              <w:t>April 2, 2023</w:t>
            </w:r>
          </w:p>
        </w:tc>
      </w:tr>
      <w:tr>
        <w:trPr>
          <w:trHeight w:val="250"/>
        </w:trPr>
        <w:tc>
          <w:tcPr>
            <w:tcW w:w="60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84,345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75,363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60,041</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Unrealized (loss) gain on interest rate swap</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(loss) income</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75,538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61,690</w:t>
            </w:r>
          </w:p>
        </w:tc>
      </w:tr>
      <w:tr>
        <w:trPr>
          <w:trHeight w:val="21"/>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CONSOLIDATED STATEMENTS OF SHAREHOLDERS’ EQUITY (In thousands, except share data)</w:t>
      </w:r>
    </w:p>
    <w:p>
      <w:pPr>
        <w:spacing w:after="0" w:line="200" w:lineRule="exact"/>
        <w:rPr>
          <w:sz w:val="20"/>
          <w:szCs w:val="20"/>
          <w:color w:val="auto"/>
        </w:rPr>
      </w:pPr>
    </w:p>
    <w:p>
      <w:pPr>
        <w:spacing w:after="0" w:line="217" w:lineRule="exact"/>
        <w:rPr>
          <w:sz w:val="20"/>
          <w:szCs w:val="20"/>
          <w:color w:val="auto"/>
        </w:rPr>
      </w:pPr>
    </w:p>
    <w:p>
      <w:pPr>
        <w:jc w:val="center"/>
        <w:ind w:left="3200"/>
        <w:spacing w:after="0"/>
        <w:rPr>
          <w:sz w:val="20"/>
          <w:szCs w:val="20"/>
          <w:color w:val="auto"/>
        </w:rPr>
      </w:pPr>
      <w:r>
        <w:rPr>
          <w:rFonts w:ascii="Arial" w:cs="Arial" w:eastAsia="Arial" w:hAnsi="Arial"/>
          <w:sz w:val="16"/>
          <w:szCs w:val="16"/>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20955</wp:posOffset>
            </wp:positionV>
            <wp:extent cx="16198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66" w:lineRule="exact"/>
        <w:rPr>
          <w:sz w:val="20"/>
          <w:szCs w:val="20"/>
          <w:color w:val="auto"/>
        </w:rPr>
      </w:pPr>
    </w:p>
    <w:p>
      <w:pPr>
        <w:ind w:left="3320"/>
        <w:spacing w:after="0"/>
        <w:tabs>
          <w:tab w:leader="none" w:pos="4580" w:val="left"/>
        </w:tabs>
        <w:rPr>
          <w:sz w:val="20"/>
          <w:szCs w:val="20"/>
          <w:color w:val="auto"/>
        </w:rPr>
      </w:pPr>
      <w:r>
        <w:rPr>
          <w:rFonts w:ascii="Arial" w:cs="Arial" w:eastAsia="Arial" w:hAnsi="Arial"/>
          <w:sz w:val="16"/>
          <w:szCs w:val="16"/>
          <w:b w:val="1"/>
          <w:bCs w:val="1"/>
          <w:color w:val="auto"/>
        </w:rPr>
        <w:t>Shares</w:t>
      </w:r>
      <w:r>
        <w:rPr>
          <w:sz w:val="20"/>
          <w:szCs w:val="20"/>
          <w:color w:val="auto"/>
        </w:rPr>
        <w:tab/>
      </w: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80" w:type="dxa"/>
            <w:vAlign w:val="bottom"/>
            <w:vMerge w:val="restart"/>
          </w:tcPr>
          <w:p>
            <w:pPr>
              <w:jc w:val="center"/>
              <w:ind w:right="219"/>
              <w:spacing w:after="0"/>
              <w:rPr>
                <w:sz w:val="20"/>
                <w:szCs w:val="20"/>
                <w:color w:val="auto"/>
              </w:rPr>
            </w:pPr>
            <w:r>
              <w:rPr>
                <w:rFonts w:ascii="Arial" w:cs="Arial" w:eastAsia="Arial" w:hAnsi="Arial"/>
                <w:sz w:val="16"/>
                <w:szCs w:val="16"/>
                <w:b w:val="1"/>
                <w:bCs w:val="1"/>
                <w:color w:val="auto"/>
                <w:w w:val="99"/>
              </w:rPr>
              <w:t>Additional</w:t>
            </w:r>
          </w:p>
        </w:tc>
        <w:tc>
          <w:tcPr>
            <w:tcW w:w="124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Accumulated</w:t>
            </w:r>
          </w:p>
        </w:tc>
        <w:tc>
          <w:tcPr>
            <w:tcW w:w="126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1080" w:type="dxa"/>
            <w:vAlign w:val="bottom"/>
            <w:vMerge w:val="continue"/>
          </w:tcPr>
          <w:p>
            <w:pPr>
              <w:spacing w:after="0"/>
              <w:rPr>
                <w:sz w:val="14"/>
                <w:szCs w:val="14"/>
                <w:color w:val="auto"/>
              </w:rPr>
            </w:pPr>
          </w:p>
        </w:tc>
        <w:tc>
          <w:tcPr>
            <w:tcW w:w="124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Retained</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Other</w:t>
            </w: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jc w:val="center"/>
              <w:ind w:right="219"/>
              <w:spacing w:after="0" w:line="162" w:lineRule="exact"/>
              <w:rPr>
                <w:sz w:val="20"/>
                <w:szCs w:val="20"/>
                <w:color w:val="auto"/>
              </w:rPr>
            </w:pPr>
            <w:r>
              <w:rPr>
                <w:rFonts w:ascii="Arial" w:cs="Arial" w:eastAsia="Arial" w:hAnsi="Arial"/>
                <w:sz w:val="16"/>
                <w:szCs w:val="16"/>
                <w:b w:val="1"/>
                <w:bCs w:val="1"/>
                <w:color w:val="auto"/>
              </w:rPr>
              <w:t>Paid-in</w:t>
            </w:r>
          </w:p>
        </w:tc>
        <w:tc>
          <w:tcPr>
            <w:tcW w:w="1240" w:type="dxa"/>
            <w:vAlign w:val="bottom"/>
            <w:vMerge w:val="continue"/>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Comprehensive</w:t>
            </w:r>
          </w:p>
        </w:tc>
        <w:tc>
          <w:tcPr>
            <w:tcW w:w="1260" w:type="dxa"/>
            <w:vAlign w:val="bottom"/>
          </w:tcPr>
          <w:p>
            <w:pPr>
              <w:jc w:val="center"/>
              <w:ind w:left="99"/>
              <w:spacing w:after="0" w:line="162"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6"/>
        </w:trPr>
        <w:tc>
          <w:tcPr>
            <w:tcW w:w="1080" w:type="dxa"/>
            <w:vAlign w:val="bottom"/>
          </w:tcPr>
          <w:p>
            <w:pPr>
              <w:jc w:val="center"/>
              <w:ind w:right="219"/>
              <w:spacing w:after="0"/>
              <w:rPr>
                <w:sz w:val="20"/>
                <w:szCs w:val="20"/>
                <w:color w:val="auto"/>
              </w:rPr>
            </w:pPr>
            <w:r>
              <w:rPr>
                <w:rFonts w:ascii="Arial" w:cs="Arial" w:eastAsia="Arial" w:hAnsi="Arial"/>
                <w:sz w:val="16"/>
                <w:szCs w:val="16"/>
                <w:b w:val="1"/>
                <w:bCs w:val="1"/>
                <w:color w:val="auto"/>
              </w:rPr>
              <w:t>Capital</w:t>
            </w:r>
          </w:p>
        </w:tc>
        <w:tc>
          <w:tcPr>
            <w:tcW w:w="1240" w:type="dxa"/>
            <w:vAlign w:val="bottom"/>
          </w:tcPr>
          <w:p>
            <w:pPr>
              <w:ind w:left="300"/>
              <w:spacing w:after="0"/>
              <w:rPr>
                <w:sz w:val="20"/>
                <w:szCs w:val="20"/>
                <w:color w:val="auto"/>
              </w:rPr>
            </w:pPr>
            <w:r>
              <w:rPr>
                <w:rFonts w:ascii="Arial" w:cs="Arial" w:eastAsia="Arial" w:hAnsi="Arial"/>
                <w:sz w:val="16"/>
                <w:szCs w:val="16"/>
                <w:b w:val="1"/>
                <w:bCs w:val="1"/>
                <w:color w:val="auto"/>
              </w:rPr>
              <w:t>Earnings</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Income (Loss)</w:t>
            </w:r>
          </w:p>
        </w:tc>
        <w:tc>
          <w:tcPr>
            <w:tcW w:w="1260" w:type="dxa"/>
            <w:vAlign w:val="bottom"/>
          </w:tcPr>
          <w:p>
            <w:pPr>
              <w:jc w:val="center"/>
              <w:ind w:left="11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300" w:space="560"/>
            <w:col w:w="5380"/>
          </w:cols>
          <w:pgMar w:left="320" w:top="931" w:right="339" w:bottom="1440" w:gutter="0" w:footer="0" w:header="0"/>
        </w:sectPr>
      </w:pPr>
    </w:p>
    <w:tbl>
      <w:tblPr>
        <w:tblLayout w:type="fixed"/>
        <w:tblInd w:w="0" w:type="dxa"/>
        <w:tblCellMar>
          <w:top w:w="0" w:type="dxa"/>
          <w:left w:w="0" w:type="dxa"/>
          <w:bottom w:w="0" w:type="dxa"/>
          <w:right w:w="0" w:type="dxa"/>
        </w:tblCellMar>
      </w:tblPr>
      <w:tr>
        <w:trPr>
          <w:trHeight w:val="235"/>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April 3, 2022</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20,889,777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254,384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302,601</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32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80" w:type="dxa"/>
            <w:vAlign w:val="bottom"/>
            <w:tcBorders>
              <w:top w:val="single" w:sz="8" w:color="CCEEFF"/>
            </w:tcBorders>
            <w:vMerge w:val="continue"/>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(12,001)</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(12,001)</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Share-based compensation</w:t>
            </w: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3,825</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3,825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expense</w:t>
            </w:r>
          </w:p>
        </w:tc>
        <w:tc>
          <w:tcPr>
            <w:tcW w:w="132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220" w:type="dxa"/>
            <w:vAlign w:val="bottom"/>
          </w:tcPr>
          <w:p>
            <w:pPr>
              <w:jc w:val="right"/>
              <w:spacing w:after="0"/>
              <w:rPr>
                <w:sz w:val="20"/>
                <w:szCs w:val="20"/>
                <w:color w:val="auto"/>
              </w:rPr>
            </w:pPr>
            <w:r>
              <w:rPr>
                <w:rFonts w:ascii="Arial" w:cs="Arial" w:eastAsia="Arial" w:hAnsi="Arial"/>
                <w:sz w:val="16"/>
                <w:szCs w:val="16"/>
                <w:color w:val="auto"/>
              </w:rPr>
              <w:t>113,147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Shares surrendered for payroll</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(36,410)</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w:t>
            </w: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220" w:type="dxa"/>
            <w:vAlign w:val="bottom"/>
          </w:tcPr>
          <w:p>
            <w:pPr>
              <w:jc w:val="right"/>
              <w:spacing w:after="0"/>
              <w:rPr>
                <w:sz w:val="20"/>
                <w:szCs w:val="20"/>
                <w:color w:val="auto"/>
              </w:rPr>
            </w:pPr>
            <w:r>
              <w:rPr>
                <w:rFonts w:ascii="Arial" w:cs="Arial" w:eastAsia="Arial" w:hAnsi="Arial"/>
                <w:sz w:val="16"/>
                <w:szCs w:val="16"/>
                <w:color w:val="auto"/>
              </w:rPr>
              <w:t>65,597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(181,657)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(6,557)</w:t>
            </w:r>
          </w:p>
        </w:tc>
        <w:tc>
          <w:tcPr>
            <w:tcW w:w="0" w:type="dxa"/>
            <w:vAlign w:val="bottom"/>
          </w:tcPr>
          <w:p>
            <w:pPr>
              <w:spacing w:after="0"/>
              <w:rPr>
                <w:sz w:val="1"/>
                <w:szCs w:val="1"/>
                <w:color w:val="auto"/>
              </w:rPr>
            </w:pPr>
          </w:p>
        </w:tc>
      </w:tr>
      <w:tr>
        <w:trPr>
          <w:trHeight w:val="162"/>
        </w:trPr>
        <w:tc>
          <w:tcPr>
            <w:tcW w:w="2980" w:type="dxa"/>
            <w:vAlign w:val="bottom"/>
          </w:tcPr>
          <w:p>
            <w:pPr>
              <w:ind w:left="360"/>
              <w:spacing w:after="0" w:line="162" w:lineRule="exact"/>
              <w:rPr>
                <w:sz w:val="20"/>
                <w:szCs w:val="20"/>
                <w:color w:val="auto"/>
              </w:rPr>
            </w:pPr>
            <w:r>
              <w:rPr>
                <w:rFonts w:ascii="Arial" w:cs="Arial" w:eastAsia="Arial" w:hAnsi="Arial"/>
                <w:sz w:val="16"/>
                <w:szCs w:val="16"/>
                <w:color w:val="auto"/>
              </w:rPr>
              <w:t>Other comprehensive income, net</w:t>
            </w: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1,649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of tax</w:t>
            </w:r>
          </w:p>
        </w:tc>
        <w:tc>
          <w:tcPr>
            <w:tcW w:w="13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jc w:val="center"/>
              <w:ind w:right="719"/>
              <w:spacing w:after="0"/>
              <w:rPr>
                <w:sz w:val="20"/>
                <w:szCs w:val="20"/>
                <w:color w:val="auto"/>
              </w:rPr>
            </w:pPr>
            <w:r>
              <w:rPr>
                <w:rFonts w:ascii="Arial" w:cs="Arial" w:eastAsia="Arial" w:hAnsi="Arial"/>
                <w:sz w:val="16"/>
                <w:szCs w:val="16"/>
                <w:color w:val="auto"/>
              </w:rPr>
              <w:t>Net income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60,041</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6"/>
                <w:szCs w:val="16"/>
                <w:color w:val="auto"/>
              </w:rPr>
              <w:t>BALANCE — April 2, 2023</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20,850,454</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44,443</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302,424</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2,940</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350,016</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declared and paid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(13,238)</w:t>
            </w:r>
          </w:p>
        </w:tc>
        <w:tc>
          <w:tcPr>
            <w:tcW w:w="0" w:type="dxa"/>
            <w:vAlign w:val="bottom"/>
          </w:tcPr>
          <w:p>
            <w:pPr>
              <w:spacing w:after="0"/>
              <w:rPr>
                <w:sz w:val="1"/>
                <w:szCs w:val="1"/>
                <w:color w:val="auto"/>
              </w:rPr>
            </w:pPr>
          </w:p>
        </w:tc>
      </w:tr>
      <w:tr>
        <w:trPr>
          <w:trHeight w:val="162"/>
        </w:trPr>
        <w:tc>
          <w:tcPr>
            <w:tcW w:w="2980" w:type="dxa"/>
            <w:vAlign w:val="bottom"/>
          </w:tcPr>
          <w:p>
            <w:pPr>
              <w:ind w:left="360"/>
              <w:spacing w:after="0" w:line="162" w:lineRule="exact"/>
              <w:rPr>
                <w:sz w:val="20"/>
                <w:szCs w:val="20"/>
                <w:color w:val="auto"/>
              </w:rPr>
            </w:pPr>
            <w:r>
              <w:rPr>
                <w:rFonts w:ascii="Arial" w:cs="Arial" w:eastAsia="Arial" w:hAnsi="Arial"/>
                <w:sz w:val="16"/>
                <w:szCs w:val="16"/>
                <w:color w:val="auto"/>
              </w:rPr>
              <w:t>Share-based compensation</w:t>
            </w: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4,880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4,880</w:t>
            </w: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expense</w:t>
            </w:r>
          </w:p>
        </w:tc>
        <w:tc>
          <w:tcPr>
            <w:tcW w:w="13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Vesting of restricted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980" w:type="dxa"/>
            <w:vAlign w:val="bottom"/>
          </w:tcPr>
          <w:p>
            <w:pPr>
              <w:ind w:left="360"/>
              <w:spacing w:after="0" w:line="162" w:lineRule="exact"/>
              <w:rPr>
                <w:sz w:val="20"/>
                <w:szCs w:val="20"/>
                <w:color w:val="auto"/>
              </w:rPr>
            </w:pPr>
            <w:r>
              <w:rPr>
                <w:rFonts w:ascii="Arial" w:cs="Arial" w:eastAsia="Arial" w:hAnsi="Arial"/>
                <w:sz w:val="16"/>
                <w:szCs w:val="16"/>
                <w:color w:val="auto"/>
              </w:rPr>
              <w:t>Shares surrendered for payroll</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(48,478)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(2,139)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taxes</w:t>
            </w: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ESPP shares issued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220" w:type="dxa"/>
            <w:vAlign w:val="bottom"/>
          </w:tcPr>
          <w:p>
            <w:pPr>
              <w:jc w:val="right"/>
              <w:spacing w:after="0"/>
              <w:rPr>
                <w:sz w:val="20"/>
                <w:szCs w:val="20"/>
                <w:color w:val="auto"/>
              </w:rPr>
            </w:pPr>
            <w:r>
              <w:rPr>
                <w:rFonts w:ascii="Arial" w:cs="Arial" w:eastAsia="Arial" w:hAnsi="Arial"/>
                <w:sz w:val="16"/>
                <w:szCs w:val="16"/>
                <w:color w:val="auto"/>
              </w:rPr>
              <w:t>(191,861)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(11,272)</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Other comprehensive income, net</w:t>
            </w: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of tax</w:t>
            </w:r>
          </w:p>
        </w:tc>
        <w:tc>
          <w:tcPr>
            <w:tcW w:w="132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jc w:val="center"/>
              <w:ind w:right="719"/>
              <w:spacing w:after="0"/>
              <w:rPr>
                <w:sz w:val="20"/>
                <w:szCs w:val="20"/>
                <w:color w:val="auto"/>
              </w:rPr>
            </w:pPr>
            <w:r>
              <w:rPr>
                <w:rFonts w:ascii="Arial" w:cs="Arial" w:eastAsia="Arial" w:hAnsi="Arial"/>
                <w:sz w:val="16"/>
                <w:szCs w:val="16"/>
                <w:color w:val="auto"/>
              </w:rPr>
              <w:t>Net income</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75,363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75,363</w:t>
            </w:r>
          </w:p>
        </w:tc>
        <w:tc>
          <w:tcPr>
            <w:tcW w:w="0" w:type="dxa"/>
            <w:vAlign w:val="bottom"/>
          </w:tcPr>
          <w:p>
            <w:pPr>
              <w:spacing w:after="0"/>
              <w:rPr>
                <w:sz w:val="1"/>
                <w:szCs w:val="1"/>
                <w:color w:val="auto"/>
              </w:rPr>
            </w:pPr>
          </w:p>
        </w:tc>
      </w:tr>
      <w:tr>
        <w:trPr>
          <w:trHeight w:val="235"/>
        </w:trPr>
        <w:tc>
          <w:tcPr>
            <w:tcW w:w="2980" w:type="dxa"/>
            <w:vAlign w:val="bottom"/>
            <w:tcBorders>
              <w:top w:val="single" w:sz="8" w:color="CCEEFF"/>
              <w:bottom w:val="single" w:sz="8" w:color="CCEEFF"/>
            </w:tcBorders>
            <w:shd w:val="clear" w:color="auto" w:fill="CCEEFF"/>
          </w:tcPr>
          <w:p>
            <w:pPr>
              <w:jc w:val="center"/>
              <w:ind w:right="719"/>
              <w:spacing w:after="0"/>
              <w:rPr>
                <w:sz w:val="20"/>
                <w:szCs w:val="20"/>
                <w:color w:val="auto"/>
              </w:rPr>
            </w:pPr>
            <w:r>
              <w:rPr>
                <w:rFonts w:ascii="Arial" w:cs="Arial" w:eastAsia="Arial" w:hAnsi="Arial"/>
                <w:sz w:val="16"/>
                <w:szCs w:val="16"/>
                <w:color w:val="auto"/>
              </w:rPr>
              <w:t>BALANCE — March 31, 2024</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20,790,261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364,549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406,026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32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80" w:type="dxa"/>
            <w:vAlign w:val="bottom"/>
            <w:tcBorders>
              <w:top w:val="single" w:sz="8" w:color="CCEEFF"/>
            </w:tcBorders>
            <w:vMerge w:val="continue"/>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(14,635)</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(14,635)</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Share-based compensation</w:t>
            </w: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6,498</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6,498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expense</w:t>
            </w:r>
          </w:p>
        </w:tc>
        <w:tc>
          <w:tcPr>
            <w:tcW w:w="132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220" w:type="dxa"/>
            <w:vAlign w:val="bottom"/>
          </w:tcPr>
          <w:p>
            <w:pPr>
              <w:jc w:val="right"/>
              <w:spacing w:after="0"/>
              <w:rPr>
                <w:sz w:val="20"/>
                <w:szCs w:val="20"/>
                <w:color w:val="auto"/>
              </w:rPr>
            </w:pPr>
            <w:r>
              <w:rPr>
                <w:rFonts w:ascii="Arial" w:cs="Arial" w:eastAsia="Arial" w:hAnsi="Arial"/>
                <w:sz w:val="16"/>
                <w:szCs w:val="16"/>
                <w:color w:val="auto"/>
              </w:rPr>
              <w:t>94,305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Shares surrendered for payroll</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(34,047)</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w:t>
            </w: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220" w:type="dxa"/>
            <w:vAlign w:val="bottom"/>
          </w:tcPr>
          <w:p>
            <w:pPr>
              <w:jc w:val="right"/>
              <w:spacing w:after="0"/>
              <w:rPr>
                <w:sz w:val="20"/>
                <w:szCs w:val="20"/>
                <w:color w:val="auto"/>
              </w:rPr>
            </w:pPr>
            <w:r>
              <w:rPr>
                <w:rFonts w:ascii="Arial" w:cs="Arial" w:eastAsia="Arial" w:hAnsi="Arial"/>
                <w:sz w:val="16"/>
                <w:szCs w:val="16"/>
                <w:color w:val="auto"/>
              </w:rPr>
              <w:t>40,045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2,658</w:t>
            </w: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(205,943)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(20,676)</w:t>
            </w:r>
          </w:p>
        </w:tc>
        <w:tc>
          <w:tcPr>
            <w:tcW w:w="0" w:type="dxa"/>
            <w:vAlign w:val="bottom"/>
          </w:tcPr>
          <w:p>
            <w:pPr>
              <w:spacing w:after="0"/>
              <w:rPr>
                <w:sz w:val="1"/>
                <w:szCs w:val="1"/>
                <w:color w:val="auto"/>
              </w:rPr>
            </w:pPr>
          </w:p>
        </w:tc>
      </w:tr>
      <w:tr>
        <w:trPr>
          <w:trHeight w:val="162"/>
        </w:trPr>
        <w:tc>
          <w:tcPr>
            <w:tcW w:w="2980" w:type="dxa"/>
            <w:vAlign w:val="bottom"/>
          </w:tcPr>
          <w:p>
            <w:pPr>
              <w:ind w:left="360"/>
              <w:spacing w:after="0" w:line="162" w:lineRule="exact"/>
              <w:rPr>
                <w:sz w:val="20"/>
                <w:szCs w:val="20"/>
                <w:color w:val="auto"/>
              </w:rPr>
            </w:pPr>
            <w:r>
              <w:rPr>
                <w:rFonts w:ascii="Arial" w:cs="Arial" w:eastAsia="Arial" w:hAnsi="Arial"/>
                <w:sz w:val="16"/>
                <w:szCs w:val="16"/>
                <w:color w:val="auto"/>
              </w:rPr>
              <w:t>Other comprehensive loss, net of</w:t>
            </w: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(1,383)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15"/>
        </w:trPr>
        <w:tc>
          <w:tcPr>
            <w:tcW w:w="2980" w:type="dxa"/>
            <w:vAlign w:val="bottom"/>
          </w:tcPr>
          <w:p>
            <w:pPr>
              <w:ind w:left="360"/>
              <w:spacing w:after="0"/>
              <w:rPr>
                <w:sz w:val="20"/>
                <w:szCs w:val="20"/>
                <w:color w:val="auto"/>
              </w:rPr>
            </w:pPr>
            <w:r>
              <w:rPr>
                <w:rFonts w:ascii="Arial" w:cs="Arial" w:eastAsia="Arial" w:hAnsi="Arial"/>
                <w:sz w:val="16"/>
                <w:szCs w:val="16"/>
                <w:color w:val="auto"/>
              </w:rPr>
              <w:t>tax</w:t>
            </w:r>
          </w:p>
        </w:tc>
        <w:tc>
          <w:tcPr>
            <w:tcW w:w="13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jc w:val="center"/>
              <w:ind w:right="719"/>
              <w:spacing w:after="0"/>
              <w:rPr>
                <w:sz w:val="20"/>
                <w:szCs w:val="20"/>
                <w:color w:val="auto"/>
              </w:rPr>
            </w:pPr>
            <w:r>
              <w:rPr>
                <w:rFonts w:ascii="Arial" w:cs="Arial" w:eastAsia="Arial" w:hAnsi="Arial"/>
                <w:sz w:val="16"/>
                <w:szCs w:val="16"/>
                <w:color w:val="auto"/>
              </w:rPr>
              <w:t>Net income</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84,345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84,345</w:t>
            </w:r>
          </w:p>
        </w:tc>
        <w:tc>
          <w:tcPr>
            <w:tcW w:w="0" w:type="dxa"/>
            <w:vAlign w:val="bottom"/>
          </w:tcPr>
          <w:p>
            <w:pPr>
              <w:spacing w:after="0"/>
              <w:rPr>
                <w:sz w:val="1"/>
                <w:szCs w:val="1"/>
                <w:color w:val="auto"/>
              </w:rPr>
            </w:pPr>
          </w:p>
        </w:tc>
      </w:tr>
      <w:tr>
        <w:trPr>
          <w:trHeight w:val="209"/>
        </w:trPr>
        <w:tc>
          <w:tcPr>
            <w:tcW w:w="2980" w:type="dxa"/>
            <w:vAlign w:val="bottom"/>
          </w:tcPr>
          <w:p>
            <w:pPr>
              <w:jc w:val="center"/>
              <w:ind w:right="719"/>
              <w:spacing w:after="0"/>
              <w:rPr>
                <w:sz w:val="20"/>
                <w:szCs w:val="20"/>
                <w:color w:val="auto"/>
              </w:rPr>
            </w:pPr>
            <w:r>
              <w:rPr>
                <w:rFonts w:ascii="Arial" w:cs="Arial" w:eastAsia="Arial" w:hAnsi="Arial"/>
                <w:sz w:val="16"/>
                <w:szCs w:val="16"/>
                <w:color w:val="auto"/>
              </w:rPr>
              <w:t>BALANCE — March 30, 2025</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20,684,621</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24,094</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434,259</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1,732</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460,292</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Fiscal Year Ended</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30, 2025</w:t>
            </w:r>
          </w:p>
        </w:tc>
        <w:tc>
          <w:tcPr>
            <w:tcW w:w="14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2024</w:t>
            </w:r>
          </w:p>
        </w:tc>
        <w:tc>
          <w:tcPr>
            <w:tcW w:w="180" w:type="dxa"/>
            <w:vAlign w:val="bottom"/>
          </w:tcPr>
          <w:p>
            <w:pPr>
              <w:spacing w:after="0"/>
              <w:rPr>
                <w:sz w:val="19"/>
                <w:szCs w:val="19"/>
                <w:color w:val="auto"/>
              </w:rPr>
            </w:pPr>
          </w:p>
        </w:tc>
        <w:tc>
          <w:tcPr>
            <w:tcW w:w="1420" w:type="dxa"/>
            <w:vAlign w:val="bottom"/>
          </w:tcPr>
          <w:p>
            <w:pPr>
              <w:jc w:val="right"/>
              <w:ind w:right="179"/>
              <w:spacing w:after="0"/>
              <w:rPr>
                <w:sz w:val="20"/>
                <w:szCs w:val="20"/>
                <w:color w:val="auto"/>
              </w:rPr>
            </w:pPr>
            <w:r>
              <w:rPr>
                <w:rFonts w:ascii="Arial" w:cs="Arial" w:eastAsia="Arial" w:hAnsi="Arial"/>
                <w:sz w:val="18"/>
                <w:szCs w:val="18"/>
                <w:b w:val="1"/>
                <w:bCs w:val="1"/>
                <w:color w:val="auto"/>
              </w:rPr>
              <w:t>April 2, 2023</w:t>
            </w:r>
          </w:p>
        </w:tc>
        <w:tc>
          <w:tcPr>
            <w:tcW w:w="0" w:type="dxa"/>
            <w:vAlign w:val="bottom"/>
          </w:tcPr>
          <w:p>
            <w:pPr>
              <w:spacing w:after="0"/>
              <w:rPr>
                <w:sz w:val="1"/>
                <w:szCs w:val="1"/>
                <w:color w:val="auto"/>
              </w:rPr>
            </w:pPr>
          </w:p>
        </w:tc>
      </w:tr>
      <w:tr>
        <w:trPr>
          <w:trHeight w:val="196"/>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84,345</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75,363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60,041</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 provided by operating activities: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39,948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31,803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27,440</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 fair value of earnout liability</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40" w:type="dxa"/>
            <w:vAlign w:val="bottom"/>
          </w:tcPr>
          <w:p>
            <w:pPr>
              <w:ind w:left="680"/>
              <w:spacing w:after="0"/>
              <w:rPr>
                <w:sz w:val="20"/>
                <w:szCs w:val="20"/>
                <w:color w:val="auto"/>
              </w:rPr>
            </w:pPr>
            <w:r>
              <w:rPr>
                <w:rFonts w:ascii="Arial" w:cs="Arial" w:eastAsia="Arial" w:hAnsi="Arial"/>
                <w:sz w:val="16"/>
                <w:szCs w:val="16"/>
                <w:color w:val="auto"/>
              </w:rPr>
              <w:t>Operating leases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3,475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1,971</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on deferred compensation assets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15"/>
        </w:trPr>
        <w:tc>
          <w:tcPr>
            <w:tcW w:w="554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 compensation expense</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3,825</w:t>
            </w:r>
          </w:p>
        </w:tc>
        <w:tc>
          <w:tcPr>
            <w:tcW w:w="0" w:type="dxa"/>
            <w:vAlign w:val="bottom"/>
          </w:tcPr>
          <w:p>
            <w:pPr>
              <w:spacing w:after="0"/>
              <w:rPr>
                <w:sz w:val="1"/>
                <w:szCs w:val="1"/>
                <w:color w:val="auto"/>
              </w:rPr>
            </w:pPr>
          </w:p>
        </w:tc>
      </w:tr>
      <w:tr>
        <w:trPr>
          <w:trHeight w:val="215"/>
        </w:trPr>
        <w:tc>
          <w:tcPr>
            <w:tcW w:w="5540" w:type="dxa"/>
            <w:vAlign w:val="bottom"/>
          </w:tcPr>
          <w:p>
            <w:pPr>
              <w:ind w:left="680"/>
              <w:spacing w:after="0"/>
              <w:rPr>
                <w:sz w:val="20"/>
                <w:szCs w:val="20"/>
                <w:color w:val="auto"/>
              </w:rPr>
            </w:pPr>
            <w:r>
              <w:rPr>
                <w:rFonts w:ascii="Arial" w:cs="Arial" w:eastAsia="Arial" w:hAnsi="Arial"/>
                <w:sz w:val="16"/>
                <w:szCs w:val="16"/>
                <w:color w:val="auto"/>
              </w:rPr>
              <w:t>(Gain) loss from asset disposals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62"/>
        </w:trPr>
        <w:tc>
          <w:tcPr>
            <w:tcW w:w="5540" w:type="dxa"/>
            <w:vAlign w:val="bottom"/>
          </w:tcPr>
          <w:p>
            <w:pPr>
              <w:ind w:left="680"/>
              <w:spacing w:after="0" w:line="162" w:lineRule="exact"/>
              <w:rPr>
                <w:sz w:val="20"/>
                <w:szCs w:val="20"/>
                <w:color w:val="auto"/>
              </w:rPr>
            </w:pPr>
            <w:r>
              <w:rPr>
                <w:rFonts w:ascii="Arial" w:cs="Arial" w:eastAsia="Arial" w:hAnsi="Arial"/>
                <w:sz w:val="16"/>
                <w:szCs w:val="16"/>
                <w:color w:val="auto"/>
              </w:rPr>
              <w:t>Changes in operating accounts (using) providing cash, net of</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680"/>
              <w:spacing w:after="0"/>
              <w:rPr>
                <w:sz w:val="20"/>
                <w:szCs w:val="20"/>
                <w:color w:val="auto"/>
              </w:rPr>
            </w:pPr>
            <w:r>
              <w:rPr>
                <w:rFonts w:ascii="Arial" w:cs="Arial" w:eastAsia="Arial" w:hAnsi="Arial"/>
                <w:sz w:val="16"/>
                <w:szCs w:val="16"/>
                <w:color w:val="auto"/>
              </w:rPr>
              <w:t>acquisitions: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Trade receivables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(6,389)</w:t>
            </w:r>
          </w:p>
        </w:tc>
        <w:tc>
          <w:tcPr>
            <w:tcW w:w="0" w:type="dxa"/>
            <w:vAlign w:val="bottom"/>
          </w:tcPr>
          <w:p>
            <w:pPr>
              <w:spacing w:after="0"/>
              <w:rPr>
                <w:sz w:val="1"/>
                <w:szCs w:val="1"/>
                <w:color w:val="auto"/>
              </w:rPr>
            </w:pPr>
          </w:p>
        </w:tc>
      </w:tr>
      <w:tr>
        <w:trPr>
          <w:trHeight w:val="215"/>
        </w:trPr>
        <w:tc>
          <w:tcPr>
            <w:tcW w:w="5540" w:type="dxa"/>
            <w:vAlign w:val="bottom"/>
          </w:tcPr>
          <w:p>
            <w:pPr>
              <w:ind w:left="102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19,921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4,717</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(11,596)</w:t>
            </w:r>
          </w:p>
        </w:tc>
        <w:tc>
          <w:tcPr>
            <w:tcW w:w="0" w:type="dxa"/>
            <w:vAlign w:val="bottom"/>
          </w:tcPr>
          <w:p>
            <w:pPr>
              <w:spacing w:after="0"/>
              <w:rPr>
                <w:sz w:val="1"/>
                <w:szCs w:val="1"/>
                <w:color w:val="auto"/>
              </w:rPr>
            </w:pPr>
          </w:p>
        </w:tc>
      </w:tr>
      <w:tr>
        <w:trPr>
          <w:trHeight w:val="215"/>
        </w:trPr>
        <w:tc>
          <w:tcPr>
            <w:tcW w:w="5540" w:type="dxa"/>
            <w:vAlign w:val="bottom"/>
          </w:tcPr>
          <w:p>
            <w:pPr>
              <w:ind w:left="102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10,708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Lease liabilities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w:t>
            </w:r>
          </w:p>
        </w:tc>
        <w:tc>
          <w:tcPr>
            <w:tcW w:w="0" w:type="dxa"/>
            <w:vAlign w:val="bottom"/>
          </w:tcPr>
          <w:p>
            <w:pPr>
              <w:spacing w:after="0"/>
              <w:rPr>
                <w:sz w:val="1"/>
                <w:szCs w:val="1"/>
                <w:color w:val="auto"/>
              </w:rPr>
            </w:pPr>
          </w:p>
        </w:tc>
      </w:tr>
      <w:tr>
        <w:trPr>
          <w:trHeight w:val="215"/>
        </w:trPr>
        <w:tc>
          <w:tcPr>
            <w:tcW w:w="5540" w:type="dxa"/>
            <w:vAlign w:val="bottom"/>
          </w:tcPr>
          <w:p>
            <w:pPr>
              <w:ind w:left="102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(4,807)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3,290</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09"/>
        </w:trPr>
        <w:tc>
          <w:tcPr>
            <w:tcW w:w="5540" w:type="dxa"/>
            <w:vAlign w:val="bottom"/>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111,096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159,499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77,400</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360"/>
              <w:spacing w:after="0"/>
              <w:rPr>
                <w:sz w:val="20"/>
                <w:szCs w:val="20"/>
                <w:color w:val="auto"/>
              </w:rPr>
            </w:pPr>
            <w:r>
              <w:rPr>
                <w:rFonts w:ascii="Arial" w:cs="Arial" w:eastAsia="Arial" w:hAnsi="Arial"/>
                <w:sz w:val="16"/>
                <w:szCs w:val="16"/>
                <w:color w:val="auto"/>
              </w:rPr>
              <w:t>Additions to property, plant, and equipment</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(41,096)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(40,151)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(48,321)</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asset disposals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7,091</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(41,230)</w:t>
            </w:r>
          </w:p>
        </w:tc>
        <w:tc>
          <w:tcPr>
            <w:tcW w:w="0" w:type="dxa"/>
            <w:vAlign w:val="bottom"/>
          </w:tcPr>
          <w:p>
            <w:pPr>
              <w:spacing w:after="0"/>
              <w:rPr>
                <w:sz w:val="1"/>
                <w:szCs w:val="1"/>
                <w:color w:val="auto"/>
              </w:rPr>
            </w:pP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paid</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(12,001)</w:t>
            </w:r>
          </w:p>
        </w:tc>
        <w:tc>
          <w:tcPr>
            <w:tcW w:w="0" w:type="dxa"/>
            <w:vAlign w:val="bottom"/>
          </w:tcPr>
          <w:p>
            <w:pPr>
              <w:spacing w:after="0"/>
              <w:rPr>
                <w:sz w:val="1"/>
                <w:szCs w:val="1"/>
                <w:color w:val="auto"/>
              </w:rPr>
            </w:pPr>
          </w:p>
        </w:tc>
      </w:tr>
      <w:tr>
        <w:trPr>
          <w:trHeight w:val="215"/>
        </w:trPr>
        <w:tc>
          <w:tcPr>
            <w:tcW w:w="5540" w:type="dxa"/>
            <w:vAlign w:val="bottom"/>
          </w:tcPr>
          <w:p>
            <w:pPr>
              <w:ind w:left="360"/>
              <w:spacing w:after="0"/>
              <w:rPr>
                <w:sz w:val="20"/>
                <w:szCs w:val="20"/>
                <w:color w:val="auto"/>
              </w:rPr>
            </w:pPr>
            <w:r>
              <w:rPr>
                <w:rFonts w:ascii="Arial" w:cs="Arial" w:eastAsia="Arial" w:hAnsi="Arial"/>
                <w:sz w:val="16"/>
                <w:szCs w:val="16"/>
                <w:color w:val="auto"/>
              </w:rPr>
              <w:t>New shares issued</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0" w:type="dxa"/>
            <w:vAlign w:val="bottom"/>
          </w:tcPr>
          <w:p>
            <w:pPr>
              <w:spacing w:after="0"/>
              <w:rPr>
                <w:sz w:val="1"/>
                <w:szCs w:val="1"/>
                <w:color w:val="auto"/>
              </w:rPr>
            </w:pPr>
          </w:p>
        </w:tc>
      </w:tr>
      <w:tr>
        <w:trPr>
          <w:trHeight w:val="215"/>
        </w:trPr>
        <w:tc>
          <w:tcPr>
            <w:tcW w:w="554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(20,676)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(11,272)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(6,557)</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on senior secured revolving loan</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(59,000)</w:t>
            </w:r>
          </w:p>
        </w:tc>
        <w:tc>
          <w:tcPr>
            <w:tcW w:w="0" w:type="dxa"/>
            <w:vAlign w:val="bottom"/>
          </w:tcPr>
          <w:p>
            <w:pPr>
              <w:spacing w:after="0"/>
              <w:rPr>
                <w:sz w:val="1"/>
                <w:szCs w:val="1"/>
                <w:color w:val="auto"/>
              </w:rPr>
            </w:pPr>
          </w:p>
        </w:tc>
      </w:tr>
      <w:tr>
        <w:trPr>
          <w:trHeight w:val="215"/>
        </w:trPr>
        <w:tc>
          <w:tcPr>
            <w:tcW w:w="55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Borrowings on senior secured revolving loan</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45,000</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(used in)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(32,100)</w:t>
            </w:r>
          </w:p>
        </w:tc>
        <w:tc>
          <w:tcPr>
            <w:tcW w:w="0" w:type="dxa"/>
            <w:vAlign w:val="bottom"/>
          </w:tcPr>
          <w:p>
            <w:pPr>
              <w:spacing w:after="0"/>
              <w:rPr>
                <w:sz w:val="1"/>
                <w:szCs w:val="1"/>
                <w:color w:val="auto"/>
              </w:rPr>
            </w:pPr>
          </w:p>
        </w:tc>
      </w:tr>
      <w:tr>
        <w:trPr>
          <w:trHeight w:val="209"/>
        </w:trPr>
        <w:tc>
          <w:tcPr>
            <w:tcW w:w="5540" w:type="dxa"/>
            <w:vAlign w:val="bottom"/>
          </w:tcPr>
          <w:p>
            <w:pPr>
              <w:ind w:left="180"/>
              <w:spacing w:after="0"/>
              <w:rPr>
                <w:sz w:val="20"/>
                <w:szCs w:val="20"/>
                <w:color w:val="auto"/>
              </w:rPr>
            </w:pPr>
            <w:r>
              <w:rPr>
                <w:rFonts w:ascii="Arial" w:cs="Arial" w:eastAsia="Arial" w:hAnsi="Arial"/>
                <w:sz w:val="16"/>
                <w:szCs w:val="16"/>
                <w:color w:val="auto"/>
              </w:rPr>
              <w:t>NET (DECREASE) INCREASE IN CASH AND CASH EQUIVALENTS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4,070</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 - beginning of year</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09"/>
        </w:trPr>
        <w:tc>
          <w:tcPr>
            <w:tcW w:w="5540" w:type="dxa"/>
            <w:vAlign w:val="bottom"/>
          </w:tcPr>
          <w:p>
            <w:pPr>
              <w:ind w:left="360"/>
              <w:spacing w:after="0"/>
              <w:rPr>
                <w:sz w:val="20"/>
                <w:szCs w:val="20"/>
                <w:color w:val="auto"/>
              </w:rPr>
            </w:pPr>
            <w:r>
              <w:rPr>
                <w:rFonts w:ascii="Arial" w:cs="Arial" w:eastAsia="Arial" w:hAnsi="Arial"/>
                <w:sz w:val="16"/>
                <w:szCs w:val="16"/>
                <w:color w:val="auto"/>
              </w:rPr>
              <w:t>CASH AND CASH EQUIVALENTS - 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5,103</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7,566</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SUPPLEMENTAL DISCLOSURES OF CASH FLOW INFORMATION-</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540" w:type="dxa"/>
            <w:vAlign w:val="bottom"/>
          </w:tcPr>
          <w:p>
            <w:pPr>
              <w:ind w:left="360"/>
              <w:spacing w:after="0"/>
              <w:rPr>
                <w:sz w:val="20"/>
                <w:szCs w:val="20"/>
                <w:color w:val="auto"/>
              </w:rPr>
            </w:pPr>
            <w:r>
              <w:rPr>
                <w:rFonts w:ascii="Arial" w:cs="Arial" w:eastAsia="Arial" w:hAnsi="Arial"/>
                <w:sz w:val="16"/>
                <w:szCs w:val="16"/>
                <w:color w:val="auto"/>
              </w:rPr>
              <w:t>Cash paid during the year for income taxes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34,386</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28,631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19,485</w:t>
            </w:r>
          </w:p>
        </w:tc>
        <w:tc>
          <w:tcPr>
            <w:tcW w:w="0" w:type="dxa"/>
            <w:vAlign w:val="bottom"/>
          </w:tcPr>
          <w:p>
            <w:pPr>
              <w:spacing w:after="0"/>
              <w:rPr>
                <w:sz w:val="1"/>
                <w:szCs w:val="1"/>
                <w:color w:val="auto"/>
              </w:rPr>
            </w:pPr>
          </w:p>
        </w:tc>
      </w:tr>
      <w:tr>
        <w:trPr>
          <w:trHeight w:val="217"/>
        </w:trPr>
        <w:tc>
          <w:tcPr>
            <w:tcW w:w="5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interest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4,759</w:t>
            </w:r>
          </w:p>
        </w:tc>
        <w:tc>
          <w:tcPr>
            <w:tcW w:w="0" w:type="dxa"/>
            <w:vAlign w:val="bottom"/>
          </w:tcPr>
          <w:p>
            <w:pPr>
              <w:spacing w:after="0"/>
              <w:rPr>
                <w:sz w:val="1"/>
                <w:szCs w:val="1"/>
                <w:color w:val="auto"/>
              </w:rPr>
            </w:pPr>
          </w:p>
        </w:tc>
      </w:tr>
      <w:tr>
        <w:trPr>
          <w:trHeight w:val="162"/>
        </w:trPr>
        <w:tc>
          <w:tcPr>
            <w:tcW w:w="5540" w:type="dxa"/>
            <w:vAlign w:val="bottom"/>
          </w:tcPr>
          <w:p>
            <w:pPr>
              <w:ind w:left="360"/>
              <w:spacing w:after="0" w:line="162" w:lineRule="exact"/>
              <w:rPr>
                <w:sz w:val="20"/>
                <w:szCs w:val="20"/>
                <w:color w:val="auto"/>
              </w:rPr>
            </w:pPr>
            <w:r>
              <w:rPr>
                <w:rFonts w:ascii="Arial" w:cs="Arial" w:eastAsia="Arial" w:hAnsi="Arial"/>
                <w:sz w:val="16"/>
                <w:szCs w:val="16"/>
                <w:color w:val="auto"/>
              </w:rPr>
              <w:t>Noncash investing activities - Capital expenditures in accounts</w:t>
            </w:r>
          </w:p>
        </w:tc>
        <w:tc>
          <w:tcPr>
            <w:tcW w:w="14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1,841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2,697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2,340</w:t>
            </w:r>
          </w:p>
        </w:tc>
        <w:tc>
          <w:tcPr>
            <w:tcW w:w="0" w:type="dxa"/>
            <w:vAlign w:val="bottom"/>
          </w:tcPr>
          <w:p>
            <w:pPr>
              <w:spacing w:after="0"/>
              <w:rPr>
                <w:sz w:val="1"/>
                <w:szCs w:val="1"/>
                <w:color w:val="auto"/>
              </w:rPr>
            </w:pPr>
          </w:p>
        </w:tc>
      </w:tr>
      <w:tr>
        <w:trPr>
          <w:trHeight w:val="215"/>
        </w:trPr>
        <w:tc>
          <w:tcPr>
            <w:tcW w:w="5540" w:type="dxa"/>
            <w:vAlign w:val="bottom"/>
          </w:tcPr>
          <w:p>
            <w:pPr>
              <w:ind w:left="360"/>
              <w:spacing w:after="0"/>
              <w:rPr>
                <w:sz w:val="20"/>
                <w:szCs w:val="20"/>
                <w:color w:val="auto"/>
              </w:rPr>
            </w:pPr>
            <w:r>
              <w:rPr>
                <w:rFonts w:ascii="Arial" w:cs="Arial" w:eastAsia="Arial" w:hAnsi="Arial"/>
                <w:sz w:val="16"/>
                <w:szCs w:val="16"/>
                <w:color w:val="auto"/>
              </w:rPr>
              <w:t>payable</w:t>
            </w:r>
          </w:p>
        </w:tc>
        <w:tc>
          <w:tcPr>
            <w:tcW w:w="1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688" w:right="101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Significant Accounting Policies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Nature of Business - </w:t>
      </w:r>
      <w:r>
        <w:rPr>
          <w:rFonts w:ascii="Arial" w:cs="Arial" w:eastAsia="Arial" w:hAnsi="Arial"/>
          <w:sz w:val="18"/>
          <w:szCs w:val="18"/>
          <w:color w:val="auto"/>
        </w:rPr>
        <w:t>We have three reportable segments: Water Treatment, Industrial, and Health and Nutrition. The Water Treatment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Group specializes in providing chemicals, products, equipment, services and solutions for potable water, municipal and industrial wastewater, industrial process water, non-residential swimming pool water and agricultural water. This group has the resources and flexibility to treat systems ranging in size from a single small well to a multi-million-gallon-per-day facility. The Industrial Group specializes in providing industrial chemicals, products and services to industries such as agriculture, chemical processing, electronics, energy, food, pharmaceutical and plating. This group also manufactures and sells certain food-grade products, including liquid phosphates, lactates and other blended products. Our Health and Nutrition Group specializes in providing ingredient distribution, processing and formulation solutions to manufacturers of nutraceutical, functional food and beverage, personal care, dietary supplement and other nutritional food, health and wellness products. This group offers a diverse product portfolio including minerals, vitamins and amino acids, excipients, joint products, botanicals and herbs, sweeteners and enzymes.</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Fiscal Year - </w:t>
      </w:r>
      <w:r>
        <w:rPr>
          <w:rFonts w:ascii="Arial" w:cs="Arial" w:eastAsia="Arial" w:hAnsi="Arial"/>
          <w:sz w:val="18"/>
          <w:szCs w:val="18"/>
          <w:color w:val="auto"/>
        </w:rPr>
        <w:t>Our fiscal year is a 52 or 53-week year ending on the Sunday closest to March 31. Our fiscal 2025 was 52 weeks, fiscal 2024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52 weeks, and fiscal 2023 was 52 weeks. Fiscal 2026 will be 52 weeks.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Principles of Consolidation - </w:t>
      </w:r>
      <w:r>
        <w:rPr>
          <w:rFonts w:ascii="Arial" w:cs="Arial" w:eastAsia="Arial" w:hAnsi="Arial"/>
          <w:sz w:val="18"/>
          <w:szCs w:val="18"/>
          <w:color w:val="auto"/>
        </w:rPr>
        <w:t>The consolidated financial statements include the accounts of Hawkins, Inc. and its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All intercompany transactions and accounts have been eliminated.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Estimates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 of financial statements in conformity with U.S. generally accepted accounting principles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particularly receivables, inventories, property, plant and equipment, right-of-use assets, goodwill, intangibles, accrued expenses, short-term and long-term lease liabilities, income taxes and related accounts and the reported amounts of revenues and expenses during the reporting period. Actual results could differ from those estimates.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Revenue Recognition - </w:t>
      </w:r>
      <w:r>
        <w:rPr>
          <w:rFonts w:ascii="Arial" w:cs="Arial" w:eastAsia="Arial" w:hAnsi="Arial"/>
          <w:sz w:val="18"/>
          <w:szCs w:val="18"/>
          <w:color w:val="auto"/>
        </w:rPr>
        <w:t>Revenue is measured as the amount of consideration we expect to receive in exchange for transferring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is recognized when we satisfy our performance obligations under the contract. We recognize revenue upon transfer of control of the promised products to the customer, with revenue recognized at the point in time the customer obtains control of the products. Net sales include products and shipping charges, net of estimates for product returns and any related sales rebates.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 in sales at the time revenue is recognized in an amount estimated based on historical experience and contractual obligations.</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Shipping and Handling - </w:t>
      </w:r>
      <w:r>
        <w:rPr>
          <w:rFonts w:ascii="Arial" w:cs="Arial" w:eastAsia="Arial" w:hAnsi="Arial"/>
          <w:sz w:val="18"/>
          <w:szCs w:val="18"/>
          <w:color w:val="auto"/>
        </w:rPr>
        <w:t>All shipping and handling amounts billed to customers are included in revenues. Costs incurred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shipping and the handling of products are included in cost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Fair Value Measurements - </w:t>
      </w:r>
      <w:r>
        <w:rPr>
          <w:rFonts w:ascii="Arial" w:cs="Arial" w:eastAsia="Arial" w:hAnsi="Arial"/>
          <w:sz w:val="18"/>
          <w:szCs w:val="18"/>
          <w:color w:val="auto"/>
        </w:rPr>
        <w:t>The financial assets and liabilities that are re-measured and reported at fair value for each reporting period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interest rate swap, marketable securities held in a deferred compensation retirement plan, and the earnout liability recorded in conjunction with the acquisition of Water Solutions. There are no fair value measurements with respect to nonfinancial assets or liabilities that are recognized or disclosed at fair value in our consolidated financial statements on a recurring basis.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Valuation is based on quoted prices in active markets for identical assets or liabilities.</w:t>
      </w:r>
    </w:p>
    <w:p>
      <w:pPr>
        <w:spacing w:after="0" w:line="252" w:lineRule="exact"/>
        <w:rPr>
          <w:sz w:val="20"/>
          <w:szCs w:val="20"/>
          <w:color w:val="auto"/>
        </w:rPr>
      </w:pPr>
    </w:p>
    <w:p>
      <w:pPr>
        <w:jc w:val="both"/>
        <w:ind w:left="220" w:firstLine="243"/>
        <w:spacing w:after="0" w:line="268"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on quoted prices in active markets for similar assets or liabilities, or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inputs other than quoted prices that are observable or can be corroborated by observable market data for the asset or liability.</w:t>
      </w:r>
    </w:p>
    <w:p>
      <w:pPr>
        <w:spacing w:after="0" w:line="117" w:lineRule="exact"/>
        <w:rPr>
          <w:sz w:val="20"/>
          <w:szCs w:val="20"/>
          <w:color w:val="auto"/>
        </w:rPr>
      </w:pPr>
    </w:p>
    <w:p>
      <w:pPr>
        <w:jc w:val="both"/>
        <w:ind w:left="220" w:firstLine="243"/>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based upon unobservable inputs for the asset or liability that are supported by little or no market activity. These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are determined using pricing models for which the assumptions utilize management’s estimates or market participant assumptions.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Cash Equivalents - </w:t>
      </w:r>
      <w:r>
        <w:rPr>
          <w:rFonts w:ascii="Arial" w:cs="Arial" w:eastAsia="Arial" w:hAnsi="Arial"/>
          <w:sz w:val="18"/>
          <w:szCs w:val="18"/>
          <w:color w:val="auto"/>
        </w:rPr>
        <w:t>Cash equivalents include all liquid debt instruments (primarily cash funds and money market accounts) purchased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original maturity of three months or less. The cash balances, maintained at large commercial banking institutions with strong credit ratings, typically exceed federally insured limits.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Trade Receivables and Concentrations of Credit Risk - </w:t>
      </w:r>
      <w:r>
        <w:rPr>
          <w:rFonts w:ascii="Arial" w:cs="Arial" w:eastAsia="Arial" w:hAnsi="Arial"/>
          <w:sz w:val="18"/>
          <w:szCs w:val="18"/>
          <w:color w:val="auto"/>
        </w:rPr>
        <w:t>Financial instruments, which potentially subject us to a concentration of credit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principally consist of trade receivables. At the beginning of fiscal 2024, our trade receivables were $129.3 million. We sell our principal products to a large number of customers in many different industries. As of March 30, 2025, we had a significant concentration of credit risk, with a single customer representing approximately 11% of our total trade receivables. There are no other concentrations of credit risk with other single customers from a particular service or geographic area that would significantly impact us in the near term.</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reduce credit risk, we routinely assess the financial strength of our customers. Receivables are reported net of an allowance for credit losses as determined by management at the end of each reporting period. Our receivable allowance is based on an estimate of expected credit losses, with the estimate based on a number of qualitative and quantitative factors that, based on collection experience, may have an impact on repayment risk and ability to collect.</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Inventories - </w:t>
      </w:r>
      <w:r>
        <w:rPr>
          <w:rFonts w:ascii="Arial" w:cs="Arial" w:eastAsia="Arial" w:hAnsi="Arial"/>
          <w:sz w:val="18"/>
          <w:szCs w:val="18"/>
          <w:color w:val="auto"/>
        </w:rPr>
        <w:t>Inventories, consisting primarily of finished goods, are primarily valued at the lower of cost or net realizable value, with cost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79% of our inventory determined using the last-in, first-out (“LIFO”) method. Cost for the other 21% of our total inventory is determined using the first-in, first-out (“FIFO”) method.</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We determine if an arrangement is a lease at inception. Right-of-use ("ROU") assets include operating leases. Lease liabilities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leases are classified in "short-term lease liabilities" and "long-term lease liabilities" in our consolidated balance sheet.</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ROU assets and related liabilities are recognized at commencement date based on the present value of the lease payments over the lease term. As most of our leases do not provide an implicit rate, we use our incremental borrowing rate based on the information available at commencement date in determining the present value of lease payments. Lease terms may include options to extend or terminate the lease when it is reasonably certain that we will exercise that option. Lease expense for lease payments is recognized on a straight-line basis over the lease term.</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Lease and non-lease components are generally accounted for separately for real estate leases. For non-real estate leases, we account for the lease and non-lease components as a single lease component.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Property, Plant and Equipment - </w:t>
      </w:r>
      <w:r>
        <w:rPr>
          <w:rFonts w:ascii="Arial" w:cs="Arial" w:eastAsia="Arial" w:hAnsi="Arial"/>
          <w:sz w:val="18"/>
          <w:szCs w:val="18"/>
          <w:color w:val="auto"/>
        </w:rPr>
        <w:t>Property is stated at cost and depreciated or amortized over the lives of the assets, using the straight-line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Property acquired in a business combination is recorded at the fair value of the assets on the date of acquisition. Estimated lives are generally: 10 to 40 years for buildings and improvements; 3 to 20 years for machinery and equipment; and 3 to 10 years for transportation equipment and office furniture and equipment including computer systems. Leasehold improvements are amortized over the lesser of their estimated useful lives or the remaining lease term. Depreciation and amortization expense is recorded in our Consolidated Statements of Income within cost of sales and selling, general and administrative expense, depending on the use of the underlying asset. We recorded depreciation expense of $27.2 million for fiscal 2025, $23.3 million for fiscal 2024 and $20.5 million for fiscal 2023.</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significant reductions in projected future cash flows. The assessment of possible impairment is based on our ability to recover the carrying value of the asset group from the expected future pre-tax cash flows (undiscounted) of the related asset group. If these cash flows are less than the carrying value of such asset group, an impairment loss would be measured by the amount the carrying value exceeds the fair value of the long-lived asset group. The measurement of impairment requires us to estimate future cash flows and the fair value of long-lived assets. We did not incur any asset write-off charges in fiscal 2025, fiscal 2024, or fiscal 2023 related to the impairment of long-lived assets.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Goodwill and Identifiable Intangible Assets - </w:t>
      </w:r>
      <w:r>
        <w:rPr>
          <w:rFonts w:ascii="Arial" w:cs="Arial" w:eastAsia="Arial" w:hAnsi="Arial"/>
          <w:sz w:val="18"/>
          <w:szCs w:val="18"/>
          <w:color w:val="auto"/>
        </w:rPr>
        <w:t>Goodwill represents the excess of the cost of acquired businesses over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identifiable tangible net 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As of December 30, 2024, we performed an analysis of qualitative factors for our Water Treatment, Industrial, and Health and Nutrition reporting units to determine whether it is more likely than not that the fair value of either of these reporting units was less than its carrying amount as a basis for determining whether it is necessary to perform a quantitative goodwill impairment test. Based on management’s analysis of qualitative factors, we determined that it was not necessary to perform a quantitative goodwill impairment test for any of these reporting units. Goodwill impairment assessments were also completed in the fourth quarters of fiscal 2024 and 2023 and, similarly, we did not record a goodwill impairment charge.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primary identifiable intangible assets include customer relationships, trademarks and tradenames acquired in previous business acquisitions. Identifiable intangible assets with finite lives are amortized whereas identifiable intangible assets with indefinite lives are not amortized. The values assigned to the intangible assets with finite lives are being amortized on average over a remaining useful life of approximately 11 years. Identifiable intangible assets that are subject to amortization are evaluated for impairment whenever events or changes in circumstances indicate that the carrying amount may not be recoverable. No such events or changes in circumstances occurred during fiscal 2025, 2024 or 2023. Identifiable intangible assets not subject to amortization are tested for impairment annually or more frequently if events warrant. The impairment test consists of a qualitative assessment to determine whether it is more likely than not that the asset is impaired. Based on management’s analysis of qualitative factors, we determined that it was not necessary to perform an annual quantitative impairment test for fiscal 2025, 2024 or 2023.</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Business Combinations - </w:t>
      </w:r>
      <w:r>
        <w:rPr>
          <w:rFonts w:ascii="Arial" w:cs="Arial" w:eastAsia="Arial" w:hAnsi="Arial"/>
          <w:sz w:val="18"/>
          <w:szCs w:val="18"/>
          <w:color w:val="auto"/>
        </w:rPr>
        <w:t>We record business combinations using the acquisition method of accounting. Under the acquisition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identifiable assets acquired and liabilities assumed are recorded at their acquisition 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Income Taxes - </w:t>
      </w:r>
      <w:r>
        <w:rPr>
          <w:rFonts w:ascii="Arial" w:cs="Arial" w:eastAsia="Arial" w:hAnsi="Arial"/>
          <w:sz w:val="18"/>
          <w:szCs w:val="18"/>
          <w:color w:val="auto"/>
        </w:rPr>
        <w:t>Deferred taxes are provided for differences between the financial statement and tax basis of assets and liabilities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enacted tax rates in effect for the year in which the differences are expected to reverse. A valuation allowance is provided to offset deferred tax assets if, based on the available evidence, it is more likely than not that some or all of the value of the deferred tax assets will not be realized. We record any interest and penalties related to income taxes as income tax expense in the Consolidated Statements of Income.</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Stock-Based Compensation - </w:t>
      </w:r>
      <w:r>
        <w:rPr>
          <w:rFonts w:ascii="Arial" w:cs="Arial" w:eastAsia="Arial" w:hAnsi="Arial"/>
          <w:sz w:val="18"/>
          <w:szCs w:val="18"/>
          <w:color w:val="auto"/>
        </w:rPr>
        <w:t>We account for stock-based compensation on a fair value basis. The estimated grant date fair value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award is recognized in expense over the requisite service period (generally the vesting period). Non-vested share awards are recorded as expense over the requisite service periods based on the stock price on the date of grant.</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Earnings Per Share - </w:t>
      </w:r>
      <w:r>
        <w:rPr>
          <w:rFonts w:ascii="Arial" w:cs="Arial" w:eastAsia="Arial" w:hAnsi="Arial"/>
          <w:sz w:val="18"/>
          <w:szCs w:val="18"/>
          <w:color w:val="auto"/>
        </w:rPr>
        <w:t>Basic earnings per share (“EPS”) are computed by dividing net income by the weighted-average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EPS are computed by dividing net income by the weighted-average number of common shares outstanding including the incremental shares assumed to be issued as performance units and restricted stock. Basic and diluted EPS were calculated using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00" w:type="dxa"/>
            <w:vAlign w:val="bottom"/>
          </w:tcPr>
          <w:p>
            <w:pPr>
              <w:spacing w:after="0"/>
              <w:rPr>
                <w:sz w:val="20"/>
                <w:szCs w:val="20"/>
                <w:color w:val="auto"/>
              </w:rPr>
            </w:pPr>
          </w:p>
        </w:tc>
        <w:tc>
          <w:tcPr>
            <w:tcW w:w="18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30, 2025</w:t>
            </w:r>
          </w:p>
        </w:tc>
        <w:tc>
          <w:tcPr>
            <w:tcW w:w="182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2024</w:t>
            </w:r>
          </w:p>
        </w:tc>
        <w:tc>
          <w:tcPr>
            <w:tcW w:w="170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 2023</w:t>
            </w:r>
          </w:p>
        </w:tc>
      </w:tr>
      <w:tr>
        <w:trPr>
          <w:trHeight w:val="223"/>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20,803,872</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20,864,348</w:t>
            </w:r>
          </w:p>
        </w:tc>
        <w:tc>
          <w:tcPr>
            <w:tcW w:w="12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20,848,077</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stock performance units and restricted stock</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132,630</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149,978</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166,828</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20,936,502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21,014,326</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21,014,905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There were no shares or stock options excluded from the calculation of weighted average common shares for diluted EPS for fiscal 2025, 2024 or 2023.</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Derivative Instruments and Hedging Activities - </w:t>
      </w:r>
      <w:r>
        <w:rPr>
          <w:rFonts w:ascii="Arial" w:cs="Arial" w:eastAsia="Arial" w:hAnsi="Arial"/>
          <w:sz w:val="18"/>
          <w:szCs w:val="18"/>
          <w:color w:val="auto"/>
        </w:rPr>
        <w:t>We are subject to interest rate risk associated with our variable rate debt. We have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place an interest rate swap agreement which has been designated as a cash flow hedge, the purpose of which is to eliminate the cash flow impact of interest rate changes on a portion of our variable-rate debt. The interest rate swap is measured at fair value on the contract date and is subsequently remeasured to fair value at each reporting date. Changes in the fair value of a derivative that is highly effective, and that is designated and qualifies as a cash flow hedge, are recorded in other comprehensive income, until the consolidated statement of income is affected by the variability in cash flows of the designated hedged item. To the extent that the hedge is ineffective, changes in the fair value are recognized in the Consolidated Statements of Income.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(Topic 740): Improvements to Income Tax Disclosures (ASU No.2023-09)</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2023, the Financial Accounting Standards Board ("FASB") issued accounting standards update No. 2023-09 to enhance the transparency and decision-usefulness of income tax disclosures and to provide information to better assess how an entity's operations and related tax risks and tax planning and operational opportunities affect its tax rate and prospects for future cash flows. For public business entities, the amendments in this update are effective for annual periods beginning after December 15, 2024. The adoption of ASU No. 2023-09 is not expected to have a material impact on the Company's consolidated financial statements but will require disclosure at a lower level of detail when adopted in the Company's Form 10-K for the year ended March 29, 2026 and in periodic reports thereafter.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 (Topic 280): Improvements to Reportable Segment Disclosures (ASU No. 2023-07)</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2023, the FASB issued accounting standards update No. 2023-07 to improve reportable segment disclosure requirements, primarily through enhanced disclosures about significant segment expenses. The update requires public entities to disclose, on an annual and interim basis, significant segment expenses that are regularly provided to the chief operating decision maker ("CODM"), the title and position of the CODM and an explanation of how the CODM uses the reported measure(s) of segment profit or loss in assessing segment performance and deciding how to allocate resources. We adopted this guidance for our annual period ending fiscal 2025. Our adoption of this ASU impacted the level of detail disclosed in our Segment Information footnote and did not have an impact on the Company's consolidated financial position, results of operations or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Acquisition of Amerochem Corporation: </w:t>
      </w:r>
      <w:r>
        <w:rPr>
          <w:rFonts w:ascii="Arial" w:cs="Arial" w:eastAsia="Arial" w:hAnsi="Arial"/>
          <w:sz w:val="18"/>
          <w:szCs w:val="18"/>
          <w:color w:val="auto"/>
        </w:rPr>
        <w:t>On January 31, 2025, we acquired substantially all the assets of Amerochem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("Amerochem") for $44.0 million under the terms of a purchase agreement with Amerochem and its shareholders. Amerochem distributed water treatment chemicals and equipment to its customers primarily throughout North Carolina. The $44.0 million purchase price was allocated as follows: $22.5 million to customer relationships, to be amortized over 18 years; $0.6 million to trade names, to be amortized over two years; $0.1 million to non-compete agreements, to be amortized over two years; $18.7 million to goodwill; $0.2 million to property, plant and equipment; and the remaining amount to net working capital. The goodwill recognized as a result of this acquisition is primarily attributable to strategic and synergistic benefits, as well as the assembled workforce. Such goodwill is expected to be deductible for tax purposes. The purchase price allocation is not yet complete due to the timing of the acquisition. The results of operations since the acquisition date and the assets are included in our Water Treatment segment. Costs associated with this transaction were not material and were expensed as incurred.</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Acquisition of Waterguard, Inc.: </w:t>
      </w:r>
      <w:r>
        <w:rPr>
          <w:rFonts w:ascii="Arial" w:cs="Arial" w:eastAsia="Arial" w:hAnsi="Arial"/>
          <w:sz w:val="18"/>
          <w:szCs w:val="18"/>
          <w:color w:val="auto"/>
        </w:rPr>
        <w:t>On October 30, 2024, we acquired substantially all the assets of Waterguard, Inc. ("Water Guard")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$18.0 million under the terms of a purchase agreement with Water Guard and its shareholders. Water Guard distributed water treatment chemicals and equipment to its customers primarily throughout North Carolina. The $18.0 million purchase price was allocated as follows: $9.3 million to customer relationships, to be amortized over 15 years; $0.5 million to trade names, to be amortized over two years; $5.1 million to goodwill; $1.2 million to property, plant and equipment; and the remaining amount to net working capital. The goodwill recognized as a result of this acquisition is primarily attributable to strategic and synergistic benefits, as well as the assembled workforce. Such goodwill is expected to be deductible for tax purposes. The results of operations since the acquisition date and the assets are included in our Water Treatment segment. Costs associated with this transaction were not material and were expensed as incurred.</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Acquisition of Wofford Water Service, Inc.: </w:t>
      </w:r>
      <w:r>
        <w:rPr>
          <w:rFonts w:ascii="Arial" w:cs="Arial" w:eastAsia="Arial" w:hAnsi="Arial"/>
          <w:sz w:val="18"/>
          <w:szCs w:val="18"/>
          <w:color w:val="auto"/>
        </w:rPr>
        <w:t>On June 28, 2024, we acquired substantially all the assets of Wofford Water Service,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("Wofford") for $3.4 million under the terms of a purchase agreement with Wofford and its shareholders. Wofford distributed water treatment chemicals and equipment to customers mainly in Mississippi. The $3.4 million purchase price was allocated at follows: $2.2 million to customer relationships, to be amortized over 10 years; $1.0 million to goodwill; and the remaining amount was allocated to net working capital. The goodwill recognized as a result of this acquisition is primarily attributable to strategic and synergistic benefits, as well as the assembled workforce. Such goodwill is expected to be deductible for tax purposes. The results of operations since the acquisition date and the assets are included in our Water Treatment segment. Costs associated with this transaction were not material and were expensed as incurred.</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Acquisition of Intercoastal Trading, Inc.: </w:t>
      </w:r>
      <w:r>
        <w:rPr>
          <w:rFonts w:ascii="Arial" w:cs="Arial" w:eastAsia="Arial" w:hAnsi="Arial"/>
          <w:sz w:val="18"/>
          <w:szCs w:val="18"/>
          <w:color w:val="auto"/>
        </w:rPr>
        <w:t>On June 3, 2024, we acquired substantially all the assets of Intercoastal Trading, Inc. and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entities ("Intercoastal") for $22.0 million under the terms of a purchase agreement with Intercoastal and its shareholders. Intercoastal distributes water treatment chemicals and equipment to its customers in Maryland, Delaware and Virginia. The $22.0 million purchase price was allocated as follows: $10.7 million to customer relationships, to be amortized over 15 years; $0.3 million to trade names, to be amortized over two years; $0.1 million to non-compete agreements, to be amortized over one year; $7.2 million to goodwill; $2.4 million to property, plant and equipment; and the remaining amount to net working capital. The goodwill recognized as a result of this acquisition is primarily attributable to strategic and synergistic benefits, as well as the assembled workforce. Such goodwill is expected to be deductible for tax purposes. The results of operations since the acquisition date and the assets are included in our Water Treatment segment. Costs associated with this transaction were not material and were expensed as incurred.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Acquisition of Industrial Research Corporation: </w:t>
      </w:r>
      <w:r>
        <w:rPr>
          <w:rFonts w:ascii="Arial" w:cs="Arial" w:eastAsia="Arial" w:hAnsi="Arial"/>
          <w:sz w:val="18"/>
          <w:szCs w:val="18"/>
          <w:color w:val="auto"/>
        </w:rPr>
        <w:t>In the fourth quarter of fiscal 2024, we acquired substantially all the assets of Industrial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Corporation ("Industrial Research") for $4.6 million under the terms of a purchase agreement with Industrial Research and its shareholders. Industrial Research distributed water treatment chemicals and equipment to customers primarily in central to northern Louisiana, eastern Texas and southern Arkansas. The results of operations since the acquisition date and the assets are included in our Water Treatment segment.</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Acquisition of The Miami Products &amp; Chemical Company: </w:t>
      </w:r>
      <w:r>
        <w:rPr>
          <w:rFonts w:ascii="Arial" w:cs="Arial" w:eastAsia="Arial" w:hAnsi="Arial"/>
          <w:sz w:val="18"/>
          <w:szCs w:val="18"/>
          <w:color w:val="auto"/>
        </w:rPr>
        <w:t>In the third quarter of fiscal 2024, we acquired substantially all the assets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Miami Products &amp; Chemical Company ("Miami Products") for $15.5 million under the terms of a purchase agreement with Miami Products and its shareholders. Miami Products was a bleach manufacturer and distributor serving customers primarily throughout Ohio and the surrounding region. The results of operations since the acquisition date and the assets are included in our Water Treatment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Acquisition of Water Solutions Unlimited, Inc.: </w:t>
      </w:r>
      <w:r>
        <w:rPr>
          <w:rFonts w:ascii="Arial" w:cs="Arial" w:eastAsia="Arial" w:hAnsi="Arial"/>
          <w:sz w:val="18"/>
          <w:szCs w:val="18"/>
          <w:color w:val="auto"/>
        </w:rPr>
        <w:t>In the third quarter of fiscal 2024, we acquired substantially all the assets of Water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Unlimited, Inc. ("Water Solutions") under the terms of a purchase agreement with Water Solutions and its shareholders. We paid $60 million at closing and may be obligated to pay an additional amount based on achieving a certain earnings target three years after the acquisition. Water Solutions is a manufacturer and distributor of water treatment chemicals serving customers primarily throughout Indiana, Illinois and Michigan. The results of operations since the acquisition date and the assets are included in our Water Treatment segment.</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Acquisition of EcoTech Enterprises, Inc.: </w:t>
      </w:r>
      <w:r>
        <w:rPr>
          <w:rFonts w:ascii="Arial" w:cs="Arial" w:eastAsia="Arial" w:hAnsi="Arial"/>
          <w:sz w:val="18"/>
          <w:szCs w:val="18"/>
          <w:color w:val="auto"/>
        </w:rPr>
        <w:t>In the second quarter of fiscal 2024, we acquired substantially all the assets of EcoTech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Enterprises, Inc. ("EcoTech") for $3.4 million, under the terms of a purchase agreement with EcoTech and its shareholders. EcoTech was a water treatment chemical distribution company operating primarily in Arkansas. The results of operations since the acquisition date and the assets are included in our Water Treatment segment.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both operating segments and types of product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external customer net sales by major revenue stream:</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(1)</w:t>
      </w:r>
    </w:p>
    <w:p>
      <w:pPr>
        <w:ind w:left="20"/>
        <w:spacing w:after="0" w:line="208" w:lineRule="auto"/>
        <w:rPr>
          <w:sz w:val="20"/>
          <w:szCs w:val="20"/>
          <w:color w:val="auto"/>
        </w:rPr>
      </w:pPr>
      <w:r>
        <w:rPr>
          <w:rFonts w:ascii="Arial" w:cs="Arial" w:eastAsia="Arial" w:hAnsi="Arial"/>
          <w:sz w:val="18"/>
          <w:szCs w:val="18"/>
          <w:color w:val="auto"/>
        </w:rPr>
        <w:t xml:space="preserve">Distributed specialty products </w:t>
      </w:r>
      <w:r>
        <w:rPr>
          <w:rFonts w:ascii="Arial" w:cs="Arial" w:eastAsia="Arial" w:hAnsi="Arial"/>
          <w:sz w:val="23"/>
          <w:szCs w:val="23"/>
          <w:color w:val="auto"/>
          <w:vertAlign w:val="superscript"/>
        </w:rPr>
        <w:t>(2)</w:t>
      </w:r>
    </w:p>
    <w:p>
      <w:pPr>
        <w:ind w:left="20"/>
        <w:spacing w:after="0" w:line="217" w:lineRule="auto"/>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(1)</w:t>
      </w:r>
    </w:p>
    <w:p>
      <w:pPr>
        <w:ind w:left="20"/>
        <w:spacing w:after="0" w:line="208" w:lineRule="auto"/>
        <w:rPr>
          <w:sz w:val="20"/>
          <w:szCs w:val="20"/>
          <w:color w:val="auto"/>
        </w:rPr>
      </w:pPr>
      <w:r>
        <w:rPr>
          <w:rFonts w:ascii="Arial" w:cs="Arial" w:eastAsia="Arial" w:hAnsi="Arial"/>
          <w:sz w:val="18"/>
          <w:szCs w:val="18"/>
          <w:color w:val="auto"/>
        </w:rPr>
        <w:t xml:space="preserve">Distributed specialty products </w:t>
      </w:r>
      <w:r>
        <w:rPr>
          <w:rFonts w:ascii="Arial" w:cs="Arial" w:eastAsia="Arial" w:hAnsi="Arial"/>
          <w:sz w:val="23"/>
          <w:szCs w:val="23"/>
          <w:color w:val="auto"/>
          <w:vertAlign w:val="superscript"/>
        </w:rPr>
        <w:t>(2)</w:t>
      </w:r>
    </w:p>
    <w:p>
      <w:pPr>
        <w:ind w:left="20"/>
        <w:spacing w:after="0" w:line="217" w:lineRule="auto"/>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(1)</w:t>
      </w:r>
    </w:p>
    <w:p>
      <w:pPr>
        <w:ind w:left="20"/>
        <w:spacing w:after="0" w:line="208" w:lineRule="auto"/>
        <w:rPr>
          <w:sz w:val="20"/>
          <w:szCs w:val="20"/>
          <w:color w:val="auto"/>
        </w:rPr>
      </w:pPr>
      <w:r>
        <w:rPr>
          <w:rFonts w:ascii="Arial" w:cs="Arial" w:eastAsia="Arial" w:hAnsi="Arial"/>
          <w:sz w:val="18"/>
          <w:szCs w:val="18"/>
          <w:color w:val="auto"/>
        </w:rPr>
        <w:t xml:space="preserve">Distributed specialty products </w:t>
      </w:r>
      <w:r>
        <w:rPr>
          <w:rFonts w:ascii="Arial" w:cs="Arial" w:eastAsia="Arial" w:hAnsi="Arial"/>
          <w:sz w:val="23"/>
          <w:szCs w:val="23"/>
          <w:color w:val="auto"/>
          <w:vertAlign w:val="superscript"/>
        </w:rPr>
        <w:t>(2)</w:t>
      </w:r>
    </w:p>
    <w:p>
      <w:pPr>
        <w:ind w:left="20"/>
        <w:spacing w:after="0" w:line="217" w:lineRule="auto"/>
        <w:rPr>
          <w:sz w:val="20"/>
          <w:szCs w:val="20"/>
          <w:color w:val="auto"/>
        </w:rPr>
      </w:pPr>
      <w:r>
        <w:rPr>
          <w:rFonts w:ascii="Arial" w:cs="Arial" w:eastAsia="Arial" w:hAnsi="Arial"/>
          <w:sz w:val="18"/>
          <w:szCs w:val="18"/>
          <w:color w:val="auto"/>
        </w:rPr>
        <w:t xml:space="preserve">Bulk products </w:t>
      </w:r>
      <w:r>
        <w:rPr>
          <w:rFonts w:ascii="Arial" w:cs="Arial" w:eastAsia="Arial" w:hAnsi="Arial"/>
          <w:sz w:val="23"/>
          <w:szCs w:val="23"/>
          <w:color w:val="auto"/>
          <w:vertAlign w:val="superscript"/>
        </w:rPr>
        <w:t>(3)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Fiscal Year Ended March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rPr>
              <w:t>Health and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8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400,849</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319,048</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31,942</w:t>
            </w:r>
          </w:p>
        </w:tc>
        <w:tc>
          <w:tcPr>
            <w:tcW w:w="2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751,839</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113,527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113,527</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56,035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96,012</w:t>
            </w:r>
          </w:p>
        </w:tc>
        <w:tc>
          <w:tcPr>
            <w:tcW w:w="0" w:type="dxa"/>
            <w:vAlign w:val="bottom"/>
          </w:tcPr>
          <w:p>
            <w:pPr>
              <w:spacing w:after="0"/>
              <w:rPr>
                <w:sz w:val="1"/>
                <w:szCs w:val="1"/>
                <w:color w:val="auto"/>
              </w:rPr>
            </w:pPr>
          </w:p>
        </w:tc>
      </w:tr>
      <w:tr>
        <w:trPr>
          <w:trHeight w:val="235"/>
        </w:trPr>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7,404</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13,053</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446,489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382,487</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145,455</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974,431</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-624840</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-334010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-16510</wp:posOffset>
            </wp:positionV>
            <wp:extent cx="71323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96"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Fiscal Year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17780</wp:posOffset>
            </wp:positionV>
            <wp:extent cx="713232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rPr>
              <w:t>Health and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8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327,188</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345,837</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36,375</w:t>
            </w:r>
          </w:p>
        </w:tc>
        <w:tc>
          <w:tcPr>
            <w:tcW w:w="2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709,400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108,789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108,789</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88,069</w:t>
            </w:r>
          </w:p>
        </w:tc>
        <w:tc>
          <w:tcPr>
            <w:tcW w:w="0" w:type="dxa"/>
            <w:vAlign w:val="bottom"/>
          </w:tcPr>
          <w:p>
            <w:pPr>
              <w:spacing w:after="0"/>
              <w:rPr>
                <w:sz w:val="1"/>
                <w:szCs w:val="1"/>
                <w:color w:val="auto"/>
              </w:rPr>
            </w:pPr>
          </w:p>
        </w:tc>
      </w:tr>
      <w:tr>
        <w:trPr>
          <w:trHeight w:val="235"/>
        </w:trPr>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7,908</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12,904</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363,289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409,465</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146,408</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919,162</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-624840</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-333375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-16510</wp:posOffset>
            </wp:positionV>
            <wp:extent cx="7132320" cy="93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9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Fiscal Year Ended April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17780</wp:posOffset>
            </wp:positionV>
            <wp:extent cx="713232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8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rPr>
              <w:t>Health and</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8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271,448</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383,612</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48,575</w:t>
            </w:r>
          </w:p>
        </w:tc>
        <w:tc>
          <w:tcPr>
            <w:tcW w:w="2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703,635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109,468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109,468</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77,479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105,475</w:t>
            </w:r>
          </w:p>
        </w:tc>
        <w:tc>
          <w:tcPr>
            <w:tcW w:w="0" w:type="dxa"/>
            <w:vAlign w:val="bottom"/>
          </w:tcPr>
          <w:p>
            <w:pPr>
              <w:spacing w:after="0"/>
              <w:rPr>
                <w:sz w:val="1"/>
                <w:szCs w:val="1"/>
                <w:color w:val="auto"/>
              </w:rPr>
            </w:pPr>
          </w:p>
        </w:tc>
      </w:tr>
      <w:tr>
        <w:trPr>
          <w:trHeight w:val="235"/>
        </w:trPr>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9,669</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16,520</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304,925</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470,760</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159,413</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935,098</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-624840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-334010</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560" w:space="720"/>
            <w:col w:w="5960"/>
          </w:cols>
          <w:pgMar w:left="320" w:top="122" w:right="339" w:bottom="1440" w:gutter="0" w:footer="0" w:header="0"/>
          <w:type w:val="continuous"/>
        </w:sectPr>
      </w:pPr>
    </w:p>
    <w:p>
      <w:pPr>
        <w:jc w:val="both"/>
        <w:ind w:left="660" w:hanging="328"/>
        <w:spacing w:after="0" w:line="259" w:lineRule="auto"/>
        <w:tabs>
          <w:tab w:leader="none" w:pos="669"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our Water Treatment and Industrial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ind w:left="660" w:hanging="328"/>
        <w:spacing w:after="0" w:line="255" w:lineRule="auto"/>
        <w:tabs>
          <w:tab w:leader="none" w:pos="66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line includes non-manufactured distributed specialty products in our Health and Nutrition segment, which may be sold out of one of our facilities or direct shipped to our customers.</w:t>
      </w:r>
    </w:p>
    <w:p>
      <w:pPr>
        <w:ind w:left="660" w:hanging="328"/>
        <w:spacing w:after="0" w:line="283" w:lineRule="auto"/>
        <w:tabs>
          <w:tab w:leader="none" w:pos="66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line includes bulk products in our Water Treatment and Industrial segments that we do not modify in any way, but receive, store, and ship from our facilities, or direct ship to our customers in large quantities.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Derivative Instruments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 We have designated this swap as a cash flow hedge and have determined that it qualifies for hedge accounting treatment. For so long as the hedge is effective, changes in fair value of the cash flow hedge are recorded in other comprehensive income or loss (net of tax) until income or loss from the cash flows of the hedged item is realized.</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fiscal 2025, we recorded $1.4 million in other comprehensive income related to unrealized losses (net of tax) on the cash flow hedge. For fiscal 2024 and 2023, we recorded $0.2 million and $1.6 million, respectively, in other comprehensive income related to unrealized gains (net of tax) on the cash flow hedge. Included in other long-term assets on our consolidated balance sheet was $2.4 million as of March 30, 2025 and $4.3 million as of March 31, 2024.</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While the current interest rate swap is in effect, we do not anticipate nonperformance by the counterparty.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financial assets and liabilities are measured at fair value as the price that would be received to sell an asset or paid to transfer a liability in an orderly transaction between market participants at the measurement date (exit price). The carrying values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financial assets that are re-measured and reported at fair value for each reporting period are an interest rate swap, marketable securities held in a deferred compensation retirement plan, and the earnout liability recorded in conjunction with the acquisition of Water Solutions. The interest rate swap and assets held in a deferred compensation retirement plan are classified as other long-term assets on our balance sheet, with the portion of the deferred compensation retirement plan assets expected to be paid within twelve months classified as current assets. The earnout liability is classified as a long-term liability on our balance sheet.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earnout liability recorded in conjunction with the Water Solutions acquisition is based upon achieving certain targets. The earnout is based on a target of adjusted earnings before interest, taxes, depreciation and amortization (EBITDA) in year three of the acquisition. The earnout liability was valued based upon a risk-neutral pricing analysis within a Monte Carlo simulation framework, which is a Level 3 input. The Monte Carlo simulation assumptions used to estimate the fair value of the earnout included forecasted EBITDA, an estimated EBITDA-specific required rate of return, term period, risk-free rate, and an estimated EBITDA-specific volatility. Other key inputs included an estimate of our credit-adjusted discount rate and an appropriate risk-free rate over the term of the simulation period. The earnout liability is adjusted to fair value at each reporting date until settled. Changes in fair value are included in selling, general and administrative expenses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summarizes the balances of assets measured at fair value on a recurring basis as of March 30, 2025 and March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26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2024</w:t>
            </w:r>
          </w:p>
        </w:tc>
      </w:tr>
      <w:tr>
        <w:trPr>
          <w:trHeight w:val="20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4640" w:type="dxa"/>
            <w:vAlign w:val="bottom"/>
          </w:tcPr>
          <w:p>
            <w:pPr>
              <w:ind w:left="240"/>
              <w:spacing w:after="0"/>
              <w:rPr>
                <w:sz w:val="20"/>
                <w:szCs w:val="20"/>
                <w:color w:val="auto"/>
              </w:rPr>
            </w:pPr>
            <w:r>
              <w:rPr>
                <w:rFonts w:ascii="Arial" w:cs="Arial" w:eastAsia="Arial" w:hAnsi="Arial"/>
                <w:sz w:val="18"/>
                <w:szCs w:val="18"/>
                <w:color w:val="auto"/>
              </w:rPr>
              <w:t>Deferred compensation plan assets</w:t>
            </w:r>
          </w:p>
        </w:tc>
        <w:tc>
          <w:tcPr>
            <w:tcW w:w="2600" w:type="dxa"/>
            <w:vAlign w:val="bottom"/>
          </w:tcPr>
          <w:p>
            <w:pPr>
              <w:ind w:left="1560"/>
              <w:spacing w:after="0"/>
              <w:rPr>
                <w:sz w:val="20"/>
                <w:szCs w:val="20"/>
                <w:color w:val="auto"/>
              </w:rPr>
            </w:pPr>
            <w:r>
              <w:rPr>
                <w:rFonts w:ascii="Arial" w:cs="Arial" w:eastAsia="Arial" w:hAnsi="Arial"/>
                <w:sz w:val="18"/>
                <w:szCs w:val="18"/>
                <w:color w:val="auto"/>
              </w:rPr>
              <w:t>Level 1</w:t>
            </w:r>
          </w:p>
        </w:tc>
        <w:tc>
          <w:tcPr>
            <w:tcW w:w="1220" w:type="dxa"/>
            <w:vAlign w:val="bottom"/>
          </w:tcPr>
          <w:p>
            <w:pPr>
              <w:jc w:val="right"/>
              <w:ind w:right="10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10,042</w:t>
            </w:r>
          </w:p>
        </w:tc>
      </w:tr>
      <w:tr>
        <w:trPr>
          <w:trHeight w:val="229"/>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w:t>
            </w:r>
          </w:p>
        </w:tc>
        <w:tc>
          <w:tcPr>
            <w:tcW w:w="26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Level 2</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4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Earnout liability</w:t>
            </w:r>
          </w:p>
        </w:tc>
        <w:tc>
          <w:tcPr>
            <w:tcW w:w="260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Level 3</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earnout liability measured at fair value using Level 3 inputs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 thousands)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ind w:left="20"/>
              <w:spacing w:after="0"/>
              <w:rPr>
                <w:sz w:val="20"/>
                <w:szCs w:val="20"/>
                <w:color w:val="auto"/>
              </w:rPr>
            </w:pPr>
            <w:r>
              <w:rPr>
                <w:rFonts w:ascii="Arial" w:cs="Arial" w:eastAsia="Arial" w:hAnsi="Arial"/>
                <w:sz w:val="18"/>
                <w:szCs w:val="18"/>
                <w:color w:val="auto"/>
              </w:rPr>
              <w:t>Earnout liability at March 31, 2024</w:t>
            </w:r>
          </w:p>
        </w:tc>
        <w:tc>
          <w:tcPr>
            <w:tcW w:w="1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adjustments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color w:val="auto"/>
              </w:rPr>
              <w:t>Earnout liability at March 30, 2025</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Note 6 — Inventories</w:t>
            </w: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726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260" w:type="dxa"/>
            <w:vAlign w:val="bottom"/>
          </w:tcPr>
          <w:p>
            <w:pPr>
              <w:spacing w:after="0"/>
              <w:rPr>
                <w:sz w:val="20"/>
                <w:szCs w:val="20"/>
                <w:color w:val="auto"/>
              </w:rPr>
            </w:pPr>
            <w:r>
              <w:rPr>
                <w:rFonts w:ascii="Arial" w:cs="Arial" w:eastAsia="Arial" w:hAnsi="Arial"/>
                <w:sz w:val="18"/>
                <w:szCs w:val="18"/>
                <w:color w:val="auto"/>
              </w:rPr>
              <w:t>Inventories at March 30, 2025 and March 31, 2024 consisted of the following:</w:t>
            </w: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26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106,357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8"/>
              </w:rPr>
              <w:t>99,058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LIFO reserve</w:t>
            </w: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(22,845)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rPr>
              <w:t>(24,458)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83,512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8"/>
              </w:rPr>
              <w:t>74,600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FIFO value of inventories accounted for under the LIFO method was $75.9 million at March 30, 2025 and $76.2 million at March 31, 2024. The remainder of the inventory was valued and accounted for under the FIFO method.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Other Identifiable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goodwill for each of our three reportable segments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Water</w:t>
            </w:r>
          </w:p>
        </w:tc>
        <w:tc>
          <w:tcPr>
            <w:tcW w:w="240" w:type="dxa"/>
            <w:vAlign w:val="bottom"/>
          </w:tcPr>
          <w:p>
            <w:pPr>
              <w:spacing w:after="0"/>
              <w:rPr>
                <w:sz w:val="18"/>
                <w:szCs w:val="18"/>
                <w:color w:val="auto"/>
              </w:rPr>
            </w:pPr>
          </w:p>
        </w:tc>
        <w:tc>
          <w:tcPr>
            <w:tcW w:w="11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Industrial</w:t>
            </w:r>
          </w:p>
        </w:tc>
        <w:tc>
          <w:tcPr>
            <w:tcW w:w="20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Health and</w:t>
            </w:r>
          </w:p>
        </w:tc>
        <w:tc>
          <w:tcPr>
            <w:tcW w:w="320" w:type="dxa"/>
            <w:vAlign w:val="bottom"/>
          </w:tcPr>
          <w:p>
            <w:pPr>
              <w:spacing w:after="0"/>
              <w:rPr>
                <w:sz w:val="18"/>
                <w:szCs w:val="18"/>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57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Treatment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Nutrition</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April 2,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44,945</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77,401</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Addition due to acquisitions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25,998</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25,998</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44,945</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103,399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Addition due to acquisitions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32,010</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32,010</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44,945</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135,409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identifiable intangible assets as of March 30, 2025 and March 31,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169"/>
        </w:trPr>
        <w:tc>
          <w:tcPr>
            <w:tcW w:w="7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Gross</w:t>
            </w:r>
          </w:p>
        </w:tc>
        <w:tc>
          <w:tcPr>
            <w:tcW w:w="1460" w:type="dxa"/>
            <w:vAlign w:val="bottom"/>
            <w:gridSpan w:val="3"/>
          </w:tcPr>
          <w:p>
            <w:pPr>
              <w:jc w:val="center"/>
              <w:ind w:right="100"/>
              <w:spacing w:after="0" w:line="169" w:lineRule="exact"/>
              <w:rPr>
                <w:sz w:val="20"/>
                <w:szCs w:val="20"/>
                <w:color w:val="auto"/>
              </w:rPr>
            </w:pPr>
            <w:r>
              <w:rPr>
                <w:rFonts w:ascii="Arial" w:cs="Arial" w:eastAsia="Arial" w:hAnsi="Arial"/>
                <w:sz w:val="18"/>
                <w:szCs w:val="18"/>
                <w:b w:val="1"/>
                <w:bCs w:val="1"/>
                <w:color w:val="auto"/>
                <w:w w:val="99"/>
              </w:rPr>
              <w:t>Accumulated</w:t>
            </w:r>
          </w:p>
        </w:tc>
        <w:tc>
          <w:tcPr>
            <w:tcW w:w="118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rPr>
              <w:t>Net carrying</w:t>
            </w:r>
          </w:p>
        </w:tc>
      </w:tr>
      <w:tr>
        <w:trPr>
          <w:trHeight w:val="243"/>
        </w:trPr>
        <w:tc>
          <w:tcPr>
            <w:tcW w:w="7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Amortization</w:t>
            </w:r>
          </w:p>
        </w:tc>
        <w:tc>
          <w:tcPr>
            <w:tcW w:w="24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34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198,364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(57,311)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141,053</w:t>
            </w:r>
          </w:p>
        </w:tc>
      </w:tr>
      <w:tr>
        <w:trPr>
          <w:trHeight w:val="230"/>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 and trade names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w:t>
            </w:r>
          </w:p>
        </w:tc>
      </w:tr>
      <w:tr>
        <w:trPr>
          <w:trHeight w:val="229"/>
        </w:trPr>
        <w:tc>
          <w:tcPr>
            <w:tcW w:w="7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148,894</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1,227</w:t>
            </w:r>
          </w:p>
        </w:tc>
      </w:tr>
      <w:tr>
        <w:trPr>
          <w:trHeight w:val="248"/>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150,121</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7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7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20"/>
              <w:spacing w:after="0" w:line="177" w:lineRule="exact"/>
              <w:rPr>
                <w:sz w:val="20"/>
                <w:szCs w:val="20"/>
                <w:color w:val="auto"/>
              </w:rPr>
            </w:pPr>
            <w:r>
              <w:rPr>
                <w:rFonts w:ascii="Arial" w:cs="Arial" w:eastAsia="Arial" w:hAnsi="Arial"/>
                <w:sz w:val="18"/>
                <w:szCs w:val="18"/>
                <w:b w:val="1"/>
                <w:bCs w:val="1"/>
                <w:color w:val="auto"/>
                <w:w w:val="99"/>
              </w:rPr>
              <w:t>Gross</w:t>
            </w:r>
          </w:p>
        </w:tc>
        <w:tc>
          <w:tcPr>
            <w:tcW w:w="1440" w:type="dxa"/>
            <w:vAlign w:val="bottom"/>
            <w:gridSpan w:val="3"/>
          </w:tcPr>
          <w:p>
            <w:pPr>
              <w:jc w:val="center"/>
              <w:ind w:right="120"/>
              <w:spacing w:after="0" w:line="177" w:lineRule="exact"/>
              <w:rPr>
                <w:sz w:val="20"/>
                <w:szCs w:val="20"/>
                <w:color w:val="auto"/>
              </w:rPr>
            </w:pPr>
            <w:r>
              <w:rPr>
                <w:rFonts w:ascii="Arial" w:cs="Arial" w:eastAsia="Arial" w:hAnsi="Arial"/>
                <w:sz w:val="18"/>
                <w:szCs w:val="18"/>
                <w:b w:val="1"/>
                <w:bCs w:val="1"/>
                <w:color w:val="auto"/>
                <w:w w:val="99"/>
              </w:rPr>
              <w:t>Accumulated</w:t>
            </w:r>
          </w:p>
        </w:tc>
        <w:tc>
          <w:tcPr>
            <w:tcW w:w="1180" w:type="dxa"/>
            <w:vAlign w:val="bottom"/>
            <w:gridSpan w:val="2"/>
          </w:tcPr>
          <w:p>
            <w:pPr>
              <w:jc w:val="right"/>
              <w:spacing w:after="0" w:line="177" w:lineRule="exact"/>
              <w:rPr>
                <w:sz w:val="20"/>
                <w:szCs w:val="20"/>
                <w:color w:val="auto"/>
              </w:rPr>
            </w:pPr>
            <w:r>
              <w:rPr>
                <w:rFonts w:ascii="Arial" w:cs="Arial" w:eastAsia="Arial" w:hAnsi="Arial"/>
                <w:sz w:val="18"/>
                <w:szCs w:val="18"/>
                <w:b w:val="1"/>
                <w:bCs w:val="1"/>
                <w:color w:val="auto"/>
              </w:rPr>
              <w:t>Net carrying</w:t>
            </w:r>
          </w:p>
        </w:tc>
        <w:tc>
          <w:tcPr>
            <w:tcW w:w="0" w:type="dxa"/>
            <w:vAlign w:val="bottom"/>
          </w:tcPr>
          <w:p>
            <w:pPr>
              <w:spacing w:after="0"/>
              <w:rPr>
                <w:sz w:val="1"/>
                <w:szCs w:val="1"/>
                <w:color w:val="auto"/>
              </w:rPr>
            </w:pPr>
          </w:p>
        </w:tc>
      </w:tr>
      <w:tr>
        <w:trPr>
          <w:trHeight w:val="235"/>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Amortization</w:t>
            </w:r>
          </w:p>
        </w:tc>
        <w:tc>
          <w:tcPr>
            <w:tcW w:w="24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7180" w:type="dxa"/>
            <w:vAlign w:val="bottom"/>
            <w:vMerge w:val="continue"/>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Finite-life intangible assets: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153,694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(46,146)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107,548</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Trademarks and trade names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115,399</w:t>
            </w:r>
          </w:p>
        </w:tc>
        <w:tc>
          <w:tcPr>
            <w:tcW w:w="0" w:type="dxa"/>
            <w:vAlign w:val="bottom"/>
          </w:tcPr>
          <w:p>
            <w:pPr>
              <w:spacing w:after="0"/>
              <w:rPr>
                <w:sz w:val="1"/>
                <w:szCs w:val="1"/>
                <w:color w:val="auto"/>
              </w:rPr>
            </w:pP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48"/>
        </w:trPr>
        <w:tc>
          <w:tcPr>
            <w:tcW w:w="7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116,626</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Intangible asset amortization expense was $12.8 million during fiscal 2025, $8.5 million during fiscal 2024, and $6.9 million during fiscal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940" w:type="dxa"/>
            <w:vAlign w:val="bottom"/>
          </w:tcPr>
          <w:p>
            <w:pPr>
              <w:spacing w:after="0"/>
              <w:rPr>
                <w:sz w:val="20"/>
                <w:szCs w:val="20"/>
                <w:color w:val="auto"/>
              </w:rPr>
            </w:pPr>
            <w:r>
              <w:rPr>
                <w:rFonts w:ascii="Arial" w:cs="Arial" w:eastAsia="Arial" w:hAnsi="Arial"/>
                <w:sz w:val="18"/>
                <w:szCs w:val="18"/>
                <w:color w:val="auto"/>
              </w:rPr>
              <w:t>The estimated future amortization expense for identifiable intangible assets is as follows: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9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7"/>
                <w:szCs w:val="17"/>
                <w:color w:val="auto"/>
              </w:rPr>
            </w:pPr>
          </w:p>
        </w:tc>
        <w:tc>
          <w:tcPr>
            <w:tcW w:w="1060" w:type="dxa"/>
            <w:vAlign w:val="bottom"/>
          </w:tcPr>
          <w:p>
            <w:pPr>
              <w:jc w:val="right"/>
              <w:ind w:right="90"/>
              <w:spacing w:after="0" w:line="199" w:lineRule="exact"/>
              <w:rPr>
                <w:sz w:val="20"/>
                <w:szCs w:val="20"/>
                <w:color w:val="auto"/>
              </w:rPr>
            </w:pPr>
            <w:r>
              <w:rPr>
                <w:rFonts w:ascii="Arial" w:cs="Arial" w:eastAsia="Arial" w:hAnsi="Arial"/>
                <w:sz w:val="18"/>
                <w:szCs w:val="18"/>
                <w:b w:val="1"/>
                <w:bCs w:val="1"/>
                <w:color w:val="auto"/>
              </w:rPr>
              <w:t>Intangible</w:t>
            </w:r>
          </w:p>
        </w:tc>
        <w:tc>
          <w:tcPr>
            <w:tcW w:w="0" w:type="dxa"/>
            <w:vAlign w:val="bottom"/>
          </w:tcPr>
          <w:p>
            <w:pPr>
              <w:spacing w:after="0"/>
              <w:rPr>
                <w:sz w:val="1"/>
                <w:szCs w:val="1"/>
                <w:color w:val="auto"/>
              </w:rPr>
            </w:pPr>
          </w:p>
        </w:tc>
      </w:tr>
      <w:tr>
        <w:trPr>
          <w:trHeight w:val="243"/>
        </w:trPr>
        <w:tc>
          <w:tcPr>
            <w:tcW w:w="994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223"/>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14,541</w:t>
            </w:r>
          </w:p>
        </w:tc>
        <w:tc>
          <w:tcPr>
            <w:tcW w:w="0" w:type="dxa"/>
            <w:vAlign w:val="bottom"/>
          </w:tcPr>
          <w:p>
            <w:pPr>
              <w:spacing w:after="0"/>
              <w:rPr>
                <w:sz w:val="1"/>
                <w:szCs w:val="1"/>
                <w:color w:val="auto"/>
              </w:rPr>
            </w:pPr>
          </w:p>
        </w:tc>
      </w:tr>
      <w:tr>
        <w:trPr>
          <w:trHeight w:val="230"/>
        </w:trPr>
        <w:tc>
          <w:tcPr>
            <w:tcW w:w="9940" w:type="dxa"/>
            <w:vAlign w:val="bottom"/>
          </w:tcPr>
          <w:p>
            <w:pPr>
              <w:ind w:left="20"/>
              <w:spacing w:after="0"/>
              <w:rPr>
                <w:sz w:val="20"/>
                <w:szCs w:val="20"/>
                <w:color w:val="auto"/>
              </w:rPr>
            </w:pPr>
            <w:r>
              <w:rPr>
                <w:rFonts w:ascii="Arial" w:cs="Arial" w:eastAsia="Arial" w:hAnsi="Arial"/>
                <w:sz w:val="18"/>
                <w:szCs w:val="18"/>
                <w:color w:val="auto"/>
              </w:rPr>
              <w:t>Fiscal 2027</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13,935</w:t>
            </w:r>
          </w:p>
        </w:tc>
        <w:tc>
          <w:tcPr>
            <w:tcW w:w="0" w:type="dxa"/>
            <w:vAlign w:val="bottom"/>
          </w:tcPr>
          <w:p>
            <w:pPr>
              <w:spacing w:after="0"/>
              <w:rPr>
                <w:sz w:val="1"/>
                <w:szCs w:val="1"/>
                <w:color w:val="auto"/>
              </w:rPr>
            </w:pPr>
          </w:p>
        </w:tc>
      </w:tr>
      <w:tr>
        <w:trPr>
          <w:trHeight w:val="230"/>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2028</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13,378</w:t>
            </w:r>
          </w:p>
        </w:tc>
        <w:tc>
          <w:tcPr>
            <w:tcW w:w="0" w:type="dxa"/>
            <w:vAlign w:val="bottom"/>
          </w:tcPr>
          <w:p>
            <w:pPr>
              <w:spacing w:after="0"/>
              <w:rPr>
                <w:sz w:val="1"/>
                <w:szCs w:val="1"/>
                <w:color w:val="auto"/>
              </w:rPr>
            </w:pPr>
          </w:p>
        </w:tc>
      </w:tr>
      <w:tr>
        <w:trPr>
          <w:trHeight w:val="230"/>
        </w:trPr>
        <w:tc>
          <w:tcPr>
            <w:tcW w:w="9940" w:type="dxa"/>
            <w:vAlign w:val="bottom"/>
          </w:tcPr>
          <w:p>
            <w:pPr>
              <w:ind w:left="20"/>
              <w:spacing w:after="0"/>
              <w:rPr>
                <w:sz w:val="20"/>
                <w:szCs w:val="20"/>
                <w:color w:val="auto"/>
              </w:rPr>
            </w:pPr>
            <w:r>
              <w:rPr>
                <w:rFonts w:ascii="Arial" w:cs="Arial" w:eastAsia="Arial" w:hAnsi="Arial"/>
                <w:sz w:val="18"/>
                <w:szCs w:val="18"/>
                <w:color w:val="auto"/>
              </w:rPr>
              <w:t>Fiscal 2029</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13,354</w:t>
            </w:r>
          </w:p>
        </w:tc>
        <w:tc>
          <w:tcPr>
            <w:tcW w:w="0" w:type="dxa"/>
            <w:vAlign w:val="bottom"/>
          </w:tcPr>
          <w:p>
            <w:pPr>
              <w:spacing w:after="0"/>
              <w:rPr>
                <w:sz w:val="1"/>
                <w:szCs w:val="1"/>
                <w:color w:val="auto"/>
              </w:rPr>
            </w:pPr>
          </w:p>
        </w:tc>
      </w:tr>
      <w:tr>
        <w:trPr>
          <w:trHeight w:val="22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2030</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w:t>
            </w:r>
          </w:p>
        </w:tc>
        <w:tc>
          <w:tcPr>
            <w:tcW w:w="0" w:type="dxa"/>
            <w:vAlign w:val="bottom"/>
          </w:tcPr>
          <w:p>
            <w:pPr>
              <w:spacing w:after="0"/>
              <w:rPr>
                <w:sz w:val="1"/>
                <w:szCs w:val="1"/>
                <w:color w:val="auto"/>
              </w:rPr>
            </w:pPr>
          </w:p>
        </w:tc>
      </w:tr>
      <w:tr>
        <w:trPr>
          <w:trHeight w:val="230"/>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80,353</w:t>
            </w:r>
          </w:p>
        </w:tc>
        <w:tc>
          <w:tcPr>
            <w:tcW w:w="0" w:type="dxa"/>
            <w:vAlign w:val="bottom"/>
          </w:tcPr>
          <w:p>
            <w:pPr>
              <w:spacing w:after="0"/>
              <w:rPr>
                <w:sz w:val="1"/>
                <w:szCs w:val="1"/>
                <w:color w:val="auto"/>
              </w:rPr>
            </w:pPr>
          </w:p>
        </w:tc>
      </w:tr>
      <w:tr>
        <w:trPr>
          <w:trHeight w:val="248"/>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148,894</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30, 2025, we had in place a second amended and restated credit agreement, as amended (the "Existing Credit Agreement") with U.S. Bank National Association and other lenders which provided us with secured revolving credit facilities (the "Existing Revolving Loan Facility”) totaling $250 million. The Existing Revolving Loan Facility included a $ 10 million letter of credit subfacility and a $25 million swingline subfacility. The Existing Revolving Loan Facility was scheduled to mature on April 30, 2027. The Existing Revolving Loan Facility was secured by substantially all of our personal property assets and those of our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At March 30, 2025, the effective interest rate on our borrowings was 4.3%. In addition to paying interest on the outstanding principal under</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Revolving Loan Facility, we were required to pay a commitment fee on the unutilized commitments thereunder. The commitment fee was between 0.15% and 0.25%, depending on our leverage ratio.</w:t>
      </w:r>
    </w:p>
    <w:p>
      <w:pPr>
        <w:spacing w:after="0" w:line="20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Unamortized debt issuance costs of $0.3 million paid in connection with the Existing Credit Facility are reflected as a reduction of debt and are amortized as interest expense over the term of the Existing Revolving Loan Facility.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3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Existing Credit Agreement required us to maintain (a) a minimum fixed charge coverage ratio of 1.15 to 1.00 and (b) a maximum total cash flow leverage ratio of 3.0 to 1.0. The Credit Agreement also contained other customary affirmative and negative covenants, including covenants that restricted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were permitted to make distributions, pay dividends and repurchase shares so long as no default or event of default existed or would exist as a result thereof. As of March 30, 2025, we were in compliance with all required covenants.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20" w:type="dxa"/>
            <w:vAlign w:val="bottom"/>
            <w:gridSpan w:val="3"/>
          </w:tcPr>
          <w:p>
            <w:pPr>
              <w:spacing w:after="0"/>
              <w:rPr>
                <w:sz w:val="20"/>
                <w:szCs w:val="20"/>
                <w:color w:val="auto"/>
              </w:rPr>
            </w:pPr>
            <w:r>
              <w:rPr>
                <w:rFonts w:ascii="Arial" w:cs="Arial" w:eastAsia="Arial" w:hAnsi="Arial"/>
                <w:sz w:val="18"/>
                <w:szCs w:val="18"/>
                <w:color w:val="auto"/>
              </w:rPr>
              <w:t>Debt at March 30, 2025 and March 31, 2024 consisted of the following:</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Senior secured revolving loan</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gridSpan w:val="2"/>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149,000</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unamortized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gridSpan w:val="2"/>
          </w:tcPr>
          <w:p>
            <w:pPr>
              <w:ind w:left="180"/>
              <w:spacing w:after="0"/>
              <w:rPr>
                <w:sz w:val="20"/>
                <w:szCs w:val="20"/>
                <w:color w:val="auto"/>
              </w:rPr>
            </w:pPr>
            <w:r>
              <w:rPr>
                <w:rFonts w:ascii="Arial" w:cs="Arial" w:eastAsia="Arial" w:hAnsi="Arial"/>
                <w:sz w:val="18"/>
                <w:szCs w:val="18"/>
                <w:color w:val="auto"/>
              </w:rPr>
              <w:t>Total debt, net of debt issuance costs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148,819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98,731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current portion of long-term debt, net of current unamortized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138,906</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Existing Credit Agreement was further amended after the end of the fiscal year. See Note 16 to our consolidated financial statements for further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Performance-Based Restricted Stock Units. </w:t>
      </w:r>
      <w:r>
        <w:rPr>
          <w:rFonts w:ascii="Arial" w:cs="Arial" w:eastAsia="Arial" w:hAnsi="Arial"/>
          <w:sz w:val="18"/>
          <w:szCs w:val="18"/>
          <w:color w:val="auto"/>
        </w:rPr>
        <w:t>Our Board of Directors has approved a performance-based equity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for our executive officers. This performance-based arrangement provides for the grant of performance-based restricted stock units that represent a possible future issuance of restricted shares of our common shares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76,137 shares in the aggregate for fiscal 2025. The restricted shares issued, if any, will fully vest two years after the end of the fiscal year on which the performance is based. We record the compensation expense for the outstanding performance share units and then-converted restricted stock over the life of the awards.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80" w:type="dxa"/>
            <w:vAlign w:val="bottom"/>
          </w:tcPr>
          <w:p>
            <w:pPr>
              <w:spacing w:after="0"/>
              <w:rPr>
                <w:sz w:val="20"/>
                <w:szCs w:val="20"/>
                <w:color w:val="auto"/>
              </w:rPr>
            </w:pPr>
            <w:r>
              <w:rPr>
                <w:rFonts w:ascii="Arial" w:cs="Arial" w:eastAsia="Arial" w:hAnsi="Arial"/>
                <w:sz w:val="18"/>
                <w:szCs w:val="18"/>
                <w:color w:val="auto"/>
              </w:rPr>
              <w:t>The following table represents the restricted stock activity for fiscal 2023, 2024, and 2025:</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7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81"/>
        </w:trPr>
        <w:tc>
          <w:tcPr>
            <w:tcW w:w="7780" w:type="dxa"/>
            <w:vAlign w:val="bottom"/>
          </w:tcPr>
          <w:p>
            <w:pPr>
              <w:spacing w:after="0"/>
              <w:rPr>
                <w:sz w:val="15"/>
                <w:szCs w:val="15"/>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5"/>
                <w:szCs w:val="15"/>
                <w:color w:val="auto"/>
              </w:rPr>
            </w:pPr>
          </w:p>
        </w:tc>
        <w:tc>
          <w:tcPr>
            <w:tcW w:w="1960" w:type="dxa"/>
            <w:vAlign w:val="bottom"/>
          </w:tcPr>
          <w:p>
            <w:pPr>
              <w:jc w:val="center"/>
              <w:ind w:right="210"/>
              <w:spacing w:after="0" w:line="181" w:lineRule="exact"/>
              <w:rPr>
                <w:sz w:val="20"/>
                <w:szCs w:val="20"/>
                <w:color w:val="auto"/>
              </w:rPr>
            </w:pPr>
            <w:r>
              <w:rPr>
                <w:rFonts w:ascii="Arial" w:cs="Arial" w:eastAsia="Arial" w:hAnsi="Arial"/>
                <w:sz w:val="18"/>
                <w:szCs w:val="18"/>
                <w:b w:val="1"/>
                <w:bCs w:val="1"/>
                <w:color w:val="auto"/>
                <w:w w:val="98"/>
              </w:rPr>
              <w:t>Average Grant</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Date Fair Value</w:t>
            </w:r>
          </w:p>
        </w:tc>
        <w:tc>
          <w:tcPr>
            <w:tcW w:w="0" w:type="dxa"/>
            <w:vAlign w:val="bottom"/>
          </w:tcPr>
          <w:p>
            <w:pPr>
              <w:spacing w:after="0"/>
              <w:rPr>
                <w:sz w:val="1"/>
                <w:szCs w:val="1"/>
                <w:color w:val="auto"/>
              </w:rPr>
            </w:pP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fiscal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214,478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88,524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fiscal 2023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61,819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Outstanding at end of fiscal 2024</w:t>
            </w:r>
          </w:p>
        </w:tc>
        <w:tc>
          <w:tcPr>
            <w:tcW w:w="1100" w:type="dxa"/>
            <w:vAlign w:val="bottom"/>
          </w:tcPr>
          <w:p>
            <w:pPr>
              <w:jc w:val="right"/>
              <w:spacing w:after="0"/>
              <w:rPr>
                <w:sz w:val="20"/>
                <w:szCs w:val="20"/>
                <w:color w:val="auto"/>
              </w:rPr>
            </w:pPr>
            <w:r>
              <w:rPr>
                <w:rFonts w:ascii="Arial" w:cs="Arial" w:eastAsia="Arial" w:hAnsi="Arial"/>
                <w:sz w:val="18"/>
                <w:szCs w:val="18"/>
                <w:color w:val="auto"/>
              </w:rPr>
              <w:t>145,477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fiscal 2025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recorded compensation expense on performance-based restricted stock of approximately $5.0 million for fiscal 2025, $3.7 million for fiscal 2024 and $ 2.8 million for fiscal 2023, substantially all of which was recorded in SG&amp;A expense in the Consolidated Statements of Income. The total fair value of performance-based restricted stock units vested was $3.2 million in fiscal 2025, $3.4 million in fiscal 2024 and $1.9 million in fiscal 2023.</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Until the performance-based restricted stock units result in the issuance of restricted stock, the amount of expense recorded each period is dependent upon our estimate of the number of shares that will ultimately be issued and our then-current common share price. Upon issuance of restricted stock, we record compensation expense over the remaining vesting period using the award date closing price. Unrecognized compensation expense related to non-vested restricted stock and non-vested restricted share units as of March 30, 2025 was $6.4 million and is expected to be recognized over a weighted average period of 1.3 years.</w:t>
      </w:r>
    </w:p>
    <w:p>
      <w:pPr>
        <w:spacing w:after="0" w:line="1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As part of their retainer, our directors, other than the Chief Executive Officer, receive restricted stock for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services. The restricted stock awards are expensed over a one-year vesting period, based on the market value on the date of grant.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00" w:type="dxa"/>
            <w:vAlign w:val="bottom"/>
          </w:tcPr>
          <w:p>
            <w:pPr>
              <w:spacing w:after="0"/>
              <w:rPr>
                <w:sz w:val="20"/>
                <w:szCs w:val="20"/>
                <w:color w:val="auto"/>
              </w:rPr>
            </w:pPr>
            <w:r>
              <w:rPr>
                <w:rFonts w:ascii="Arial" w:cs="Arial" w:eastAsia="Arial" w:hAnsi="Arial"/>
                <w:sz w:val="18"/>
                <w:szCs w:val="18"/>
                <w:color w:val="auto"/>
              </w:rPr>
              <w:t>The following table represents the Board’s restricted stock activity for fiscal 2023, 2024, and 2025:</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76"/>
        </w:trPr>
        <w:tc>
          <w:tcPr>
            <w:tcW w:w="8100" w:type="dxa"/>
            <w:vAlign w:val="bottom"/>
          </w:tcPr>
          <w:p>
            <w:pPr>
              <w:spacing w:after="0"/>
              <w:rPr>
                <w:sz w:val="15"/>
                <w:szCs w:val="15"/>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5"/>
                <w:szCs w:val="15"/>
                <w:color w:val="auto"/>
              </w:rPr>
            </w:pPr>
          </w:p>
        </w:tc>
        <w:tc>
          <w:tcPr>
            <w:tcW w:w="176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8"/>
              </w:rPr>
              <w:t>Average Grant</w:t>
            </w:r>
          </w:p>
        </w:tc>
        <w:tc>
          <w:tcPr>
            <w:tcW w:w="0" w:type="dxa"/>
            <w:vAlign w:val="bottom"/>
          </w:tcPr>
          <w:p>
            <w:pPr>
              <w:spacing w:after="0"/>
              <w:rPr>
                <w:sz w:val="1"/>
                <w:szCs w:val="1"/>
                <w:color w:val="auto"/>
              </w:rPr>
            </w:pPr>
          </w:p>
        </w:tc>
      </w:tr>
      <w:tr>
        <w:trPr>
          <w:trHeight w:val="243"/>
        </w:trPr>
        <w:tc>
          <w:tcPr>
            <w:tcW w:w="810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Date Fair Value</w:t>
            </w:r>
          </w:p>
        </w:tc>
        <w:tc>
          <w:tcPr>
            <w:tcW w:w="0" w:type="dxa"/>
            <w:vAlign w:val="bottom"/>
          </w:tcPr>
          <w:p>
            <w:pPr>
              <w:spacing w:after="0"/>
              <w:rPr>
                <w:sz w:val="1"/>
                <w:szCs w:val="1"/>
                <w:color w:val="auto"/>
              </w:rPr>
            </w:pPr>
          </w:p>
        </w:tc>
      </w:tr>
      <w:tr>
        <w:trPr>
          <w:trHeight w:val="22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fiscal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12,565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Outstanding at end of fiscal 2023</w:t>
            </w:r>
          </w:p>
        </w:tc>
        <w:tc>
          <w:tcPr>
            <w:tcW w:w="1040" w:type="dxa"/>
            <w:vAlign w:val="bottom"/>
          </w:tcPr>
          <w:p>
            <w:pPr>
              <w:jc w:val="right"/>
              <w:spacing w:after="0"/>
              <w:rPr>
                <w:sz w:val="20"/>
                <w:szCs w:val="20"/>
                <w:color w:val="auto"/>
              </w:rPr>
            </w:pPr>
            <w:r>
              <w:rPr>
                <w:rFonts w:ascii="Arial" w:cs="Arial" w:eastAsia="Arial" w:hAnsi="Arial"/>
                <w:sz w:val="18"/>
                <w:szCs w:val="18"/>
                <w:color w:val="auto"/>
              </w:rPr>
              <w:t>12,565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38.98</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fiscal 2024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6,734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103.90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Outstanding at end of fiscal 2025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Annual expense related to the value of restricted stock was $0.6 million in fiscal 2025, $0.5 million in fiscal 2024, and $0.4 million in fiscal 2023, and was recorded in SG&amp;A expense in the Consolidated Statements of Income. Unrecognized compensation expense related to non-vested restricted stock awards as of March 30, 2025 was $0.2 million and is expected to be recognized over a weighted average period of 0.3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Repurchases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of directors has authorized the repurchase of up to 2,600,000 shares of our outstanding common shares. The shares may be repurchased on the open market or in privately negotiated transactions subject to applicable securities laws and regulations. Upon repurchase of the shares, we reduce our common shares for the par value of the shares, with the excess applied against additional paid-in capital. We repurchased 205,943 common shares at an aggregate purchase price of $20.7 million during fiscal 2025. We repurchased 191,861 common shares at an aggregate purchase price of $11.3 million during fiscal 2024. We repurchased 181,657 common shares at an aggregate purchase price of $6.6 million during fiscal 2023. As of March 30, 2025, 731,544 shares remained available to be purchased under the share repurchase program.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Retirement Plans</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Company Sponsored Plans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majority of our non-bargaining unit employees are eligible to participate in a company-sponsored profit-sharing plan. Contributions are made at our discretion subject to a maximum amount allowed under the Internal Revenue Code (“IRC”). The profit sharing plan contribution level for each employee depends upon date of hire, and was 2.5% or 5.0% of each employee’s eligible compensation for fiscal 2025, 2024 and 2023. We also have in place a retirement plan covering our collective bargaining unit employees. The retirement plan provides for a contribution of 2.5% or 5.0% of each employee’s eligible annual wages depending on their hire date. In addition to the employer contributions described above, both the profit-sharing plan and the retirement plan include a 401(k) plan that allows employees to contribute pre-tax earnings up to the maximum amount allowed under the IRC, with an employer match of up to 5% of the employee’s eligible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two employee stock ownership plans (“ESOPs”), one covering the majority of our non-bargaining unit employees and the other covering our collective bargaining unit employees. Contributions to the plan covering our non-bargaining unit employees are made at our discretion. Contributions to both plans are subject to a maximum amount allowed under the IRC, and were 2.5% or 5.0% of each employee’s eligible wages, depending on each eligible employee’s hire date, for fiscal 2025, 2024 and 2023.</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nonqualified deferred compensation plan covering employees who are classified as “highly compensated employees” as determined by IRS guidelines for the plan year and who were hired on or before April 1, 2012. Employees who are eligible for the nonqualified deferred compensation plan for any plan year are not eligible for the profit-sharing plan contribution or the ESOP contributions described above for that plan year. Our contribution to the nonqualified deferred compensation plan for fiscal 2025, 2024 and 2023 was 10% of each employee’s eligible compensation, subject to the maximum amount allowed under the IRC.</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an employee stock purchase plan (“ESPP”) covering substantially all of our employees. The ESPP allows employees to purchase newly-issued shares of the Company’s common shares at a discount from market. The number of new shares issued under the ESPP was 40,045 in fiscal 2025, 61,981 in fiscal 2024 and 65,597 in fiscal 2023.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contribution expense for these company-sponsored plans for fiscal 2025, 2024 and 2023: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0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Non-bargaining unit employee plans: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Profit sharing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9"/>
                <w:szCs w:val="19"/>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401(k) matching contributions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00" w:type="dxa"/>
            <w:vAlign w:val="bottom"/>
            <w:shd w:val="clear" w:color="auto" w:fill="CCEEFF"/>
          </w:tcPr>
          <w:p>
            <w:pPr>
              <w:spacing w:after="0"/>
              <w:rPr>
                <w:sz w:val="19"/>
                <w:szCs w:val="19"/>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ESOP</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9"/>
                <w:szCs w:val="19"/>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Nonqualified deferred compensation plan</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9"/>
                <w:szCs w:val="19"/>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Bargaining unit employee plans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ESPP - all employees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9"/>
                <w:szCs w:val="19"/>
                <w:color w:val="auto"/>
              </w:rPr>
            </w:pP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Total contribution expense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w:t>
            </w:r>
          </w:p>
        </w:tc>
        <w:tc>
          <w:tcPr>
            <w:tcW w:w="100" w:type="dxa"/>
            <w:vAlign w:val="bottom"/>
          </w:tcPr>
          <w:p>
            <w:pPr>
              <w:spacing w:after="0"/>
              <w:rPr>
                <w:sz w:val="19"/>
                <w:szCs w:val="19"/>
                <w:color w:val="auto"/>
              </w:rPr>
            </w:pPr>
          </w:p>
        </w:tc>
      </w:tr>
      <w:tr>
        <w:trPr>
          <w:trHeight w:val="21"/>
        </w:trPr>
        <w:tc>
          <w:tcPr>
            <w:tcW w:w="5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2013, we withdrew from a collectively bargained multiemployer pension plan and recorded a liability for our share of the unfunded vested benefits. Payments of approximately $0.5 million per year are being made through 2034.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As of March 30, 2025, there were no material pending legal proceedings, other than ordinary routine litigation incidental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to which we or any of our subsidiaries are a party or of which any of our property is the subject. Legal fees associated with such matters are expensed as incurred.</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Environmental Remediation. </w:t>
      </w:r>
      <w:r>
        <w:rPr>
          <w:rFonts w:ascii="Arial" w:cs="Arial" w:eastAsia="Arial" w:hAnsi="Arial"/>
          <w:sz w:val="18"/>
          <w:szCs w:val="18"/>
          <w:color w:val="auto"/>
        </w:rPr>
        <w:t>In the fourth quarter of fiscal 2024, we recorded a liability of $7.7 million related to estimated remediation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associated with perchlorinated biphenyls ("PCBs") discovered in the soil at our Rosemount, MN facility during our expansion project. This expense was recorded as an operating expense within cost of sales in our Consolidated Statements of Income. We acquired the property, which had prior heavy industrial use, in fiscal 2012. While the source of the PCBs is unknown, we have never brought PCBs onto the property or used PCBs on the site. The liability is not discounted as management expects to incur these expenses within the next twelve months. Given the many uncertainties involved in assessing environmental claims, our reserves may prove to be insufficient. While additional expense related to the remediation may be incurred in future periods if currently unknown issues arise, we are unable to estimate the extent of any further financial impact.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Asset Retirement Obligations. </w:t>
      </w:r>
      <w:r>
        <w:rPr>
          <w:rFonts w:ascii="Arial" w:cs="Arial" w:eastAsia="Arial" w:hAnsi="Arial"/>
          <w:sz w:val="18"/>
          <w:szCs w:val="18"/>
          <w:color w:val="auto"/>
        </w:rPr>
        <w:t>We have three leases of land that contain terms that state that at the end of the lease term, we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amount of time to remove the property and buildings. Including available lease extensions, these leases expire in 2029, 2033 and 2044. At that time, anything that remains on the land becomes the property of the lessor, and the lessor has the option to either maintain the property or remove the property at our expense. We have not been able to reasonably estimate the fair value of the asset retirement obligations, primarily due to the combination of the following factors: certain of the leases do not expire in the near future; we have a history of extending the leases with the lessors and currently intend to do so at expiration of the lease periods; the lessors do not have a history of terminating leases with their tenants; and because it is more likely than not that the buildings will have value at the end of the lease life and therefore, may not be removed by either the lessee or the lessor. Therefore, in accordance with accounting guidance related to asset retirement and environmental obligations, we have not recorded an asset retirement obligation as of March 30, 2025. We will continue to monitor the factors surrounding the requirement to record an asset retirement obligation and will recognize the fair value of a liability in the period in which it is incurred and a reasonable estimate can be made.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fiscal 2025, 2024 and 2023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57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 current</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22,944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 current</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7,701</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w:t>
            </w: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29,577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22,773</w:t>
            </w: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 deferred</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 deferred</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w:t>
            </w: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Total provision</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30,038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22,541</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Reconciliations of the provisions for income taxes to the applicable federal statutory income tax rate for fiscal 2025, 2024 and 2023 are listed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00" w:type="dxa"/>
            <w:vAlign w:val="bottom"/>
            <w:gridSpan w:val="2"/>
          </w:tcPr>
          <w:p>
            <w:pPr>
              <w:ind w:left="6500"/>
              <w:spacing w:after="0"/>
              <w:rPr>
                <w:sz w:val="20"/>
                <w:szCs w:val="20"/>
                <w:color w:val="auto"/>
              </w:rPr>
            </w:pPr>
            <w:r>
              <w:rPr>
                <w:rFonts w:ascii="Arial" w:cs="Arial" w:eastAsia="Arial" w:hAnsi="Arial"/>
                <w:sz w:val="18"/>
                <w:szCs w:val="18"/>
                <w:b w:val="1"/>
                <w:bCs w:val="1"/>
                <w:color w:val="auto"/>
                <w:w w:val="94"/>
              </w:rPr>
              <w:t>2025</w:t>
            </w: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23"/>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income tax</w:t>
            </w: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deduction</w:t>
            </w:r>
          </w:p>
        </w:tc>
        <w:tc>
          <w:tcPr>
            <w:tcW w:w="600" w:type="dxa"/>
            <w:vAlign w:val="bottom"/>
          </w:tcPr>
          <w:p>
            <w:pPr>
              <w:jc w:val="right"/>
              <w:spacing w:after="0"/>
              <w:rPr>
                <w:sz w:val="20"/>
                <w:szCs w:val="20"/>
                <w:color w:val="auto"/>
              </w:rPr>
            </w:pPr>
            <w:r>
              <w:rPr>
                <w:rFonts w:ascii="Arial" w:cs="Arial" w:eastAsia="Arial" w:hAnsi="Arial"/>
                <w:sz w:val="18"/>
                <w:szCs w:val="18"/>
                <w:color w:val="auto"/>
              </w:rPr>
              <w:t>5.0 %</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 net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5900" w:type="dxa"/>
            <w:vAlign w:val="bottom"/>
          </w:tcPr>
          <w:p>
            <w:pPr>
              <w:ind w:left="36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26.3 %</w:t>
            </w: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25.5 %</w:t>
            </w:r>
          </w:p>
        </w:tc>
        <w:tc>
          <w:tcPr>
            <w:tcW w:w="100" w:type="dxa"/>
            <w:vAlign w:val="bottom"/>
            <w:tcBorders>
              <w:top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27.3 %</w:t>
            </w:r>
          </w:p>
        </w:tc>
      </w:tr>
      <w:tr>
        <w:trPr>
          <w:trHeight w:val="21"/>
        </w:trPr>
        <w:tc>
          <w:tcPr>
            <w:tcW w:w="5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items comprising our net deferred tax liability as of March 30, 2025 and March 31, 2024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accruals</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Pension withdrawal liability</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15,226</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Excess of tax over book depreciation</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(18,428)</w:t>
            </w:r>
          </w:p>
        </w:tc>
        <w:tc>
          <w:tcPr>
            <w:tcW w:w="0" w:type="dxa"/>
            <w:vAlign w:val="bottom"/>
          </w:tcPr>
          <w:p>
            <w:pPr>
              <w:spacing w:after="0"/>
              <w:rPr>
                <w:sz w:val="1"/>
                <w:szCs w:val="1"/>
                <w:color w:val="auto"/>
              </w:rPr>
            </w:pP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(13,549)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(13,771)</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ROU asset</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Unrealized gain on interest rate swap</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deferred tax liabilities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(22,356)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(22,406)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March 30, 2025, the Company has determined that it is more likely than not that the deferred tax assets at March 30, 2025 will be realized either through future taxable income or reversals of taxable temporary differences.</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2022 are closed to examination by the Internal Revenue Service, and with few exceptions, state and local income tax jurisdictions.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Lease Obligations. </w:t>
      </w:r>
      <w:r>
        <w:rPr>
          <w:rFonts w:ascii="Arial" w:cs="Arial" w:eastAsia="Arial" w:hAnsi="Arial"/>
          <w:sz w:val="18"/>
          <w:szCs w:val="18"/>
          <w:color w:val="auto"/>
        </w:rPr>
        <w:t>As of March 30, 2025, we were obligated under operating lease agreements for certain manufacturing facilities,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warehouse space, the land on which some of our facilities sit, vehicles and information technology equipment. Our leases have remaining lease terms of 1 year to 20 years, some of which include options to extend the lease for up to 10 years.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30, 2025 and March 31, 2024, our operating lease components with initial or remaining terms in excess of one year were classified on the consolidated balance sheet within right-of-use assets, short-term lease liability and long-term lease liability.</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lease expense was $4.6 million for the twelve months ended March 30, 2025 and $4.0 million for the twelve months ended March 31, 2024, and includes leases less than 12 months in duration.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60" w:type="dxa"/>
            <w:vAlign w:val="bottom"/>
          </w:tcPr>
          <w:p>
            <w:pPr>
              <w:spacing w:after="0"/>
              <w:rPr>
                <w:sz w:val="20"/>
                <w:szCs w:val="20"/>
                <w:color w:val="auto"/>
              </w:rPr>
            </w:pPr>
            <w:r>
              <w:rPr>
                <w:rFonts w:ascii="Arial" w:cs="Arial" w:eastAsia="Arial" w:hAnsi="Arial"/>
                <w:sz w:val="18"/>
                <w:szCs w:val="18"/>
                <w:color w:val="auto"/>
              </w:rPr>
              <w:t>Other information related to our operating leases was as follows:</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060" w:type="dxa"/>
            <w:vAlign w:val="bottom"/>
          </w:tcPr>
          <w:p>
            <w:pPr>
              <w:spacing w:after="0"/>
              <w:rPr>
                <w:sz w:val="21"/>
                <w:szCs w:val="21"/>
                <w:color w:val="auto"/>
              </w:rPr>
            </w:pPr>
          </w:p>
        </w:tc>
        <w:tc>
          <w:tcPr>
            <w:tcW w:w="2120" w:type="dxa"/>
            <w:vAlign w:val="bottom"/>
            <w:gridSpan w:val="2"/>
          </w:tcPr>
          <w:p>
            <w:pPr>
              <w:ind w:left="360"/>
              <w:spacing w:after="0"/>
              <w:rPr>
                <w:sz w:val="20"/>
                <w:szCs w:val="20"/>
                <w:color w:val="auto"/>
              </w:rPr>
            </w:pPr>
            <w:r>
              <w:rPr>
                <w:rFonts w:ascii="Arial" w:cs="Arial" w:eastAsia="Arial" w:hAnsi="Arial"/>
                <w:sz w:val="18"/>
                <w:szCs w:val="18"/>
                <w:b w:val="1"/>
                <w:bCs w:val="1"/>
                <w:color w:val="auto"/>
              </w:rPr>
              <w:t>March 30, 2025</w:t>
            </w:r>
          </w:p>
        </w:tc>
        <w:tc>
          <w:tcPr>
            <w:tcW w:w="20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March 31, 2024</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2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Arial" w:cs="Arial" w:eastAsia="Arial" w:hAnsi="Arial"/>
                <w:sz w:val="18"/>
                <w:szCs w:val="18"/>
                <w:color w:val="auto"/>
              </w:rPr>
              <w:t>Weighted average remaining lease term (years)</w:t>
            </w:r>
          </w:p>
        </w:tc>
        <w:tc>
          <w:tcPr>
            <w:tcW w:w="200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544"/>
        </w:trPr>
        <w:tc>
          <w:tcPr>
            <w:tcW w:w="7060" w:type="dxa"/>
            <w:vAlign w:val="bottom"/>
          </w:tcPr>
          <w:p>
            <w:pPr>
              <w:spacing w:after="0"/>
              <w:rPr>
                <w:sz w:val="20"/>
                <w:szCs w:val="20"/>
                <w:color w:val="auto"/>
              </w:rPr>
            </w:pPr>
            <w:r>
              <w:rPr>
                <w:rFonts w:ascii="Arial" w:cs="Arial" w:eastAsia="Arial" w:hAnsi="Arial"/>
                <w:sz w:val="18"/>
                <w:szCs w:val="18"/>
                <w:color w:val="auto"/>
              </w:rPr>
              <w:t>Maturities of lease liabilities as of March 30, 2025 were as follows:</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thousands)</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35"/>
        </w:trPr>
        <w:tc>
          <w:tcPr>
            <w:tcW w:w="7060" w:type="dxa"/>
            <w:vAlign w:val="bottom"/>
            <w:vMerge w:val="continue"/>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0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Fiscal 2027</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2028</w:t>
            </w: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Fiscal 2029</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2030</w:t>
            </w: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2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organize and manage our business by the following three segments, which meet the definition of reportable segments under ASC 280-10, Segment Reporting: Water Treatment, Industrial and Health and Nutrition. These segments are defined primarily by product and type of customer.</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chief operating decision-maker (CODM), who is our President and Chief Executive Officer, regularly reviews the consolidated financial statements in their entirety and financial information at the reportable segment level. The CODM uses operating income and considers budget-to -actual variances on a quarterly basis when making decisions about the allocation of operating and capital resources to each segment. The CODM also uses segment operating income for evaluating pricing strategy, to assess the performance of each segment by comparing the results of each segment with one another, and in determining the compensation of certain employees. The CODM has ultimate responsibility for enterprise decisions and making resource allocation decisions for the company and the segments.</w:t>
      </w:r>
    </w:p>
    <w:p>
      <w:pPr>
        <w:spacing w:after="0" w:line="74" w:lineRule="exact"/>
        <w:rPr>
          <w:sz w:val="20"/>
          <w:szCs w:val="20"/>
          <w:color w:val="auto"/>
        </w:rPr>
      </w:pPr>
    </w:p>
    <w:p>
      <w:pPr>
        <w:jc w:val="both"/>
        <w:ind w:left="660" w:hanging="328"/>
        <w:spacing w:after="0" w:line="262"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Water Treatment segment specializes in providing chemicals, products, equipment, services and solutions for potable water, municipal and industrial wastewater, industrial process water, non-residential swimming pool water and agricultural water. This segment has the resources and flexibility to treat systems ranging in size from a single small well to a multi-million-gallon-per-day facility.</w:t>
      </w:r>
    </w:p>
    <w:p>
      <w:pPr>
        <w:spacing w:after="0" w:line="68" w:lineRule="exact"/>
        <w:rPr>
          <w:rFonts w:ascii="Arial" w:cs="Arial" w:eastAsia="Arial" w:hAnsi="Arial"/>
          <w:sz w:val="18"/>
          <w:szCs w:val="18"/>
          <w:color w:val="auto"/>
        </w:rPr>
      </w:pPr>
    </w:p>
    <w:p>
      <w:pPr>
        <w:jc w:val="both"/>
        <w:ind w:left="660" w:hanging="328"/>
        <w:spacing w:after="0" w:line="268"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Industrial segment specializes in providing industrial chemicals, products and services to industries such as agriculture, chemical processing, electronics, energy, food, pharmaceutical and plating. This segment's principal products are acids, alkalis and food-grade and pharmaceutical salts and ingredients.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jc w:val="both"/>
        <w:ind w:left="660" w:hanging="328"/>
        <w:spacing w:after="0" w:line="262" w:lineRule="auto"/>
        <w:tabs>
          <w:tab w:leader="none" w:pos="655"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Health and Nutrition segment specializes in providing ingredient distribution, processing and formulation solutions to manufacturers of nutraceutical, functional food and beverage, personal care, dietary supplement and other nutritional food, health and wellness products. This segment offers a diverse product portfolio including minerals, vitamins and amino acids, excipients, joint products, botanicals and herbs, sweeteners and enzymes.</w:t>
      </w:r>
    </w:p>
    <w:p>
      <w:pPr>
        <w:spacing w:after="0" w:line="6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Product costs and expenses for each segment are based on actual costs incurred along with cost allocations of shared and centralized functions.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Segments are responsible for the sales, marketing and development of their products and services. Other than our Health and Nutrition segment, the segments do not have separate customer service or purchasing functions. There are no intersegment sales, and no operating segments have been aggregated.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fiscal 2025, 2024 and 2023, none of our customers accounted for 10% or more of our total sales.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Summarized financial information for the Company’s reportable segments is presented and reconciled to consolidated financial information in the following tables: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Reportable Segments</w:t>
            </w: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99"/>
              </w:rPr>
              <w:t>Water</w:t>
            </w:r>
          </w:p>
        </w:tc>
        <w:tc>
          <w:tcPr>
            <w:tcW w:w="2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b w:val="1"/>
                <w:bCs w:val="1"/>
                <w:color w:val="auto"/>
              </w:rPr>
              <w:t>Industrial</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9"/>
              </w:rPr>
              <w:t>Health and</w:t>
            </w:r>
          </w:p>
        </w:tc>
        <w:tc>
          <w:tcPr>
            <w:tcW w:w="28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1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98"/>
              </w:rPr>
              <w:t>Treatment</w:t>
            </w:r>
          </w:p>
        </w:tc>
        <w:tc>
          <w:tcPr>
            <w:tcW w:w="200" w:type="dxa"/>
            <w:vAlign w:val="bottom"/>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8"/>
              </w:rPr>
              <w:t>Nutrition</w:t>
            </w:r>
          </w:p>
        </w:tc>
        <w:tc>
          <w:tcPr>
            <w:tcW w:w="28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March 30, 2025: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446,489</w:t>
            </w:r>
          </w:p>
        </w:tc>
        <w:tc>
          <w:tcPr>
            <w:tcW w:w="3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382,487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145,455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974,431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materials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259,721</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651,540</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 of sales - operational overhead</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65,159</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97,353</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121,609</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225,538</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61,993</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106,364</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119,174</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Identifiable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358,860</w:t>
            </w:r>
          </w:p>
        </w:tc>
        <w:tc>
          <w:tcPr>
            <w:tcW w:w="34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241,776</w:t>
            </w:r>
          </w:p>
        </w:tc>
        <w:tc>
          <w:tcPr>
            <w:tcW w:w="1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138,936</w:t>
            </w:r>
          </w:p>
        </w:tc>
        <w:tc>
          <w:tcPr>
            <w:tcW w:w="12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739,572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20,166</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41,096</w:t>
            </w: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18,893</w:t>
            </w:r>
          </w:p>
        </w:tc>
        <w:tc>
          <w:tcPr>
            <w:tcW w:w="3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15,814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5,241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39,948</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March 31, 2024: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363,289</w:t>
            </w:r>
          </w:p>
        </w:tc>
        <w:tc>
          <w:tcPr>
            <w:tcW w:w="3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409,465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146,408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919,162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materials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214,020</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635,554</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 of sales - operational overhead</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50,771</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89,972</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98,498</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193,636</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45,286</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89,600</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53,212</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104,036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Identifiable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255,188</w:t>
            </w:r>
          </w:p>
        </w:tc>
        <w:tc>
          <w:tcPr>
            <w:tcW w:w="34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239,586</w:t>
            </w:r>
          </w:p>
        </w:tc>
        <w:tc>
          <w:tcPr>
            <w:tcW w:w="1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134,915</w:t>
            </w:r>
          </w:p>
        </w:tc>
        <w:tc>
          <w:tcPr>
            <w:tcW w:w="12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629,689</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15,739</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40,151</w:t>
            </w: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12,360</w:t>
            </w:r>
          </w:p>
        </w:tc>
        <w:tc>
          <w:tcPr>
            <w:tcW w:w="3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14,155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5,288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31,803</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April 2, 2023: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304,925</w:t>
            </w:r>
          </w:p>
        </w:tc>
        <w:tc>
          <w:tcPr>
            <w:tcW w:w="3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470,760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159,413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935,098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materials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197,010</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701,507</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 of sales - operational overhead</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40,707</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68,472</w:t>
            </w: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67,208</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165,119</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35,734</w:t>
            </w:r>
          </w:p>
        </w:tc>
        <w:tc>
          <w:tcPr>
            <w:tcW w:w="3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76,969</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31,474</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88,150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Identifiable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155,430</w:t>
            </w:r>
          </w:p>
        </w:tc>
        <w:tc>
          <w:tcPr>
            <w:tcW w:w="34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253,436</w:t>
            </w:r>
          </w:p>
        </w:tc>
        <w:tc>
          <w:tcPr>
            <w:tcW w:w="1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155,626</w:t>
            </w:r>
          </w:p>
        </w:tc>
        <w:tc>
          <w:tcPr>
            <w:tcW w:w="12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564,492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16,311</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48,321</w:t>
            </w:r>
          </w:p>
        </w:tc>
        <w:tc>
          <w:tcPr>
            <w:tcW w:w="0" w:type="dxa"/>
            <w:vAlign w:val="bottom"/>
          </w:tcPr>
          <w:p>
            <w:pPr>
              <w:spacing w:after="0"/>
              <w:rPr>
                <w:sz w:val="1"/>
                <w:szCs w:val="1"/>
                <w:color w:val="auto"/>
              </w:rPr>
            </w:pPr>
          </w:p>
        </w:tc>
      </w:tr>
      <w:tr>
        <w:trPr>
          <w:trHeight w:val="239"/>
        </w:trPr>
        <w:tc>
          <w:tcPr>
            <w:tcW w:w="51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9,261</w:t>
            </w:r>
          </w:p>
        </w:tc>
        <w:tc>
          <w:tcPr>
            <w:tcW w:w="3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12,881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5,298</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27,440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480" w:firstLine="8"/>
        <w:spacing w:after="0" w:line="304" w:lineRule="auto"/>
        <w:tabs>
          <w:tab w:leader="none" w:pos="1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Unallocated assets not included, consisting primarily of cash and cash equivalents, prepaid expenses, and non-qualified deferred compensation plan assets of $27.4 million at March 30, 2025, $28.2 million at March 31, 2024 and $26.0 million at April 2, 2023</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HAWKINS,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April 25, 2025, we entered into a second amendment that further amended the Existing Credit Agreement (as amended, the “Credit Agreement”). The second amendment increased the revolving commitment under the Existing Credit Agreement to provide us with senior secured revolving credit facilities (the “Revolving Loan Facility”) totaling $400.0 million. The Revolving Loan Facility includes a $10.0 million letter of credit subfacility and $25.0 million swingline subfacility. U.S. Bank, JP Morgan Chase Bank, N.A., Wells Fargo Bank, N.A., and Associated Bank, N.A. were lenders under the Credit Agreement as of the date of the second amendment.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drew approximately $150 million of the proceeds from the Revolving Loan Facility to acquire substantially all of the assets of</w:t>
      </w:r>
    </w:p>
    <w:p>
      <w:pPr>
        <w:spacing w:after="0" w:line="1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WaterSurplus. We may use other proceeds from the Revolving Loan Facility for working capital, capital expenditures, restricted payments and other acquisitions permitted under the Credit Agreement, and other general corporate purposes.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paid fees of approximately $1.0 million associated with this refinancing. The Revolving Loan Facility is scheduled to mature on April 25, 2030.</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Also on April 25, 2025, we acquired substantially all of the assets of WaterSurplus for approximately $150 million and may be obligated to pay up to an additional $53.7 million based on achieving certain earnings targets five years after the closing of the acquisition. WaterSurplus delivers sustainable water treatment solutions throughout the United States focused on membrane separation systems, engineering and design services, media filtration systems, new equipment and rental unit manufacturing and sales, along with rapid-response PFAS removal solutions for “forever chemicals”. WaterSurplus serves municipal water customers as well as customers in the food and beverage industry, offering patented products within its filtration business that reduce the frequency of membrane cleaning, resulting in lower energy costs, downtime, and lower overall operational costs.</w:t>
      </w:r>
    </w:p>
    <w:p>
      <w:pPr>
        <w:spacing w:after="0" w:line="22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April 2025, we realigned our reporting segments to reflect organizational changes made and to reflect the way we manage our operations and allocate resources. In fiscal 2026, we will have the following reporting segments: Water Treatment, Health and Food Sciences, and Industrial Solutions. We believe this realignment better reflects the value our company provides to our customers and our evolution from a bulk commodity distributor into a specialty ingredients company.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ind w:right="1140"/>
        <w:spacing w:after="0" w:line="412"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March 30, 2025, based on the criteria described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making this assessment as of March 30, 2025, we have excluded the water treatment operations acquired from Amerochem in January 2025 and Waterguard in October 2024. The financial statements of these businesses comprise less than 10% of total assets and less than 2% of total revenues in our consolidated financial statements as of and for the year ended March 30, 2025. We have excluded these businesses because we have not had sufficient time to make an assessment of their internal controls using the COSO criteria in accordance with Section 404 of the Sarbanes-Oxley Act of 2002. In excluding these businesses from our assessment, we have considered the “Frequently Asked Questions” as set forth by the office of the Chief Accountant and the Division of Corporate Finance on June 24, 2004, as revised on September 24, 2007, which acknowledges that it may not be possible to conduct an assessment of an acquired business’s internal control over financial reporting in the period between the consummation date and the date of management’s assessment and contemplates that such business would be excluded from management’s assessment in the year of acquisition. Based on this assessment, management believes that our internal control over financial reporting was effective as of March 30, 2025.</w:t>
      </w:r>
    </w:p>
    <w:p>
      <w:pPr>
        <w:spacing w:after="0" w:line="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for March 30, 2025, which is included in the Report of Independent Registered Public Accounting Firm in Item 8 of this Annual Report on 10-K.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There was no change in our internal control over financial reporting during the fourth quarter of fiscal 2025 that has materially affected, or is reasonably likely to materially affect, our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None of the Company’s directors or officers (as defined in Rule 16a-1(f) of the Exchange Act) adopted, modified or terminated any contract, instruction, or written plan for the purchase or sale of the Company’s securities that was intended to satisfy the affirmative defense conditions</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of Rule 10b5-1(c) of the Exchange Act or any non-Rule 10b5-1 trading arrangement (as defined in Item 408(c) of Regulation S-K) during the quarter ended March 30, 2025.</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information required by Part III is incorporated by reference from Hawkins’ definitive Proxy Statement for the Annual Meeting of Shareholders to be held on July 30, 2025 (the “2025 Proxy Statement”). Except for those portions specifically incorporated in this Form 10-K by reference to the 2025 Proxy Statement, no other portions of the 2025 Proxy Statement are deemed to be filed as part of this Form 10-K.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disclosure under the headings "Proposal One - Election of Directors,” “Corporate Governance,” and, if applicable, “Delinquent Section 16(a) Reports” of the 2025 Proxy Statement is incorporated herein by reference.</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disclosure under the heading “Compensation of Executive Officers and Directors” in the 2025 Proxy Statement is incorporated herein by reference.</w:t>
      </w:r>
    </w:p>
    <w:p>
      <w:pPr>
        <w:spacing w:after="0" w:line="153" w:lineRule="exact"/>
        <w:rPr>
          <w:sz w:val="20"/>
          <w:szCs w:val="20"/>
          <w:color w:val="auto"/>
        </w:rPr>
      </w:pPr>
    </w:p>
    <w:p>
      <w:pPr>
        <w:ind w:right="700"/>
        <w:spacing w:after="0" w:line="296"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1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disclosure under the headings “Security Ownership of Management and Beneficial Ownership” and “Equity Compensation Plan Information” in the 2025 Proxy Statement is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disclosure under the headings “Election of Directors” and “Related Party Transactions” of the 2025 Proxy Statement is incorporated herein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disclosure under the heading “Independent Registered Public Accounting Firm’s Fees” of the 2025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ind w:left="528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5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THE COMPANY</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Reports of Independent Registered Public Accounting Firms.</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Balance Sheets at March 30, 2025 and March 31, 2024.</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Statements of Income for the fiscal years ended March 30, 2025, March 31, 2024 and April 2, 2023.</w:t>
      </w:r>
    </w:p>
    <w:p>
      <w:pPr>
        <w:spacing w:after="0" w:line="77" w:lineRule="exact"/>
        <w:rPr>
          <w:sz w:val="20"/>
          <w:szCs w:val="20"/>
          <w:color w:val="auto"/>
        </w:rPr>
      </w:pPr>
    </w:p>
    <w:p>
      <w:pPr>
        <w:ind w:left="1340"/>
        <w:spacing w:after="0" w:line="256" w:lineRule="auto"/>
        <w:rPr>
          <w:sz w:val="20"/>
          <w:szCs w:val="20"/>
          <w:color w:val="auto"/>
        </w:rPr>
      </w:pPr>
      <w:r>
        <w:rPr>
          <w:rFonts w:ascii="Arial" w:cs="Arial" w:eastAsia="Arial" w:hAnsi="Arial"/>
          <w:sz w:val="18"/>
          <w:szCs w:val="18"/>
          <w:color w:val="auto"/>
        </w:rPr>
        <w:t>Consolidated Statements of Comprehensive Income for the fiscal years ended March 30, 2025, March 31, 2024 and April 2, 2023.</w:t>
      </w:r>
    </w:p>
    <w:p>
      <w:pPr>
        <w:spacing w:after="0" w:line="31" w:lineRule="exact"/>
        <w:rPr>
          <w:sz w:val="20"/>
          <w:szCs w:val="20"/>
          <w:color w:val="auto"/>
        </w:rPr>
      </w:pPr>
    </w:p>
    <w:p>
      <w:pPr>
        <w:ind w:left="1340" w:right="180"/>
        <w:spacing w:after="0" w:line="256" w:lineRule="auto"/>
        <w:rPr>
          <w:sz w:val="20"/>
          <w:szCs w:val="20"/>
          <w:color w:val="auto"/>
        </w:rPr>
      </w:pPr>
      <w:r>
        <w:rPr>
          <w:rFonts w:ascii="Arial" w:cs="Arial" w:eastAsia="Arial" w:hAnsi="Arial"/>
          <w:sz w:val="18"/>
          <w:szCs w:val="18"/>
          <w:color w:val="auto"/>
        </w:rPr>
        <w:t>Consolidated Statements of Shareholders’ Equity for the fiscal years ended March 30, 2025, March 31, 2024, and April 2, 2023.</w:t>
      </w:r>
    </w:p>
    <w:p>
      <w:pPr>
        <w:spacing w:after="0" w:line="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Consolidated Statements of Cash Flows for the fiscal years ended March 30, 2025, March 31, 2024, and April 2, 2023.</w:t>
      </w:r>
    </w:p>
    <w:p>
      <w:pPr>
        <w:spacing w:after="0" w:line="1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Notes to Consolidated Financial Statements.</w:t>
      </w:r>
    </w:p>
    <w:p>
      <w:pPr>
        <w:spacing w:after="0" w:line="7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THE COMPANY</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additional financial data listed below is included as a schedule to this Annual Report on Form 10-K and should be read</w:t>
      </w:r>
    </w:p>
    <w:p>
      <w:pPr>
        <w:jc w:val="both"/>
        <w:ind w:left="1340" w:right="60"/>
        <w:spacing w:after="0" w:line="221" w:lineRule="auto"/>
        <w:rPr>
          <w:sz w:val="20"/>
          <w:szCs w:val="20"/>
          <w:color w:val="auto"/>
        </w:rPr>
      </w:pPr>
      <w:r>
        <w:rPr>
          <w:rFonts w:ascii="Arial" w:cs="Arial" w:eastAsia="Arial" w:hAnsi="Arial"/>
          <w:sz w:val="18"/>
          <w:szCs w:val="18"/>
          <w:color w:val="auto"/>
        </w:rPr>
        <w:t>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4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following financial statement schedule for the fiscal years 2025, 2024 and 2023.</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Schedule II — Valuation and Qualifying Accounts.</w:t>
      </w:r>
    </w:p>
    <w:p>
      <w:pPr>
        <w:spacing w:after="0" w:line="7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54" w:name="page55"/>
    <w:bookmarkEnd w:id="54"/>
    <w:tbl>
      <w:tblPr>
        <w:tblLayout w:type="fixed"/>
        <w:tblInd w:w="714" w:type="dxa"/>
        <w:tblCellMar>
          <w:top w:w="0" w:type="dxa"/>
          <w:left w:w="0" w:type="dxa"/>
          <w:bottom w:w="0" w:type="dxa"/>
          <w:right w:w="0" w:type="dxa"/>
        </w:tblCellMar>
      </w:tblPr>
      <w:tr>
        <w:trPr>
          <w:trHeight w:val="247"/>
        </w:trPr>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20" w:type="dxa"/>
            <w:vAlign w:val="bottom"/>
            <w:gridSpan w:val="10"/>
          </w:tcPr>
          <w:p>
            <w:pPr>
              <w:ind w:left="500"/>
              <w:spacing w:after="0"/>
              <w:rPr>
                <w:sz w:val="20"/>
                <w:szCs w:val="20"/>
                <w:color w:val="auto"/>
              </w:rPr>
            </w:pPr>
            <w:r>
              <w:rPr>
                <w:rFonts w:ascii="Arial" w:cs="Arial" w:eastAsia="Arial" w:hAnsi="Arial"/>
                <w:sz w:val="18"/>
                <w:szCs w:val="18"/>
                <w:b w:val="1"/>
                <w:bCs w:val="1"/>
                <w:color w:val="auto"/>
              </w:rPr>
              <w:t>Exhibit Index</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2"/>
        </w:trPr>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Exhibit</w:t>
            </w:r>
          </w:p>
        </w:tc>
        <w:tc>
          <w:tcPr>
            <w:tcW w:w="6900" w:type="dxa"/>
            <w:vAlign w:val="bottom"/>
            <w:gridSpan w:val="16"/>
          </w:tcPr>
          <w:p>
            <w:pPr>
              <w:spacing w:after="0"/>
              <w:rPr>
                <w:sz w:val="20"/>
                <w:szCs w:val="20"/>
                <w:color w:val="auto"/>
              </w:rPr>
            </w:pPr>
            <w:r>
              <w:rPr>
                <w:rFonts w:ascii="Arial" w:cs="Arial" w:eastAsia="Arial" w:hAnsi="Arial"/>
                <w:sz w:val="18"/>
                <w:szCs w:val="18"/>
                <w:b w:val="1"/>
                <w:bCs w:val="1"/>
                <w:color w:val="auto"/>
              </w:rPr>
              <w:t>Description</w:t>
            </w:r>
          </w:p>
        </w:tc>
        <w:tc>
          <w:tcPr>
            <w:tcW w:w="2240" w:type="dxa"/>
            <w:vAlign w:val="bottom"/>
            <w:gridSpan w:val="3"/>
          </w:tcPr>
          <w:p>
            <w:pPr>
              <w:ind w:left="120"/>
              <w:spacing w:after="0"/>
              <w:rPr>
                <w:sz w:val="20"/>
                <w:szCs w:val="20"/>
                <w:color w:val="auto"/>
              </w:rPr>
            </w:pPr>
            <w:r>
              <w:rPr>
                <w:rFonts w:ascii="Arial" w:cs="Arial" w:eastAsia="Arial" w:hAnsi="Arial"/>
                <w:sz w:val="18"/>
                <w:szCs w:val="18"/>
                <w:b w:val="1"/>
                <w:bCs w:val="1"/>
                <w:color w:val="auto"/>
              </w:rPr>
              <w:t>Method of Filing</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2"/>
                <w:szCs w:val="22"/>
                <w:color w:val="auto"/>
              </w:rPr>
            </w:pPr>
          </w:p>
        </w:tc>
        <w:tc>
          <w:tcPr>
            <w:tcW w:w="2980" w:type="dxa"/>
            <w:vAlign w:val="bottom"/>
            <w:tcBorders>
              <w:bottom w:val="single" w:sz="8" w:color="0000FF"/>
            </w:tcBorders>
            <w:gridSpan w:val="6"/>
          </w:tcPr>
          <w:p>
            <w:pPr>
              <w:spacing w:after="0"/>
              <w:rPr>
                <w:rFonts w:ascii="Arial" w:cs="Arial" w:eastAsia="Arial" w:hAnsi="Arial"/>
                <w:sz w:val="18"/>
                <w:szCs w:val="18"/>
                <w:color w:val="0000FF"/>
                <w:w w:val="99"/>
              </w:rPr>
            </w:pPr>
            <w:hyperlink r:id="rId83">
              <w:r>
                <w:rPr>
                  <w:rFonts w:ascii="Arial" w:cs="Arial" w:eastAsia="Arial" w:hAnsi="Arial"/>
                  <w:sz w:val="18"/>
                  <w:szCs w:val="18"/>
                  <w:color w:val="0000FF"/>
                  <w:w w:val="99"/>
                </w:rPr>
                <w:t>Restated Articles of Incorporation. (1)</w:t>
              </w:r>
            </w:hyperlink>
          </w:p>
        </w:tc>
        <w:tc>
          <w:tcPr>
            <w:tcW w:w="3920" w:type="dxa"/>
            <w:vAlign w:val="bottom"/>
            <w:gridSpan w:val="10"/>
          </w:tcPr>
          <w:p>
            <w:pPr>
              <w:spacing w:after="0"/>
              <w:rPr>
                <w:sz w:val="22"/>
                <w:szCs w:val="22"/>
                <w:color w:val="auto"/>
              </w:rPr>
            </w:pPr>
          </w:p>
        </w:tc>
        <w:tc>
          <w:tcPr>
            <w:tcW w:w="2240" w:type="dxa"/>
            <w:vAlign w:val="bottom"/>
            <w:gridSpan w:val="3"/>
          </w:tcPr>
          <w:p>
            <w:pPr>
              <w:ind w:left="120"/>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263"/>
        </w:trPr>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2"/>
                <w:szCs w:val="22"/>
                <w:color w:val="auto"/>
              </w:rPr>
            </w:pPr>
          </w:p>
        </w:tc>
        <w:tc>
          <w:tcPr>
            <w:tcW w:w="6900" w:type="dxa"/>
            <w:vAlign w:val="bottom"/>
            <w:gridSpan w:val="16"/>
          </w:tcPr>
          <w:p>
            <w:pPr>
              <w:spacing w:after="0"/>
              <w:rPr>
                <w:rFonts w:ascii="Arial" w:cs="Arial" w:eastAsia="Arial" w:hAnsi="Arial"/>
                <w:sz w:val="18"/>
                <w:szCs w:val="18"/>
                <w:color w:val="0000FF"/>
              </w:rPr>
            </w:pPr>
            <w:hyperlink r:id="rId84">
              <w:r>
                <w:rPr>
                  <w:rFonts w:ascii="Arial" w:cs="Arial" w:eastAsia="Arial" w:hAnsi="Arial"/>
                  <w:sz w:val="18"/>
                  <w:szCs w:val="18"/>
                  <w:color w:val="0000FF"/>
                </w:rPr>
                <w:t>Amended and Restated By-Laws. (2)</w:t>
              </w:r>
            </w:hyperlink>
          </w:p>
        </w:tc>
        <w:tc>
          <w:tcPr>
            <w:tcW w:w="2240" w:type="dxa"/>
            <w:vAlign w:val="bottom"/>
            <w:gridSpan w:val="3"/>
          </w:tcPr>
          <w:p>
            <w:pPr>
              <w:ind w:left="120"/>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264"/>
        </w:trPr>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2"/>
                <w:szCs w:val="22"/>
                <w:color w:val="auto"/>
              </w:rPr>
            </w:pPr>
          </w:p>
        </w:tc>
        <w:tc>
          <w:tcPr>
            <w:tcW w:w="226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9"/>
              </w:rPr>
            </w:pPr>
            <w:hyperlink r:id="rId85">
              <w:r>
                <w:rPr>
                  <w:rFonts w:ascii="Arial" w:cs="Arial" w:eastAsia="Arial" w:hAnsi="Arial"/>
                  <w:sz w:val="18"/>
                  <w:szCs w:val="18"/>
                  <w:color w:val="0000FF"/>
                  <w:w w:val="99"/>
                </w:rPr>
                <w:t>Description of Securities. (3)</w:t>
              </w:r>
            </w:hyperlink>
          </w:p>
        </w:tc>
        <w:tc>
          <w:tcPr>
            <w:tcW w:w="680" w:type="dxa"/>
            <w:vAlign w:val="bottom"/>
            <w:tcBorders>
              <w:top w:val="single" w:sz="8" w:color="0000FF"/>
            </w:tcBorders>
          </w:tcPr>
          <w:p>
            <w:pPr>
              <w:spacing w:after="0"/>
              <w:rPr>
                <w:sz w:val="22"/>
                <w:szCs w:val="22"/>
                <w:color w:val="auto"/>
              </w:rPr>
            </w:pPr>
          </w:p>
        </w:tc>
        <w:tc>
          <w:tcPr>
            <w:tcW w:w="3960" w:type="dxa"/>
            <w:vAlign w:val="bottom"/>
            <w:gridSpan w:val="11"/>
          </w:tcPr>
          <w:p>
            <w:pPr>
              <w:spacing w:after="0"/>
              <w:rPr>
                <w:sz w:val="22"/>
                <w:szCs w:val="22"/>
                <w:color w:val="auto"/>
              </w:rPr>
            </w:pPr>
          </w:p>
        </w:tc>
        <w:tc>
          <w:tcPr>
            <w:tcW w:w="2240" w:type="dxa"/>
            <w:vAlign w:val="bottom"/>
            <w:gridSpan w:val="3"/>
          </w:tcPr>
          <w:p>
            <w:pPr>
              <w:ind w:left="120"/>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263"/>
        </w:trPr>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2"/>
                <w:szCs w:val="22"/>
                <w:color w:val="auto"/>
              </w:rPr>
            </w:pPr>
          </w:p>
        </w:tc>
        <w:tc>
          <w:tcPr>
            <w:tcW w:w="4360" w:type="dxa"/>
            <w:vAlign w:val="bottom"/>
            <w:tcBorders>
              <w:bottom w:val="single" w:sz="8" w:color="0000FF"/>
            </w:tcBorders>
            <w:gridSpan w:val="7"/>
          </w:tcPr>
          <w:p>
            <w:pPr>
              <w:spacing w:after="0"/>
              <w:rPr>
                <w:rFonts w:ascii="Arial" w:cs="Arial" w:eastAsia="Arial" w:hAnsi="Arial"/>
                <w:sz w:val="18"/>
                <w:szCs w:val="18"/>
                <w:color w:val="0000FF"/>
                <w:w w:val="99"/>
              </w:rPr>
            </w:pPr>
            <w:hyperlink r:id="rId86">
              <w:r>
                <w:rPr>
                  <w:rFonts w:ascii="Arial" w:cs="Arial" w:eastAsia="Arial" w:hAnsi="Arial"/>
                  <w:sz w:val="18"/>
                  <w:szCs w:val="18"/>
                  <w:color w:val="0000FF"/>
                  <w:w w:val="99"/>
                </w:rPr>
                <w:t>Amended and Restated Executive Severance Plan. (</w:t>
              </w:r>
            </w:hyperlink>
            <w:r>
              <w:rPr>
                <w:rFonts w:ascii="Arial" w:cs="Arial" w:eastAsia="Arial" w:hAnsi="Arial"/>
                <w:sz w:val="18"/>
                <w:szCs w:val="18"/>
                <w:color w:val="0000FF"/>
                <w:w w:val="99"/>
              </w:rPr>
              <w:t>4)</w:t>
            </w:r>
          </w:p>
        </w:tc>
        <w:tc>
          <w:tcPr>
            <w:tcW w:w="2540" w:type="dxa"/>
            <w:vAlign w:val="bottom"/>
            <w:gridSpan w:val="9"/>
          </w:tcPr>
          <w:p>
            <w:pPr>
              <w:spacing w:after="0"/>
              <w:rPr>
                <w:sz w:val="22"/>
                <w:szCs w:val="22"/>
                <w:color w:val="auto"/>
              </w:rPr>
            </w:pPr>
          </w:p>
        </w:tc>
        <w:tc>
          <w:tcPr>
            <w:tcW w:w="2240" w:type="dxa"/>
            <w:vAlign w:val="bottom"/>
            <w:gridSpan w:val="3"/>
          </w:tcPr>
          <w:p>
            <w:pPr>
              <w:ind w:left="120"/>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264"/>
        </w:trPr>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2"/>
                <w:szCs w:val="22"/>
                <w:color w:val="auto"/>
              </w:rPr>
            </w:pPr>
          </w:p>
        </w:tc>
        <w:tc>
          <w:tcPr>
            <w:tcW w:w="5440" w:type="dxa"/>
            <w:vAlign w:val="bottom"/>
            <w:tcBorders>
              <w:bottom w:val="single" w:sz="8" w:color="0000FF"/>
            </w:tcBorders>
            <w:gridSpan w:val="9"/>
          </w:tcPr>
          <w:p>
            <w:pPr>
              <w:spacing w:after="0"/>
              <w:rPr>
                <w:rFonts w:ascii="Arial" w:cs="Arial" w:eastAsia="Arial" w:hAnsi="Arial"/>
                <w:sz w:val="18"/>
                <w:szCs w:val="18"/>
                <w:color w:val="0000FF"/>
                <w:w w:val="99"/>
              </w:rPr>
            </w:pPr>
            <w:hyperlink r:id="rId87">
              <w:r>
                <w:rPr>
                  <w:rFonts w:ascii="Arial" w:cs="Arial" w:eastAsia="Arial" w:hAnsi="Arial"/>
                  <w:sz w:val="18"/>
                  <w:szCs w:val="18"/>
                  <w:color w:val="0000FF"/>
                  <w:w w:val="99"/>
                </w:rPr>
                <w:t xml:space="preserve">Employee Stock Purchase Plan, as amended on August 2, 2018. </w:t>
              </w:r>
            </w:hyperlink>
            <w:r>
              <w:rPr>
                <w:rFonts w:ascii="Arial" w:cs="Arial" w:eastAsia="Arial" w:hAnsi="Arial"/>
                <w:sz w:val="18"/>
                <w:szCs w:val="18"/>
                <w:color w:val="0000FF"/>
                <w:w w:val="99"/>
              </w:rPr>
              <w:t>(5)</w:t>
            </w:r>
          </w:p>
        </w:tc>
        <w:tc>
          <w:tcPr>
            <w:tcW w:w="1460" w:type="dxa"/>
            <w:vAlign w:val="bottom"/>
            <w:gridSpan w:val="7"/>
          </w:tcPr>
          <w:p>
            <w:pPr>
              <w:spacing w:after="0"/>
              <w:rPr>
                <w:sz w:val="22"/>
                <w:szCs w:val="22"/>
                <w:color w:val="auto"/>
              </w:rPr>
            </w:pPr>
          </w:p>
        </w:tc>
        <w:tc>
          <w:tcPr>
            <w:tcW w:w="2240" w:type="dxa"/>
            <w:vAlign w:val="bottom"/>
            <w:gridSpan w:val="3"/>
          </w:tcPr>
          <w:p>
            <w:pPr>
              <w:ind w:left="120"/>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264"/>
        </w:trPr>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2"/>
                <w:szCs w:val="22"/>
                <w:color w:val="auto"/>
              </w:rPr>
            </w:pPr>
          </w:p>
        </w:tc>
        <w:tc>
          <w:tcPr>
            <w:tcW w:w="6900" w:type="dxa"/>
            <w:vAlign w:val="bottom"/>
            <w:gridSpan w:val="16"/>
          </w:tcPr>
          <w:p>
            <w:pPr>
              <w:spacing w:after="0"/>
              <w:rPr>
                <w:rFonts w:ascii="Arial" w:cs="Arial" w:eastAsia="Arial" w:hAnsi="Arial"/>
                <w:sz w:val="18"/>
                <w:szCs w:val="18"/>
                <w:color w:val="0000FF"/>
              </w:rPr>
            </w:pPr>
            <w:hyperlink r:id="rId88">
              <w:r>
                <w:rPr>
                  <w:rFonts w:ascii="Arial" w:cs="Arial" w:eastAsia="Arial" w:hAnsi="Arial"/>
                  <w:sz w:val="18"/>
                  <w:szCs w:val="18"/>
                  <w:color w:val="0000FF"/>
                </w:rPr>
                <w:t>Amendment No. 2 to the Hawkins, Inc. Employee Stock Purchase Plan, as amended.</w:t>
              </w:r>
            </w:hyperlink>
          </w:p>
        </w:tc>
        <w:tc>
          <w:tcPr>
            <w:tcW w:w="2240" w:type="dxa"/>
            <w:vAlign w:val="bottom"/>
            <w:gridSpan w:val="3"/>
            <w:vMerge w:val="restart"/>
          </w:tcPr>
          <w:p>
            <w:pPr>
              <w:ind w:left="120"/>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119"/>
        </w:trPr>
        <w:tc>
          <w:tcPr>
            <w:tcW w:w="6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0000FF"/>
            </w:tcBorders>
            <w:vMerge w:val="restart"/>
          </w:tcPr>
          <w:p>
            <w:pPr>
              <w:spacing w:after="0" w:line="156" w:lineRule="exact"/>
              <w:rPr>
                <w:rFonts w:ascii="Arial" w:cs="Arial" w:eastAsia="Arial" w:hAnsi="Arial"/>
                <w:sz w:val="18"/>
                <w:szCs w:val="18"/>
                <w:color w:val="0000FF"/>
                <w:w w:val="90"/>
              </w:rPr>
            </w:pPr>
            <w:hyperlink r:id="rId88">
              <w:r>
                <w:rPr>
                  <w:rFonts w:ascii="Arial" w:cs="Arial" w:eastAsia="Arial" w:hAnsi="Arial"/>
                  <w:sz w:val="18"/>
                  <w:szCs w:val="18"/>
                  <w:color w:val="0000FF"/>
                  <w:w w:val="90"/>
                </w:rPr>
                <w:t>(6)</w:t>
              </w:r>
            </w:hyperlink>
          </w:p>
        </w:tc>
        <w:tc>
          <w:tcPr>
            <w:tcW w:w="76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38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bottom w:val="single" w:sz="8" w:color="0000FF"/>
            </w:tcBorders>
            <w:vMerge w:val="continue"/>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6300" w:type="dxa"/>
            <w:vAlign w:val="bottom"/>
            <w:tcBorders>
              <w:bottom w:val="single" w:sz="8" w:color="0000FF"/>
            </w:tcBorders>
            <w:gridSpan w:val="10"/>
          </w:tcPr>
          <w:p>
            <w:pPr>
              <w:spacing w:after="0"/>
              <w:rPr>
                <w:rFonts w:ascii="Arial" w:cs="Arial" w:eastAsia="Arial" w:hAnsi="Arial"/>
                <w:sz w:val="18"/>
                <w:szCs w:val="18"/>
                <w:color w:val="0000FF"/>
                <w:w w:val="99"/>
              </w:rPr>
            </w:pPr>
            <w:hyperlink r:id="rId89">
              <w:r>
                <w:rPr>
                  <w:rFonts w:ascii="Arial" w:cs="Arial" w:eastAsia="Arial" w:hAnsi="Arial"/>
                  <w:sz w:val="18"/>
                  <w:szCs w:val="18"/>
                  <w:color w:val="0000FF"/>
                  <w:w w:val="99"/>
                </w:rPr>
                <w:t>Second Amended and Restated Credit Agreement dated as of March 31, 2022,</w:t>
              </w:r>
            </w:hyperlink>
          </w:p>
        </w:tc>
        <w:tc>
          <w:tcPr>
            <w:tcW w:w="600" w:type="dxa"/>
            <w:vAlign w:val="bottom"/>
            <w:gridSpan w:val="6"/>
          </w:tcPr>
          <w:p>
            <w:pPr>
              <w:spacing w:after="0"/>
              <w:rPr>
                <w:sz w:val="24"/>
                <w:szCs w:val="24"/>
                <w:color w:val="auto"/>
              </w:rPr>
            </w:pPr>
          </w:p>
        </w:tc>
        <w:tc>
          <w:tcPr>
            <w:tcW w:w="2240" w:type="dxa"/>
            <w:vAlign w:val="bottom"/>
            <w:gridSpan w:val="3"/>
            <w:vMerge w:val="restart"/>
          </w:tcPr>
          <w:p>
            <w:pPr>
              <w:ind w:left="120"/>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155"/>
        </w:trPr>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900" w:type="dxa"/>
            <w:vAlign w:val="bottom"/>
            <w:gridSpan w:val="16"/>
          </w:tcPr>
          <w:p>
            <w:pPr>
              <w:spacing w:after="0" w:line="156" w:lineRule="exact"/>
              <w:rPr>
                <w:rFonts w:ascii="Arial" w:cs="Arial" w:eastAsia="Arial" w:hAnsi="Arial"/>
                <w:sz w:val="18"/>
                <w:szCs w:val="18"/>
                <w:color w:val="0000FF"/>
              </w:rPr>
            </w:pPr>
            <w:hyperlink r:id="rId89">
              <w:r>
                <w:rPr>
                  <w:rFonts w:ascii="Arial" w:cs="Arial" w:eastAsia="Arial" w:hAnsi="Arial"/>
                  <w:sz w:val="18"/>
                  <w:szCs w:val="18"/>
                  <w:color w:val="0000FF"/>
                </w:rPr>
                <w:t>among Hawkins, Inc., the lenders party thereto, and U.S. Bank National Association,</w:t>
              </w:r>
            </w:hyperlink>
          </w:p>
        </w:tc>
        <w:tc>
          <w:tcPr>
            <w:tcW w:w="2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70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89">
              <w:r>
                <w:rPr>
                  <w:rFonts w:ascii="Arial" w:cs="Arial" w:eastAsia="Arial" w:hAnsi="Arial"/>
                  <w:sz w:val="18"/>
                  <w:szCs w:val="18"/>
                  <w:color w:val="0000FF"/>
                </w:rPr>
                <w:t>as an LC Issuer, Swing Line Lender and Administrative Agent. (7)</w:t>
              </w:r>
            </w:hyperlink>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2"/>
                <w:szCs w:val="22"/>
                <w:color w:val="auto"/>
              </w:rPr>
            </w:pPr>
          </w:p>
        </w:tc>
        <w:tc>
          <w:tcPr>
            <w:tcW w:w="6900" w:type="dxa"/>
            <w:vAlign w:val="bottom"/>
            <w:gridSpan w:val="16"/>
          </w:tcPr>
          <w:p>
            <w:pPr>
              <w:spacing w:after="0"/>
              <w:rPr>
                <w:rFonts w:ascii="Arial" w:cs="Arial" w:eastAsia="Arial" w:hAnsi="Arial"/>
                <w:sz w:val="18"/>
                <w:szCs w:val="18"/>
                <w:color w:val="0000FF"/>
              </w:rPr>
            </w:pPr>
            <w:hyperlink r:id="rId90">
              <w:r>
                <w:rPr>
                  <w:rFonts w:ascii="Arial" w:cs="Arial" w:eastAsia="Arial" w:hAnsi="Arial"/>
                  <w:sz w:val="18"/>
                  <w:szCs w:val="18"/>
                  <w:color w:val="0000FF"/>
                </w:rPr>
                <w:t>First Amendment to Second Amended and Restated Credit Agreement dated as of</w:t>
              </w:r>
            </w:hyperlink>
          </w:p>
        </w:tc>
        <w:tc>
          <w:tcPr>
            <w:tcW w:w="2240" w:type="dxa"/>
            <w:vAlign w:val="bottom"/>
            <w:gridSpan w:val="3"/>
            <w:vMerge w:val="restart"/>
          </w:tcPr>
          <w:p>
            <w:pPr>
              <w:ind w:left="120"/>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156"/>
        </w:trPr>
        <w:tc>
          <w:tcPr>
            <w:tcW w:w="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5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90">
              <w:r>
                <w:rPr>
                  <w:rFonts w:ascii="Arial" w:cs="Arial" w:eastAsia="Arial" w:hAnsi="Arial"/>
                  <w:sz w:val="18"/>
                  <w:szCs w:val="18"/>
                  <w:color w:val="0000FF"/>
                </w:rPr>
                <w:t>May 30, 2024, among Hawkins, Inc., U.S. Bank National Association, and certain</w:t>
              </w:r>
            </w:hyperlink>
          </w:p>
        </w:tc>
        <w:tc>
          <w:tcPr>
            <w:tcW w:w="160" w:type="dxa"/>
            <w:vAlign w:val="bottom"/>
            <w:gridSpan w:val="2"/>
          </w:tcPr>
          <w:p>
            <w:pPr>
              <w:spacing w:after="0"/>
              <w:rPr>
                <w:sz w:val="13"/>
                <w:szCs w:val="13"/>
                <w:color w:val="auto"/>
              </w:rPr>
            </w:pPr>
          </w:p>
        </w:tc>
        <w:tc>
          <w:tcPr>
            <w:tcW w:w="180" w:type="dxa"/>
            <w:vAlign w:val="bottom"/>
            <w:gridSpan w:val="2"/>
          </w:tcPr>
          <w:p>
            <w:pPr>
              <w:spacing w:after="0"/>
              <w:rPr>
                <w:sz w:val="13"/>
                <w:szCs w:val="13"/>
                <w:color w:val="auto"/>
              </w:rPr>
            </w:pPr>
          </w:p>
        </w:tc>
        <w:tc>
          <w:tcPr>
            <w:tcW w:w="2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8"/>
              </w:rPr>
            </w:pPr>
            <w:hyperlink r:id="rId90">
              <w:r>
                <w:rPr>
                  <w:rFonts w:ascii="Arial" w:cs="Arial" w:eastAsia="Arial" w:hAnsi="Arial"/>
                  <w:sz w:val="18"/>
                  <w:szCs w:val="18"/>
                  <w:color w:val="0000FF"/>
                  <w:w w:val="98"/>
                </w:rPr>
                <w:t>financial institutions. (8)</w:t>
              </w:r>
            </w:hyperlink>
          </w:p>
        </w:tc>
        <w:tc>
          <w:tcPr>
            <w:tcW w:w="4560" w:type="dxa"/>
            <w:vAlign w:val="bottom"/>
            <w:tcBorders>
              <w:top w:val="single" w:sz="8" w:color="0000FF"/>
            </w:tcBorders>
            <w:gridSpan w:val="8"/>
          </w:tcPr>
          <w:p>
            <w:pPr>
              <w:spacing w:after="0"/>
              <w:rPr>
                <w:sz w:val="14"/>
                <w:szCs w:val="14"/>
                <w:color w:val="auto"/>
              </w:rPr>
            </w:pPr>
          </w:p>
        </w:tc>
        <w:tc>
          <w:tcPr>
            <w:tcW w:w="280" w:type="dxa"/>
            <w:vAlign w:val="bottom"/>
            <w:gridSpan w:val="3"/>
          </w:tcPr>
          <w:p>
            <w:pPr>
              <w:spacing w:after="0"/>
              <w:rPr>
                <w:sz w:val="14"/>
                <w:szCs w:val="14"/>
                <w:color w:val="auto"/>
              </w:rPr>
            </w:pPr>
          </w:p>
        </w:tc>
        <w:tc>
          <w:tcPr>
            <w:tcW w:w="1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2"/>
                <w:szCs w:val="22"/>
                <w:color w:val="auto"/>
              </w:rPr>
            </w:pPr>
          </w:p>
        </w:tc>
        <w:tc>
          <w:tcPr>
            <w:tcW w:w="6900" w:type="dxa"/>
            <w:vAlign w:val="bottom"/>
            <w:gridSpan w:val="16"/>
          </w:tcPr>
          <w:p>
            <w:pPr>
              <w:spacing w:after="0"/>
              <w:rPr>
                <w:rFonts w:ascii="Arial" w:cs="Arial" w:eastAsia="Arial" w:hAnsi="Arial"/>
                <w:sz w:val="18"/>
                <w:szCs w:val="18"/>
                <w:color w:val="0000FF"/>
              </w:rPr>
            </w:pPr>
            <w:hyperlink r:id="rId91">
              <w:r>
                <w:rPr>
                  <w:rFonts w:ascii="Arial" w:cs="Arial" w:eastAsia="Arial" w:hAnsi="Arial"/>
                  <w:sz w:val="18"/>
                  <w:szCs w:val="18"/>
                  <w:color w:val="0000FF"/>
                </w:rPr>
                <w:t>Joinder, Consent and Second Amendment to Second Amended and Restated Credit</w:t>
              </w:r>
            </w:hyperlink>
          </w:p>
        </w:tc>
        <w:tc>
          <w:tcPr>
            <w:tcW w:w="2240" w:type="dxa"/>
            <w:vAlign w:val="bottom"/>
            <w:gridSpan w:val="3"/>
            <w:vMerge w:val="restart"/>
          </w:tcPr>
          <w:p>
            <w:pPr>
              <w:ind w:left="120"/>
              <w:spacing w:after="0"/>
              <w:rPr>
                <w:sz w:val="20"/>
                <w:szCs w:val="20"/>
                <w:color w:val="auto"/>
              </w:rPr>
            </w:pPr>
            <w:r>
              <w:rPr>
                <w:rFonts w:ascii="Arial" w:cs="Arial" w:eastAsia="Arial" w:hAnsi="Arial"/>
                <w:sz w:val="18"/>
                <w:szCs w:val="18"/>
                <w:color w:val="auto"/>
                <w:w w:val="98"/>
              </w:rPr>
              <w:t>Incorporated by Reference</w:t>
            </w:r>
          </w:p>
        </w:tc>
        <w:tc>
          <w:tcPr>
            <w:tcW w:w="0" w:type="dxa"/>
            <w:vAlign w:val="bottom"/>
          </w:tcPr>
          <w:p>
            <w:pPr>
              <w:spacing w:after="0"/>
              <w:rPr>
                <w:sz w:val="1"/>
                <w:szCs w:val="1"/>
                <w:color w:val="auto"/>
              </w:rPr>
            </w:pPr>
          </w:p>
        </w:tc>
      </w:tr>
      <w:tr>
        <w:trPr>
          <w:trHeight w:val="168"/>
        </w:trPr>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720" w:type="dxa"/>
            <w:vAlign w:val="bottom"/>
            <w:tcBorders>
              <w:top w:val="single" w:sz="8" w:color="0000FF"/>
            </w:tcBorders>
            <w:gridSpan w:val="14"/>
          </w:tcPr>
          <w:p>
            <w:pPr>
              <w:spacing w:after="0" w:line="168" w:lineRule="exact"/>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Agreement dated as of April 25, 2025, among Hawkins, Inc., U.S. Bank National</w:t>
              </w:r>
            </w:hyperlink>
          </w:p>
        </w:tc>
        <w:tc>
          <w:tcPr>
            <w:tcW w:w="180" w:type="dxa"/>
            <w:vAlign w:val="bottom"/>
            <w:gridSpan w:val="2"/>
          </w:tcPr>
          <w:p>
            <w:pPr>
              <w:spacing w:after="0"/>
              <w:rPr>
                <w:sz w:val="14"/>
                <w:szCs w:val="14"/>
                <w:color w:val="auto"/>
              </w:rPr>
            </w:pPr>
          </w:p>
        </w:tc>
        <w:tc>
          <w:tcPr>
            <w:tcW w:w="2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1554"/>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Association, and certain financial institutions. (9)</w:t>
        </w:r>
      </w:hyperlink>
    </w:p>
    <w:p>
      <w:pPr>
        <w:sectPr>
          <w:pgSz w:w="11900" w:h="16838" w:orient="portrait"/>
          <w:cols w:equalWidth="0" w:num="1">
            <w:col w:w="10974"/>
          </w:cols>
          <w:pgMar w:left="346" w:top="931" w:right="579" w:bottom="1440" w:gutter="0" w:footer="0" w:header="0"/>
        </w:sectPr>
      </w:pPr>
    </w:p>
    <w:p>
      <w:pPr>
        <w:spacing w:after="0" w:line="59" w:lineRule="exact"/>
        <w:rPr>
          <w:sz w:val="20"/>
          <w:szCs w:val="20"/>
          <w:color w:val="auto"/>
        </w:rPr>
      </w:pPr>
    </w:p>
    <w:p>
      <w:pPr>
        <w:ind w:left="894"/>
        <w:spacing w:after="0"/>
        <w:tabs>
          <w:tab w:leader="none" w:pos="1534" w:val="left"/>
        </w:tabs>
        <w:rPr>
          <w:rFonts w:ascii="Arial" w:cs="Arial" w:eastAsia="Arial" w:hAnsi="Arial"/>
          <w:sz w:val="17"/>
          <w:szCs w:val="17"/>
          <w:u w:val="single" w:color="auto"/>
          <w:color w:val="0000FF"/>
        </w:rPr>
      </w:pPr>
      <w:r>
        <w:rPr>
          <w:rFonts w:ascii="Arial" w:cs="Arial" w:eastAsia="Arial" w:hAnsi="Arial"/>
          <w:sz w:val="18"/>
          <w:szCs w:val="18"/>
          <w:color w:val="auto"/>
        </w:rPr>
        <w:t>10.7*</w:t>
      </w:r>
      <w:r>
        <w:rPr>
          <w:sz w:val="20"/>
          <w:szCs w:val="20"/>
          <w:color w:val="auto"/>
        </w:rPr>
        <w:tab/>
      </w:r>
      <w:hyperlink r:id="rId92">
        <w:r>
          <w:rPr>
            <w:rFonts w:ascii="Arial" w:cs="Arial" w:eastAsia="Arial" w:hAnsi="Arial"/>
            <w:sz w:val="17"/>
            <w:szCs w:val="17"/>
            <w:u w:val="single" w:color="auto"/>
            <w:color w:val="0000FF"/>
          </w:rPr>
          <w:t>Hawkins, Inc. 2019 Equity Incentive Plan. (10)</w:t>
        </w:r>
      </w:hyperlink>
    </w:p>
    <w:p>
      <w:pPr>
        <w:ind w:left="1554"/>
        <w:spacing w:after="0" w:line="219" w:lineRule="auto"/>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Form of Performance Stock Unit Award Notice and Restricted Stock Agreement</w:t>
        </w:r>
      </w:hyperlink>
    </w:p>
    <w:tbl>
      <w:tblPr>
        <w:tblLayout w:type="fixed"/>
        <w:tblInd w:w="894" w:type="dxa"/>
        <w:tblCellMar>
          <w:top w:w="0" w:type="dxa"/>
          <w:left w:w="0" w:type="dxa"/>
          <w:bottom w:w="0" w:type="dxa"/>
          <w:right w:w="0" w:type="dxa"/>
        </w:tblCellMar>
      </w:tblPr>
      <w:tr>
        <w:trPr>
          <w:trHeight w:val="239"/>
        </w:trPr>
        <w:tc>
          <w:tcPr>
            <w:tcW w:w="540" w:type="dxa"/>
            <w:vAlign w:val="bottom"/>
          </w:tcPr>
          <w:p>
            <w:pPr>
              <w:jc w:val="right"/>
              <w:ind w:right="30"/>
              <w:spacing w:after="0"/>
              <w:rPr>
                <w:sz w:val="20"/>
                <w:szCs w:val="20"/>
                <w:color w:val="auto"/>
              </w:rPr>
            </w:pPr>
            <w:r>
              <w:rPr>
                <w:rFonts w:ascii="Arial" w:cs="Arial" w:eastAsia="Arial" w:hAnsi="Arial"/>
                <w:sz w:val="18"/>
                <w:szCs w:val="18"/>
                <w:color w:val="auto"/>
                <w:w w:val="95"/>
              </w:rPr>
              <w:t>10.8*</w:t>
            </w:r>
          </w:p>
        </w:tc>
        <w:tc>
          <w:tcPr>
            <w:tcW w:w="4420" w:type="dxa"/>
            <w:vAlign w:val="bottom"/>
            <w:vMerge w:val="restart"/>
          </w:tcPr>
          <w:p>
            <w:pPr>
              <w:ind w:left="120"/>
              <w:spacing w:after="0"/>
              <w:rPr>
                <w:rFonts w:ascii="Arial" w:cs="Arial" w:eastAsia="Arial" w:hAnsi="Arial"/>
                <w:sz w:val="18"/>
                <w:szCs w:val="18"/>
                <w:u w:val="single" w:color="auto"/>
                <w:color w:val="0000FF"/>
                <w:w w:val="99"/>
              </w:rPr>
            </w:pPr>
            <w:hyperlink r:id="rId93">
              <w:r>
                <w:rPr>
                  <w:rFonts w:ascii="Arial" w:cs="Arial" w:eastAsia="Arial" w:hAnsi="Arial"/>
                  <w:sz w:val="18"/>
                  <w:szCs w:val="18"/>
                  <w:u w:val="single" w:color="auto"/>
                  <w:color w:val="0000FF"/>
                  <w:w w:val="99"/>
                </w:rPr>
                <w:t>under the Company’s 2019 Equity Incentive Plan. (11)</w:t>
              </w:r>
            </w:hyperlink>
          </w:p>
        </w:tc>
        <w:tc>
          <w:tcPr>
            <w:tcW w:w="0" w:type="dxa"/>
            <w:vAlign w:val="bottom"/>
          </w:tcPr>
          <w:p>
            <w:pPr>
              <w:spacing w:after="0"/>
              <w:rPr>
                <w:sz w:val="1"/>
                <w:szCs w:val="1"/>
                <w:color w:val="auto"/>
              </w:rPr>
            </w:pPr>
          </w:p>
        </w:tc>
      </w:tr>
      <w:tr>
        <w:trPr>
          <w:trHeight w:val="63"/>
        </w:trPr>
        <w:tc>
          <w:tcPr>
            <w:tcW w:w="540" w:type="dxa"/>
            <w:vAlign w:val="bottom"/>
          </w:tcPr>
          <w:p>
            <w:pPr>
              <w:spacing w:after="0"/>
              <w:rPr>
                <w:sz w:val="5"/>
                <w:szCs w:val="5"/>
                <w:color w:val="auto"/>
              </w:rPr>
            </w:pP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554" w:hanging="499"/>
        <w:spacing w:after="0"/>
        <w:tabs>
          <w:tab w:leader="none" w:pos="155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FF"/>
        </w:rPr>
        <w:t>Insider Trading Policy</w:t>
      </w:r>
    </w:p>
    <w:p>
      <w:pPr>
        <w:spacing w:after="0" w:line="77" w:lineRule="exact"/>
        <w:rPr>
          <w:sz w:val="20"/>
          <w:szCs w:val="20"/>
          <w:color w:val="auto"/>
        </w:rPr>
      </w:pPr>
    </w:p>
    <w:p>
      <w:pPr>
        <w:ind w:left="914" w:right="4120" w:firstLine="141"/>
        <w:spacing w:after="0" w:line="328" w:lineRule="auto"/>
        <w:tabs>
          <w:tab w:leader="none" w:pos="156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0000FF"/>
        </w:rPr>
        <w:t xml:space="preserve">Subsidiaries of the registrant. </w:t>
      </w:r>
      <w:r>
        <w:rPr>
          <w:rFonts w:ascii="Arial" w:cs="Arial" w:eastAsia="Arial" w:hAnsi="Arial"/>
          <w:sz w:val="18"/>
          <w:szCs w:val="18"/>
          <w:color w:val="000000"/>
        </w:rPr>
        <w:t xml:space="preserve">23.1 </w:t>
      </w:r>
      <w:r>
        <w:rPr>
          <w:rFonts w:ascii="Arial" w:cs="Arial" w:eastAsia="Arial" w:hAnsi="Arial"/>
          <w:sz w:val="18"/>
          <w:szCs w:val="18"/>
          <w:u w:val="single" w:color="auto"/>
          <w:color w:val="0000FF"/>
        </w:rPr>
        <w:t>Consent of Grant Thornton LLP.</w:t>
      </w:r>
    </w:p>
    <w:p>
      <w:pPr>
        <w:spacing w:after="0" w:line="1" w:lineRule="exact"/>
        <w:rPr>
          <w:rFonts w:ascii="Arial" w:cs="Arial" w:eastAsia="Arial" w:hAnsi="Arial"/>
          <w:sz w:val="18"/>
          <w:szCs w:val="18"/>
          <w:color w:val="auto"/>
        </w:rPr>
      </w:pPr>
    </w:p>
    <w:p>
      <w:pPr>
        <w:ind w:left="914"/>
        <w:spacing w:after="0"/>
        <w:rPr>
          <w:rFonts w:ascii="Arial" w:cs="Arial" w:eastAsia="Arial" w:hAnsi="Arial"/>
          <w:sz w:val="18"/>
          <w:szCs w:val="18"/>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0000FF"/>
        </w:rPr>
        <w:t>Powers of Attorney.</w:t>
      </w:r>
    </w:p>
    <w:p>
      <w:pPr>
        <w:spacing w:after="0" w:line="64" w:lineRule="exact"/>
        <w:rPr>
          <w:sz w:val="20"/>
          <w:szCs w:val="20"/>
          <w:color w:val="auto"/>
        </w:rPr>
      </w:pPr>
    </w:p>
    <w:tbl>
      <w:tblPr>
        <w:tblLayout w:type="fixed"/>
        <w:tblInd w:w="914" w:type="dxa"/>
        <w:tblCellMar>
          <w:top w:w="0" w:type="dxa"/>
          <w:left w:w="0" w:type="dxa"/>
          <w:bottom w:w="0" w:type="dxa"/>
          <w:right w:w="0" w:type="dxa"/>
        </w:tblCellMar>
      </w:tblPr>
      <w:tr>
        <w:trPr>
          <w:trHeight w:val="207"/>
        </w:trPr>
        <w:tc>
          <w:tcPr>
            <w:tcW w:w="640" w:type="dxa"/>
            <w:vAlign w:val="bottom"/>
            <w:vMerge w:val="restart"/>
          </w:tcPr>
          <w:p>
            <w:pPr>
              <w:jc w:val="right"/>
              <w:ind w:right="210"/>
              <w:spacing w:after="0"/>
              <w:rPr>
                <w:sz w:val="20"/>
                <w:szCs w:val="20"/>
                <w:color w:val="auto"/>
              </w:rPr>
            </w:pPr>
            <w:r>
              <w:rPr>
                <w:rFonts w:ascii="Arial" w:cs="Arial" w:eastAsia="Arial" w:hAnsi="Arial"/>
                <w:sz w:val="18"/>
                <w:szCs w:val="18"/>
                <w:color w:val="auto"/>
                <w:w w:val="91"/>
              </w:rPr>
              <w:t>31.1</w:t>
            </w:r>
          </w:p>
        </w:tc>
        <w:tc>
          <w:tcPr>
            <w:tcW w:w="65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Certification by Chief Certification by Chief Executive Officer pursuant to Rule 13a-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640" w:type="dxa"/>
            <w:vAlign w:val="bottom"/>
            <w:vMerge w:val="continue"/>
          </w:tcPr>
          <w:p>
            <w:pPr>
              <w:spacing w:after="0"/>
              <w:rPr>
                <w:sz w:val="10"/>
                <w:szCs w:val="10"/>
                <w:color w:val="auto"/>
              </w:rPr>
            </w:pPr>
          </w:p>
        </w:tc>
        <w:tc>
          <w:tcPr>
            <w:tcW w:w="6620" w:type="dxa"/>
            <w:vAlign w:val="bottom"/>
            <w:gridSpan w:val="6"/>
            <w:vMerge w:val="restart"/>
          </w:tcPr>
          <w:p>
            <w:pPr>
              <w:spacing w:after="0" w:line="156" w:lineRule="exact"/>
              <w:rPr>
                <w:sz w:val="20"/>
                <w:szCs w:val="20"/>
                <w:color w:val="auto"/>
              </w:rPr>
            </w:pPr>
            <w:r>
              <w:rPr>
                <w:rFonts w:ascii="Arial" w:cs="Arial" w:eastAsia="Arial" w:hAnsi="Arial"/>
                <w:sz w:val="18"/>
                <w:szCs w:val="18"/>
                <w:color w:val="0000FF"/>
                <w:w w:val="99"/>
              </w:rPr>
              <w:t>14(a) of the Exchange Act. Officer pursuant to Rule 13a-14(a) of the Exchange Act.</w:t>
            </w:r>
          </w:p>
        </w:tc>
        <w:tc>
          <w:tcPr>
            <w:tcW w:w="0" w:type="dxa"/>
            <w:vAlign w:val="bottom"/>
          </w:tcPr>
          <w:p>
            <w:pPr>
              <w:spacing w:after="0"/>
              <w:rPr>
                <w:sz w:val="1"/>
                <w:szCs w:val="1"/>
                <w:color w:val="auto"/>
              </w:rPr>
            </w:pPr>
          </w:p>
        </w:tc>
      </w:tr>
      <w:tr>
        <w:trPr>
          <w:trHeight w:val="42"/>
        </w:trPr>
        <w:tc>
          <w:tcPr>
            <w:tcW w:w="640" w:type="dxa"/>
            <w:vAlign w:val="bottom"/>
          </w:tcPr>
          <w:p>
            <w:pPr>
              <w:spacing w:after="0"/>
              <w:rPr>
                <w:sz w:val="3"/>
                <w:szCs w:val="3"/>
                <w:color w:val="auto"/>
              </w:rPr>
            </w:pPr>
          </w:p>
        </w:tc>
        <w:tc>
          <w:tcPr>
            <w:tcW w:w="6620" w:type="dxa"/>
            <w:vAlign w:val="bottom"/>
            <w:tcBorders>
              <w:bottom w:val="single" w:sz="8" w:color="0000FF"/>
            </w:tcBorders>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40" w:type="dxa"/>
            <w:vAlign w:val="bottom"/>
            <w:vMerge w:val="restart"/>
          </w:tcPr>
          <w:p>
            <w:pPr>
              <w:jc w:val="right"/>
              <w:ind w:right="210"/>
              <w:spacing w:after="0"/>
              <w:rPr>
                <w:sz w:val="20"/>
                <w:szCs w:val="20"/>
                <w:color w:val="auto"/>
              </w:rPr>
            </w:pPr>
            <w:r>
              <w:rPr>
                <w:rFonts w:ascii="Arial" w:cs="Arial" w:eastAsia="Arial" w:hAnsi="Arial"/>
                <w:sz w:val="18"/>
                <w:szCs w:val="18"/>
                <w:color w:val="auto"/>
                <w:w w:val="91"/>
              </w:rPr>
              <w:t>31.2</w:t>
            </w:r>
          </w:p>
        </w:tc>
        <w:tc>
          <w:tcPr>
            <w:tcW w:w="6620" w:type="dxa"/>
            <w:vAlign w:val="bottom"/>
            <w:gridSpan w:val="6"/>
          </w:tcPr>
          <w:p>
            <w:pPr>
              <w:spacing w:after="0"/>
              <w:rPr>
                <w:sz w:val="20"/>
                <w:szCs w:val="20"/>
                <w:color w:val="auto"/>
              </w:rPr>
            </w:pPr>
            <w:r>
              <w:rPr>
                <w:rFonts w:ascii="Arial" w:cs="Arial" w:eastAsia="Arial" w:hAnsi="Arial"/>
                <w:sz w:val="18"/>
                <w:szCs w:val="18"/>
                <w:color w:val="0000FF"/>
              </w:rPr>
              <w:t>Certification by Chief Financial Officer pursuant to Rule 13a-14(a) of the Exchange</w:t>
            </w:r>
          </w:p>
        </w:tc>
        <w:tc>
          <w:tcPr>
            <w:tcW w:w="0" w:type="dxa"/>
            <w:vAlign w:val="bottom"/>
          </w:tcPr>
          <w:p>
            <w:pPr>
              <w:spacing w:after="0"/>
              <w:rPr>
                <w:sz w:val="1"/>
                <w:szCs w:val="1"/>
                <w:color w:val="auto"/>
              </w:rPr>
            </w:pPr>
          </w:p>
        </w:tc>
      </w:tr>
      <w:tr>
        <w:trPr>
          <w:trHeight w:val="119"/>
        </w:trPr>
        <w:tc>
          <w:tcPr>
            <w:tcW w:w="640" w:type="dxa"/>
            <w:vAlign w:val="bottom"/>
            <w:vMerge w:val="continue"/>
          </w:tcPr>
          <w:p>
            <w:pPr>
              <w:spacing w:after="0"/>
              <w:rPr>
                <w:sz w:val="10"/>
                <w:szCs w:val="10"/>
                <w:color w:val="auto"/>
              </w:rPr>
            </w:pPr>
          </w:p>
        </w:tc>
        <w:tc>
          <w:tcPr>
            <w:tcW w:w="1080" w:type="dxa"/>
            <w:vAlign w:val="bottom"/>
            <w:tcBorders>
              <w:top w:val="single" w:sz="8" w:color="0000FF"/>
            </w:tcBorders>
            <w:gridSpan w:val="2"/>
            <w:vMerge w:val="restart"/>
          </w:tcPr>
          <w:p>
            <w:pPr>
              <w:spacing w:after="0" w:line="156" w:lineRule="exact"/>
              <w:rPr>
                <w:sz w:val="20"/>
                <w:szCs w:val="20"/>
                <w:color w:val="auto"/>
              </w:rPr>
            </w:pPr>
            <w:r>
              <w:rPr>
                <w:rFonts w:ascii="Arial" w:cs="Arial" w:eastAsia="Arial" w:hAnsi="Arial"/>
                <w:sz w:val="18"/>
                <w:szCs w:val="18"/>
                <w:color w:val="0000FF"/>
              </w:rPr>
              <w:t>Act.</w:t>
            </w:r>
          </w:p>
        </w:tc>
        <w:tc>
          <w:tcPr>
            <w:tcW w:w="30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3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6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3060" w:type="dxa"/>
            <w:vAlign w:val="bottom"/>
          </w:tcPr>
          <w:p>
            <w:pPr>
              <w:spacing w:after="0"/>
              <w:rPr>
                <w:sz w:val="3"/>
                <w:szCs w:val="3"/>
                <w:color w:val="auto"/>
              </w:rPr>
            </w:pPr>
          </w:p>
        </w:tc>
        <w:tc>
          <w:tcPr>
            <w:tcW w:w="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tcPr>
          <w:p>
            <w:pPr>
              <w:jc w:val="right"/>
              <w:ind w:right="210"/>
              <w:spacing w:after="0"/>
              <w:rPr>
                <w:sz w:val="20"/>
                <w:szCs w:val="20"/>
                <w:color w:val="auto"/>
              </w:rPr>
            </w:pPr>
            <w:r>
              <w:rPr>
                <w:rFonts w:ascii="Arial" w:cs="Arial" w:eastAsia="Arial" w:hAnsi="Arial"/>
                <w:sz w:val="18"/>
                <w:szCs w:val="18"/>
                <w:color w:val="auto"/>
                <w:w w:val="91"/>
              </w:rPr>
              <w:t>32.1</w:t>
            </w:r>
          </w:p>
        </w:tc>
        <w:tc>
          <w:tcPr>
            <w:tcW w:w="1080" w:type="dxa"/>
            <w:vAlign w:val="bottom"/>
            <w:gridSpan w:val="2"/>
          </w:tcPr>
          <w:p>
            <w:pPr>
              <w:spacing w:after="0"/>
              <w:rPr>
                <w:sz w:val="20"/>
                <w:szCs w:val="20"/>
                <w:color w:val="auto"/>
              </w:rPr>
            </w:pPr>
            <w:r>
              <w:rPr>
                <w:rFonts w:ascii="Arial" w:cs="Arial" w:eastAsia="Arial" w:hAnsi="Arial"/>
                <w:sz w:val="18"/>
                <w:szCs w:val="18"/>
                <w:color w:val="0000FF"/>
              </w:rPr>
              <w:t>Section 1350</w:t>
            </w:r>
          </w:p>
        </w:tc>
        <w:tc>
          <w:tcPr>
            <w:tcW w:w="5540" w:type="dxa"/>
            <w:vAlign w:val="bottom"/>
            <w:gridSpan w:val="4"/>
          </w:tcPr>
          <w:p>
            <w:pPr>
              <w:ind w:left="20"/>
              <w:spacing w:after="0"/>
              <w:rPr>
                <w:sz w:val="20"/>
                <w:szCs w:val="20"/>
                <w:color w:val="auto"/>
              </w:rPr>
            </w:pPr>
            <w:r>
              <w:rPr>
                <w:rFonts w:ascii="Arial" w:cs="Arial" w:eastAsia="Arial" w:hAnsi="Arial"/>
                <w:sz w:val="18"/>
                <w:szCs w:val="18"/>
                <w:color w:val="0000FF"/>
              </w:rPr>
              <w:t>Certification by Chief Executive Officer.</w:t>
            </w:r>
          </w:p>
        </w:tc>
        <w:tc>
          <w:tcPr>
            <w:tcW w:w="0" w:type="dxa"/>
            <w:vAlign w:val="bottom"/>
          </w:tcPr>
          <w:p>
            <w:pPr>
              <w:spacing w:after="0"/>
              <w:rPr>
                <w:sz w:val="1"/>
                <w:szCs w:val="1"/>
                <w:color w:val="auto"/>
              </w:rPr>
            </w:pPr>
          </w:p>
        </w:tc>
      </w:tr>
      <w:tr>
        <w:trPr>
          <w:trHeight w:val="263"/>
        </w:trPr>
        <w:tc>
          <w:tcPr>
            <w:tcW w:w="640" w:type="dxa"/>
            <w:vAlign w:val="bottom"/>
          </w:tcPr>
          <w:p>
            <w:pPr>
              <w:jc w:val="right"/>
              <w:ind w:right="210"/>
              <w:spacing w:after="0"/>
              <w:rPr>
                <w:sz w:val="20"/>
                <w:szCs w:val="20"/>
                <w:color w:val="auto"/>
              </w:rPr>
            </w:pPr>
            <w:r>
              <w:rPr>
                <w:rFonts w:ascii="Arial" w:cs="Arial" w:eastAsia="Arial" w:hAnsi="Arial"/>
                <w:sz w:val="18"/>
                <w:szCs w:val="18"/>
                <w:color w:val="auto"/>
                <w:w w:val="91"/>
              </w:rPr>
              <w:t>32.2</w:t>
            </w:r>
          </w:p>
        </w:tc>
        <w:tc>
          <w:tcPr>
            <w:tcW w:w="10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rPr>
              <w:t>Section 1350</w:t>
            </w:r>
          </w:p>
        </w:tc>
        <w:tc>
          <w:tcPr>
            <w:tcW w:w="3120" w:type="dxa"/>
            <w:vAlign w:val="bottom"/>
            <w:tcBorders>
              <w:top w:val="single" w:sz="8" w:color="0000FF"/>
            </w:tcBorders>
            <w:gridSpan w:val="2"/>
          </w:tcPr>
          <w:p>
            <w:pPr>
              <w:ind w:left="20"/>
              <w:spacing w:after="0"/>
              <w:rPr>
                <w:sz w:val="20"/>
                <w:szCs w:val="20"/>
                <w:color w:val="auto"/>
              </w:rPr>
            </w:pPr>
            <w:r>
              <w:rPr>
                <w:rFonts w:ascii="Arial" w:cs="Arial" w:eastAsia="Arial" w:hAnsi="Arial"/>
                <w:sz w:val="18"/>
                <w:szCs w:val="18"/>
                <w:color w:val="0000FF"/>
              </w:rPr>
              <w:t>Certification by Chief Financial Officer.</w:t>
            </w:r>
          </w:p>
        </w:tc>
        <w:tc>
          <w:tcPr>
            <w:tcW w:w="24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554" w:hanging="499"/>
        <w:spacing w:after="0"/>
        <w:tabs>
          <w:tab w:leader="none" w:pos="1554" w:val="left"/>
        </w:tabs>
        <w:numPr>
          <w:ilvl w:val="0"/>
          <w:numId w:val="16"/>
        </w:numPr>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Mandatory Clawback Policy (12)</w:t>
        </w:r>
      </w:hyperlink>
    </w:p>
    <w:p>
      <w:pPr>
        <w:spacing w:after="0" w:line="76" w:lineRule="exact"/>
        <w:rPr>
          <w:rFonts w:ascii="Arial" w:cs="Arial" w:eastAsia="Arial" w:hAnsi="Arial"/>
          <w:sz w:val="18"/>
          <w:szCs w:val="18"/>
          <w:u w:val="single" w:color="auto"/>
          <w:color w:val="0000FF"/>
        </w:rPr>
      </w:pPr>
    </w:p>
    <w:p>
      <w:pPr>
        <w:jc w:val="both"/>
        <w:ind w:left="1554" w:right="80"/>
        <w:spacing w:after="0" w:line="234" w:lineRule="auto"/>
        <w:rPr>
          <w:rFonts w:ascii="Arial" w:cs="Arial" w:eastAsia="Arial" w:hAnsi="Arial"/>
          <w:sz w:val="18"/>
          <w:szCs w:val="18"/>
          <w:u w:val="single" w:color="auto"/>
          <w:color w:val="0000FF"/>
        </w:rPr>
      </w:pPr>
      <w:r>
        <w:rPr>
          <w:rFonts w:ascii="Arial" w:cs="Arial" w:eastAsia="Arial" w:hAnsi="Arial"/>
          <w:sz w:val="17"/>
          <w:szCs w:val="17"/>
          <w:color w:val="auto"/>
        </w:rPr>
        <w:t>Financial statements from the Annual Report on Form 10-K of Hawkins, Inc. for the period ended March 30, 2025, as filed with the SEC on May 14, 2025, formatted in</w:t>
      </w:r>
    </w:p>
    <w:p>
      <w:pPr>
        <w:ind w:left="1554"/>
        <w:spacing w:after="0" w:line="205" w:lineRule="auto"/>
        <w:rPr>
          <w:sz w:val="20"/>
          <w:szCs w:val="20"/>
          <w:color w:val="auto"/>
        </w:rPr>
      </w:pPr>
      <w:r>
        <w:rPr>
          <w:rFonts w:ascii="Arial" w:cs="Arial" w:eastAsia="Arial" w:hAnsi="Arial"/>
          <w:sz w:val="18"/>
          <w:szCs w:val="18"/>
          <w:color w:val="auto"/>
        </w:rPr>
        <w:t>Inline Extensible Business Reporting Language (iXBRL): (i) Consolidated Balance</w:t>
      </w:r>
    </w:p>
    <w:p>
      <w:pPr>
        <w:ind w:left="1554" w:hanging="599"/>
        <w:spacing w:after="0" w:line="220" w:lineRule="auto"/>
        <w:tabs>
          <w:tab w:leader="none" w:pos="1554"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Sheets, (ii) Consolidated Statements of Income, (iii) the Consolidated Statements of Comprehensive Income, (iv) Consolidated Statements of Shareholders’ Equity, (v) Consolidated Statements of Cash Flows, and (vi) Notes to Consolidated Financial Statements, and (vii) the information set forth in Part II, Item 9B.</w:t>
      </w:r>
    </w:p>
    <w:p>
      <w:pPr>
        <w:spacing w:after="0" w:line="47" w:lineRule="exact"/>
        <w:rPr>
          <w:sz w:val="20"/>
          <w:szCs w:val="20"/>
          <w:color w:val="auto"/>
        </w:rPr>
      </w:pPr>
    </w:p>
    <w:p>
      <w:pPr>
        <w:ind w:left="954"/>
        <w:spacing w:after="0"/>
        <w:tabs>
          <w:tab w:leader="none" w:pos="153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wp:posOffset>
            </wp:positionV>
            <wp:extent cx="71151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77" w:lineRule="exact"/>
        <w:rPr>
          <w:sz w:val="20"/>
          <w:szCs w:val="20"/>
          <w:color w:val="auto"/>
        </w:rPr>
      </w:pPr>
    </w:p>
    <w:p>
      <w:pPr>
        <w:ind w:right="280"/>
        <w:spacing w:after="0" w:line="401" w:lineRule="auto"/>
        <w:rPr>
          <w:sz w:val="20"/>
          <w:szCs w:val="20"/>
          <w:color w:val="auto"/>
        </w:rPr>
      </w:pPr>
      <w:r>
        <w:rPr>
          <w:rFonts w:ascii="Arial" w:cs="Arial" w:eastAsia="Arial" w:hAnsi="Arial"/>
          <w:sz w:val="17"/>
          <w:szCs w:val="17"/>
          <w:color w:val="auto"/>
        </w:rPr>
        <w:t>Filed Electronically Incorporated by Reference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58" w:lineRule="exact"/>
        <w:rPr>
          <w:sz w:val="20"/>
          <w:szCs w:val="20"/>
          <w:color w:val="auto"/>
        </w:rPr>
      </w:pPr>
    </w:p>
    <w:p>
      <w:pPr>
        <w:sectPr>
          <w:pgSz w:w="11900" w:h="16838" w:orient="portrait"/>
          <w:cols w:equalWidth="0" w:num="2">
            <w:col w:w="8214" w:space="360"/>
            <w:col w:w="2400"/>
          </w:cols>
          <w:pgMar w:left="346" w:top="931" w:right="579" w:bottom="1440" w:gutter="0" w:footer="0" w:header="0"/>
          <w:type w:val="continuous"/>
        </w:sectPr>
      </w:pPr>
    </w:p>
    <w:p>
      <w:pPr>
        <w:ind w:left="654" w:hanging="654"/>
        <w:spacing w:after="0"/>
        <w:tabs>
          <w:tab w:leader="none" w:pos="654"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Management contract or compensation plan or arrangement required to be filed as an exhibit to this Annual Report on Form 10-K.</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5" w:lineRule="exact"/>
        <w:rPr>
          <w:rFonts w:ascii="Arial" w:cs="Arial" w:eastAsia="Arial" w:hAnsi="Arial"/>
          <w:sz w:val="17"/>
          <w:szCs w:val="17"/>
          <w:color w:val="auto"/>
        </w:rPr>
      </w:pPr>
    </w:p>
    <w:p>
      <w:pPr>
        <w:ind w:left="5494"/>
        <w:spacing w:after="0"/>
        <w:rPr>
          <w:rFonts w:ascii="Arial" w:cs="Arial" w:eastAsia="Arial" w:hAnsi="Arial"/>
          <w:sz w:val="17"/>
          <w:szCs w:val="17"/>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74"/>
          </w:cols>
          <w:pgMar w:left="346" w:top="931" w:right="579" w:bottom="1440" w:gutter="0" w:footer="0" w:header="0"/>
          <w:type w:val="continuous"/>
        </w:sectPr>
      </w:pPr>
    </w:p>
    <w:bookmarkStart w:id="55" w:name="page56"/>
    <w:bookmarkEnd w:id="55"/>
    <w:p>
      <w:pPr>
        <w:ind w:left="600" w:hanging="349"/>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Current Report on Form 8-K filed March 2, 2021.</w:t>
      </w:r>
    </w:p>
    <w:p>
      <w:pPr>
        <w:spacing w:after="0" w:line="171" w:lineRule="exact"/>
        <w:rPr>
          <w:rFonts w:ascii="Arial" w:cs="Arial" w:eastAsia="Arial" w:hAnsi="Arial"/>
          <w:sz w:val="18"/>
          <w:szCs w:val="18"/>
          <w:color w:val="auto"/>
        </w:rPr>
      </w:pPr>
    </w:p>
    <w:p>
      <w:pPr>
        <w:ind w:left="600" w:hanging="349"/>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filed November 3, 2009.</w:t>
      </w:r>
    </w:p>
    <w:p>
      <w:pPr>
        <w:spacing w:after="0" w:line="171" w:lineRule="exact"/>
        <w:rPr>
          <w:rFonts w:ascii="Arial" w:cs="Arial" w:eastAsia="Arial" w:hAnsi="Arial"/>
          <w:sz w:val="18"/>
          <w:szCs w:val="18"/>
          <w:color w:val="auto"/>
        </w:rPr>
      </w:pPr>
    </w:p>
    <w:p>
      <w:pPr>
        <w:ind w:left="600" w:hanging="349"/>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4.1 to the Company’s Annual Report on Form 10-K for the fiscal year ended March 28, 2021.</w:t>
      </w:r>
    </w:p>
    <w:p>
      <w:pPr>
        <w:spacing w:after="0" w:line="171" w:lineRule="exact"/>
        <w:rPr>
          <w:rFonts w:ascii="Arial" w:cs="Arial" w:eastAsia="Arial" w:hAnsi="Arial"/>
          <w:sz w:val="18"/>
          <w:szCs w:val="18"/>
          <w:color w:val="auto"/>
        </w:rPr>
      </w:pPr>
    </w:p>
    <w:p>
      <w:pPr>
        <w:ind w:left="580" w:hanging="329"/>
        <w:spacing w:after="0" w:line="287" w:lineRule="auto"/>
        <w:tabs>
          <w:tab w:leader="none" w:pos="5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for the quarterly period ended September 29, 2024.</w:t>
      </w:r>
    </w:p>
    <w:p>
      <w:pPr>
        <w:spacing w:after="0" w:line="98" w:lineRule="exact"/>
        <w:rPr>
          <w:rFonts w:ascii="Arial" w:cs="Arial" w:eastAsia="Arial" w:hAnsi="Arial"/>
          <w:sz w:val="18"/>
          <w:szCs w:val="18"/>
          <w:color w:val="auto"/>
        </w:rPr>
      </w:pPr>
    </w:p>
    <w:p>
      <w:pPr>
        <w:ind w:left="600" w:hanging="349"/>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99.1 to the Company’s Registration Statement on Form S-8 filed November 2, 2018.</w:t>
      </w:r>
    </w:p>
    <w:p>
      <w:pPr>
        <w:spacing w:after="0" w:line="171" w:lineRule="exact"/>
        <w:rPr>
          <w:rFonts w:ascii="Arial" w:cs="Arial" w:eastAsia="Arial" w:hAnsi="Arial"/>
          <w:sz w:val="18"/>
          <w:szCs w:val="18"/>
          <w:color w:val="auto"/>
        </w:rPr>
      </w:pPr>
    </w:p>
    <w:p>
      <w:pPr>
        <w:ind w:left="600" w:hanging="349"/>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10.4 to the Company’s Annual Report on Form 10-K for the fiscal year ended April 2, 2023.</w:t>
      </w:r>
    </w:p>
    <w:p>
      <w:pPr>
        <w:spacing w:after="0" w:line="171" w:lineRule="exact"/>
        <w:rPr>
          <w:rFonts w:ascii="Arial" w:cs="Arial" w:eastAsia="Arial" w:hAnsi="Arial"/>
          <w:sz w:val="18"/>
          <w:szCs w:val="18"/>
          <w:color w:val="auto"/>
        </w:rPr>
      </w:pPr>
    </w:p>
    <w:p>
      <w:pPr>
        <w:ind w:left="600" w:hanging="349"/>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April 1, 2022.</w:t>
      </w:r>
    </w:p>
    <w:p>
      <w:pPr>
        <w:spacing w:after="0" w:line="171" w:lineRule="exact"/>
        <w:rPr>
          <w:rFonts w:ascii="Arial" w:cs="Arial" w:eastAsia="Arial" w:hAnsi="Arial"/>
          <w:sz w:val="18"/>
          <w:szCs w:val="18"/>
          <w:color w:val="auto"/>
        </w:rPr>
      </w:pPr>
    </w:p>
    <w:p>
      <w:pPr>
        <w:ind w:left="580" w:hanging="329"/>
        <w:spacing w:after="0" w:line="287" w:lineRule="auto"/>
        <w:tabs>
          <w:tab w:leader="none" w:pos="5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for the quarterly period ended September 29, 2024.</w:t>
      </w:r>
    </w:p>
    <w:p>
      <w:pPr>
        <w:spacing w:after="0" w:line="98" w:lineRule="exact"/>
        <w:rPr>
          <w:rFonts w:ascii="Arial" w:cs="Arial" w:eastAsia="Arial" w:hAnsi="Arial"/>
          <w:sz w:val="18"/>
          <w:szCs w:val="18"/>
          <w:color w:val="auto"/>
        </w:rPr>
      </w:pPr>
    </w:p>
    <w:p>
      <w:pPr>
        <w:ind w:left="600" w:hanging="349"/>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April 30, 2025.</w:t>
      </w:r>
    </w:p>
    <w:p>
      <w:pPr>
        <w:spacing w:after="0" w:line="171" w:lineRule="exact"/>
        <w:rPr>
          <w:rFonts w:ascii="Arial" w:cs="Arial" w:eastAsia="Arial" w:hAnsi="Arial"/>
          <w:sz w:val="18"/>
          <w:szCs w:val="18"/>
          <w:color w:val="auto"/>
        </w:rPr>
      </w:pPr>
    </w:p>
    <w:p>
      <w:pPr>
        <w:ind w:left="580" w:hanging="329"/>
        <w:spacing w:after="0" w:line="287" w:lineRule="auto"/>
        <w:tabs>
          <w:tab w:leader="none" w:pos="60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10.3 to the Company’s Quarterly Report on Form 10-Q for the quarterly period ended September 29, 2019.</w:t>
      </w:r>
    </w:p>
    <w:p>
      <w:pPr>
        <w:spacing w:after="0" w:line="98" w:lineRule="exact"/>
        <w:rPr>
          <w:rFonts w:ascii="Arial" w:cs="Arial" w:eastAsia="Arial" w:hAnsi="Arial"/>
          <w:sz w:val="18"/>
          <w:szCs w:val="18"/>
          <w:color w:val="auto"/>
        </w:rPr>
      </w:pPr>
    </w:p>
    <w:p>
      <w:pPr>
        <w:ind w:left="580" w:hanging="329"/>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10.10 to the Company’s Annual Report on Form 10-K for the fiscal year ended March 29, 2020.</w:t>
      </w:r>
    </w:p>
    <w:p>
      <w:pPr>
        <w:spacing w:after="0" w:line="171" w:lineRule="exact"/>
        <w:rPr>
          <w:rFonts w:ascii="Arial" w:cs="Arial" w:eastAsia="Arial" w:hAnsi="Arial"/>
          <w:sz w:val="18"/>
          <w:szCs w:val="18"/>
          <w:color w:val="auto"/>
        </w:rPr>
      </w:pPr>
    </w:p>
    <w:p>
      <w:pPr>
        <w:ind w:left="600" w:hanging="349"/>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to Exhibit 97 to the Company’s Annual Report on Form 10-K for the fiscal year ended March 31, 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56" w:name="page57"/>
    <w:bookmarkEnd w:id="56"/>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HAWKINS, INC.</w:t>
      </w:r>
    </w:p>
    <w:p>
      <w:pPr>
        <w:spacing w:after="0" w:line="293" w:lineRule="exact"/>
        <w:rPr>
          <w:sz w:val="20"/>
          <w:szCs w:val="20"/>
          <w:color w:val="auto"/>
        </w:rPr>
      </w:pPr>
    </w:p>
    <w:p>
      <w:pPr>
        <w:ind w:left="6100"/>
        <w:spacing w:after="0"/>
        <w:tabs>
          <w:tab w:leader="none" w:pos="6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17780</wp:posOffset>
            </wp:positionV>
            <wp:extent cx="25031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Patrick H. Hawkins</w:t>
      </w:r>
    </w:p>
    <w:p>
      <w:pPr>
        <w:ind w:left="6800"/>
        <w:spacing w:after="0"/>
        <w:rPr>
          <w:sz w:val="20"/>
          <w:szCs w:val="20"/>
          <w:color w:val="auto"/>
        </w:rPr>
      </w:pPr>
      <w:r>
        <w:rPr>
          <w:rFonts w:ascii="Arial" w:cs="Arial" w:eastAsia="Arial" w:hAnsi="Arial"/>
          <w:sz w:val="18"/>
          <w:szCs w:val="18"/>
          <w:color w:val="auto"/>
        </w:rPr>
        <w:t>Chief Executive Officer and President</w:t>
      </w:r>
    </w:p>
    <w:p>
      <w:pPr>
        <w:spacing w:after="0" w:line="18"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Dated:</w:t>
        <w:tab/>
        <w:t>May 14, 2025</w:t>
      </w:r>
    </w:p>
    <w:p>
      <w:pPr>
        <w:spacing w:after="0" w:line="333"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20" w:type="dxa"/>
            <w:vAlign w:val="bottom"/>
          </w:tcPr>
          <w:p>
            <w:pPr>
              <w:ind w:left="20"/>
              <w:spacing w:after="0"/>
              <w:rPr>
                <w:sz w:val="20"/>
                <w:szCs w:val="20"/>
                <w:color w:val="auto"/>
              </w:rPr>
            </w:pPr>
            <w:r>
              <w:rPr>
                <w:rFonts w:ascii="Arial" w:cs="Arial" w:eastAsia="Arial" w:hAnsi="Arial"/>
                <w:sz w:val="18"/>
                <w:szCs w:val="18"/>
                <w:color w:val="auto"/>
              </w:rPr>
              <w:t>Signature</w:t>
            </w:r>
          </w:p>
        </w:tc>
        <w:tc>
          <w:tcPr>
            <w:tcW w:w="260" w:type="dxa"/>
            <w:vAlign w:val="bottom"/>
          </w:tcPr>
          <w:p>
            <w:pPr>
              <w:spacing w:after="0"/>
              <w:rPr>
                <w:sz w:val="20"/>
                <w:szCs w:val="20"/>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166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466"/>
        </w:trPr>
        <w:tc>
          <w:tcPr>
            <w:tcW w:w="3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/s/ Patrick H. Hawkins</w:t>
            </w:r>
          </w:p>
        </w:tc>
        <w:tc>
          <w:tcPr>
            <w:tcW w:w="260" w:type="dxa"/>
            <w:vAlign w:val="bottom"/>
          </w:tcPr>
          <w:p>
            <w:pPr>
              <w:spacing w:after="0"/>
              <w:rPr>
                <w:sz w:val="24"/>
                <w:szCs w:val="24"/>
                <w:color w:val="auto"/>
              </w:rPr>
            </w:pPr>
          </w:p>
        </w:tc>
        <w:tc>
          <w:tcPr>
            <w:tcW w:w="54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May 14, 2025</w:t>
            </w:r>
          </w:p>
        </w:tc>
      </w:tr>
      <w:tr>
        <w:trPr>
          <w:trHeight w:val="218"/>
        </w:trPr>
        <w:tc>
          <w:tcPr>
            <w:tcW w:w="3320" w:type="dxa"/>
            <w:vAlign w:val="bottom"/>
          </w:tcPr>
          <w:p>
            <w:pPr>
              <w:ind w:left="20"/>
              <w:spacing w:after="0"/>
              <w:rPr>
                <w:sz w:val="20"/>
                <w:szCs w:val="20"/>
                <w:color w:val="auto"/>
              </w:rPr>
            </w:pPr>
            <w:r>
              <w:rPr>
                <w:rFonts w:ascii="Arial" w:cs="Arial" w:eastAsia="Arial" w:hAnsi="Arial"/>
                <w:sz w:val="18"/>
                <w:szCs w:val="18"/>
                <w:color w:val="auto"/>
              </w:rPr>
              <w:t>Patrick H. Hawkins</w:t>
            </w:r>
          </w:p>
        </w:tc>
        <w:tc>
          <w:tcPr>
            <w:tcW w:w="260" w:type="dxa"/>
            <w:vAlign w:val="bottom"/>
          </w:tcPr>
          <w:p>
            <w:pPr>
              <w:spacing w:after="0"/>
              <w:rPr>
                <w:sz w:val="18"/>
                <w:szCs w:val="18"/>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1660" w:type="dxa"/>
            <w:vAlign w:val="bottom"/>
          </w:tcPr>
          <w:p>
            <w:pPr>
              <w:spacing w:after="0"/>
              <w:rPr>
                <w:sz w:val="18"/>
                <w:szCs w:val="18"/>
                <w:color w:val="auto"/>
              </w:rPr>
            </w:pPr>
          </w:p>
        </w:tc>
      </w:tr>
      <w:tr>
        <w:trPr>
          <w:trHeight w:val="239"/>
        </w:trPr>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660" w:type="dxa"/>
            <w:vAlign w:val="bottom"/>
          </w:tcPr>
          <w:p>
            <w:pPr>
              <w:spacing w:after="0"/>
              <w:rPr>
                <w:sz w:val="20"/>
                <w:szCs w:val="20"/>
                <w:color w:val="auto"/>
              </w:rPr>
            </w:pPr>
          </w:p>
        </w:tc>
      </w:tr>
      <w:tr>
        <w:trPr>
          <w:trHeight w:val="482"/>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Jeffrey P. Oldenkamp</w:t>
            </w:r>
          </w:p>
        </w:tc>
        <w:tc>
          <w:tcPr>
            <w:tcW w:w="2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May 14, 2025</w:t>
            </w:r>
          </w:p>
        </w:tc>
      </w:tr>
      <w:tr>
        <w:trPr>
          <w:trHeight w:val="218"/>
        </w:trPr>
        <w:tc>
          <w:tcPr>
            <w:tcW w:w="3320" w:type="dxa"/>
            <w:vAlign w:val="bottom"/>
          </w:tcPr>
          <w:p>
            <w:pPr>
              <w:ind w:left="20"/>
              <w:spacing w:after="0"/>
              <w:rPr>
                <w:sz w:val="20"/>
                <w:szCs w:val="20"/>
                <w:color w:val="auto"/>
              </w:rPr>
            </w:pPr>
            <w:r>
              <w:rPr>
                <w:rFonts w:ascii="Arial" w:cs="Arial" w:eastAsia="Arial" w:hAnsi="Arial"/>
                <w:sz w:val="18"/>
                <w:szCs w:val="18"/>
                <w:color w:val="auto"/>
              </w:rPr>
              <w:t>Jeffrey P. Oldenkamp</w:t>
            </w:r>
          </w:p>
        </w:tc>
        <w:tc>
          <w:tcPr>
            <w:tcW w:w="260" w:type="dxa"/>
            <w:vAlign w:val="bottom"/>
          </w:tcPr>
          <w:p>
            <w:pPr>
              <w:spacing w:after="0"/>
              <w:rPr>
                <w:sz w:val="18"/>
                <w:szCs w:val="18"/>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660" w:type="dxa"/>
            <w:vAlign w:val="bottom"/>
          </w:tcPr>
          <w:p>
            <w:pPr>
              <w:spacing w:after="0"/>
              <w:rPr>
                <w:sz w:val="18"/>
                <w:szCs w:val="18"/>
                <w:color w:val="auto"/>
              </w:rPr>
            </w:pPr>
          </w:p>
        </w:tc>
      </w:tr>
      <w:tr>
        <w:trPr>
          <w:trHeight w:val="239"/>
        </w:trPr>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1660" w:type="dxa"/>
            <w:vAlign w:val="bottom"/>
          </w:tcPr>
          <w:p>
            <w:pPr>
              <w:spacing w:after="0"/>
              <w:rPr>
                <w:sz w:val="20"/>
                <w:szCs w:val="20"/>
                <w:color w:val="auto"/>
              </w:rPr>
            </w:pPr>
          </w:p>
        </w:tc>
      </w:tr>
      <w:tr>
        <w:trPr>
          <w:trHeight w:val="482"/>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May 14, 2025</w:t>
            </w: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color w:val="auto"/>
              </w:rPr>
              <w:t>James A. Faulconbridge</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77"/>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May 14, 2025</w:t>
            </w: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color w:val="auto"/>
              </w:rPr>
              <w:t>Mary J. Schumacher</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77"/>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May 14, 2025</w:t>
            </w: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color w:val="auto"/>
              </w:rPr>
              <w:t>Jeffrey E. Spethmann</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9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May 14, 2025</w:t>
            </w: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color w:val="auto"/>
              </w:rPr>
              <w:t>Daniel J. Stauber</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77"/>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May 14, 2025</w:t>
            </w: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color w:val="auto"/>
              </w:rPr>
              <w:t>Yi "Faith" Tang</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77"/>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May 14, 2025</w:t>
            </w: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color w:val="auto"/>
              </w:rPr>
              <w:t>James T. Thompson</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77"/>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20"/>
              <w:spacing w:after="0"/>
              <w:rPr>
                <w:sz w:val="20"/>
                <w:szCs w:val="20"/>
                <w:color w:val="auto"/>
              </w:rPr>
            </w:pPr>
            <w:r>
              <w:rPr>
                <w:rFonts w:ascii="Arial" w:cs="Arial" w:eastAsia="Arial" w:hAnsi="Arial"/>
                <w:sz w:val="18"/>
                <w:szCs w:val="18"/>
                <w:color w:val="auto"/>
              </w:rPr>
              <w:t>May 14, 2025</w:t>
            </w:r>
          </w:p>
        </w:tc>
      </w:tr>
      <w:tr>
        <w:trPr>
          <w:trHeight w:val="232"/>
        </w:trPr>
        <w:tc>
          <w:tcPr>
            <w:tcW w:w="3320" w:type="dxa"/>
            <w:vAlign w:val="bottom"/>
          </w:tcPr>
          <w:p>
            <w:pPr>
              <w:ind w:left="20"/>
              <w:spacing w:after="0"/>
              <w:rPr>
                <w:sz w:val="20"/>
                <w:szCs w:val="20"/>
                <w:color w:val="auto"/>
              </w:rPr>
            </w:pPr>
            <w:r>
              <w:rPr>
                <w:rFonts w:ascii="Arial" w:cs="Arial" w:eastAsia="Arial" w:hAnsi="Arial"/>
                <w:sz w:val="18"/>
                <w:szCs w:val="18"/>
                <w:color w:val="auto"/>
              </w:rPr>
              <w:t>Jeffrey L. Wright</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82" w:lineRule="exact"/>
        <w:rPr>
          <w:sz w:val="20"/>
          <w:szCs w:val="20"/>
          <w:color w:val="auto"/>
        </w:rPr>
      </w:pPr>
    </w:p>
    <w:p>
      <w:pPr>
        <w:ind w:right="220" w:firstLine="8"/>
        <w:spacing w:after="0"/>
        <w:tabs>
          <w:tab w:leader="none" w:pos="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Patrick H. Hawkins, by signing his name hereto, does hereby sign this document on behalf of each of the above-named directors of the registrant pursuant to Powers of Attorney duly executed by such persons.</w:t>
      </w:r>
    </w:p>
    <w:p>
      <w:pPr>
        <w:ind w:left="4860"/>
        <w:spacing w:after="0"/>
        <w:rPr>
          <w:sz w:val="20"/>
          <w:szCs w:val="20"/>
          <w:color w:val="auto"/>
        </w:rPr>
      </w:pPr>
      <w:r>
        <w:rPr>
          <w:rFonts w:ascii="Arial" w:cs="Arial" w:eastAsia="Arial" w:hAnsi="Arial"/>
          <w:sz w:val="18"/>
          <w:szCs w:val="18"/>
          <w:color w:val="auto"/>
        </w:rPr>
        <w:t>By: /s/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12065</wp:posOffset>
            </wp:positionV>
            <wp:extent cx="30772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Patrick H. Hawkins</w:t>
      </w:r>
    </w:p>
    <w:p>
      <w:pPr>
        <w:spacing w:after="0" w:line="3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796290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31" w:right="519" w:bottom="1440" w:gutter="0" w:footer="0" w:header="0"/>
        </w:sectPr>
      </w:pPr>
    </w:p>
    <w:bookmarkStart w:id="57" w:name="page58"/>
    <w:bookmarkEnd w:id="57"/>
    <w:p>
      <w:pPr>
        <w:jc w:val="center"/>
        <w:ind w:right="60"/>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HAWKINS, INC.</w:t>
      </w: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FISCAL YEARS ENDED March 30, 2025, March 31, 2024 AND April 2, 2023</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9"/>
              </w:rPr>
              <w:t>Balance at</w:t>
            </w: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Additions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8"/>
              </w:rPr>
              <w:t>Charged to</w:t>
            </w:r>
          </w:p>
        </w:tc>
        <w:tc>
          <w:tcPr>
            <w:tcW w:w="240" w:type="dxa"/>
            <w:vAlign w:val="bottom"/>
          </w:tcPr>
          <w:p>
            <w:pPr>
              <w:spacing w:after="0"/>
              <w:rPr>
                <w:sz w:val="14"/>
                <w:szCs w:val="14"/>
                <w:color w:val="auto"/>
              </w:rPr>
            </w:pPr>
          </w:p>
        </w:tc>
        <w:tc>
          <w:tcPr>
            <w:tcW w:w="12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rPr>
              <w:t>Charged to</w:t>
            </w:r>
          </w:p>
        </w:tc>
        <w:tc>
          <w:tcPr>
            <w:tcW w:w="280" w:type="dxa"/>
            <w:vAlign w:val="bottom"/>
          </w:tcPr>
          <w:p>
            <w:pPr>
              <w:spacing w:after="0"/>
              <w:rPr>
                <w:sz w:val="14"/>
                <w:szCs w:val="14"/>
                <w:color w:val="auto"/>
              </w:rPr>
            </w:pPr>
          </w:p>
        </w:tc>
        <w:tc>
          <w:tcPr>
            <w:tcW w:w="128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9"/>
              </w:rPr>
              <w:t>Deductions</w:t>
            </w:r>
          </w:p>
        </w:tc>
        <w:tc>
          <w:tcPr>
            <w:tcW w:w="200" w:type="dxa"/>
            <w:vAlign w:val="bottom"/>
          </w:tcPr>
          <w:p>
            <w:pPr>
              <w:spacing w:after="0"/>
              <w:rPr>
                <w:sz w:val="14"/>
                <w:szCs w:val="14"/>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176"/>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15"/>
                <w:szCs w:val="15"/>
                <w:color w:val="auto"/>
              </w:rPr>
            </w:pPr>
          </w:p>
        </w:tc>
        <w:tc>
          <w:tcPr>
            <w:tcW w:w="134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9"/>
              </w:rPr>
              <w:t>Beginning</w:t>
            </w:r>
          </w:p>
        </w:tc>
        <w:tc>
          <w:tcPr>
            <w:tcW w:w="160" w:type="dxa"/>
            <w:vAlign w:val="bottom"/>
          </w:tcPr>
          <w:p>
            <w:pPr>
              <w:spacing w:after="0"/>
              <w:rPr>
                <w:sz w:val="15"/>
                <w:szCs w:val="15"/>
                <w:color w:val="auto"/>
              </w:rPr>
            </w:pPr>
          </w:p>
        </w:tc>
        <w:tc>
          <w:tcPr>
            <w:tcW w:w="12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Costs and</w:t>
            </w:r>
          </w:p>
        </w:tc>
        <w:tc>
          <w:tcPr>
            <w:tcW w:w="24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Other</w:t>
            </w:r>
          </w:p>
        </w:tc>
        <w:tc>
          <w:tcPr>
            <w:tcW w:w="2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8"/>
              </w:rPr>
              <w:t>of Year</w:t>
            </w:r>
          </w:p>
        </w:tc>
        <w:tc>
          <w:tcPr>
            <w:tcW w:w="160" w:type="dxa"/>
            <w:vAlign w:val="bottom"/>
          </w:tcPr>
          <w:p>
            <w:pPr>
              <w:spacing w:after="0"/>
              <w:rPr>
                <w:sz w:val="17"/>
                <w:szCs w:val="17"/>
                <w:color w:val="auto"/>
              </w:rPr>
            </w:pPr>
          </w:p>
        </w:tc>
        <w:tc>
          <w:tcPr>
            <w:tcW w:w="12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Expenses</w:t>
            </w:r>
          </w:p>
        </w:tc>
        <w:tc>
          <w:tcPr>
            <w:tcW w:w="240" w:type="dxa"/>
            <w:vAlign w:val="bottom"/>
          </w:tcPr>
          <w:p>
            <w:pPr>
              <w:spacing w:after="0"/>
              <w:rPr>
                <w:sz w:val="17"/>
                <w:szCs w:val="17"/>
                <w:color w:val="auto"/>
              </w:rPr>
            </w:pPr>
          </w:p>
        </w:tc>
        <w:tc>
          <w:tcPr>
            <w:tcW w:w="12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Accounts</w:t>
            </w:r>
          </w:p>
        </w:tc>
        <w:tc>
          <w:tcPr>
            <w:tcW w:w="280" w:type="dxa"/>
            <w:vAlign w:val="bottom"/>
          </w:tcPr>
          <w:p>
            <w:pPr>
              <w:spacing w:after="0"/>
              <w:rPr>
                <w:sz w:val="17"/>
                <w:szCs w:val="17"/>
                <w:color w:val="auto"/>
              </w:rPr>
            </w:pPr>
          </w:p>
        </w:tc>
        <w:tc>
          <w:tcPr>
            <w:tcW w:w="12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8"/>
              </w:rPr>
              <w:t>Write-Offs</w:t>
            </w:r>
          </w:p>
        </w:tc>
        <w:tc>
          <w:tcPr>
            <w:tcW w:w="200" w:type="dxa"/>
            <w:vAlign w:val="bottom"/>
          </w:tcPr>
          <w:p>
            <w:pPr>
              <w:spacing w:after="0"/>
              <w:rPr>
                <w:sz w:val="17"/>
                <w:szCs w:val="17"/>
                <w:color w:val="auto"/>
              </w:rPr>
            </w:pP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End of Year</w:t>
            </w:r>
          </w:p>
        </w:tc>
        <w:tc>
          <w:tcPr>
            <w:tcW w:w="0" w:type="dxa"/>
            <w:vAlign w:val="bottom"/>
          </w:tcPr>
          <w:p>
            <w:pPr>
              <w:spacing w:after="0"/>
              <w:rPr>
                <w:sz w:val="1"/>
                <w:szCs w:val="1"/>
                <w:color w:val="auto"/>
              </w:rPr>
            </w:pPr>
          </w:p>
        </w:tc>
      </w:tr>
      <w:tr>
        <w:trPr>
          <w:trHeight w:val="20"/>
        </w:trPr>
        <w:tc>
          <w:tcPr>
            <w:tcW w:w="980" w:type="dxa"/>
            <w:vAlign w:val="bottom"/>
            <w:tcBorders>
              <w:top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Reserve deducted from asset to which it</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7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700" w:type="dxa"/>
            <w:vAlign w:val="bottom"/>
            <w:gridSpan w:val="2"/>
          </w:tcPr>
          <w:p>
            <w:pPr>
              <w:spacing w:after="0"/>
              <w:rPr>
                <w:sz w:val="20"/>
                <w:szCs w:val="20"/>
                <w:color w:val="auto"/>
              </w:rPr>
            </w:pPr>
            <w:r>
              <w:rPr>
                <w:rFonts w:ascii="Arial" w:cs="Arial" w:eastAsia="Arial" w:hAnsi="Arial"/>
                <w:sz w:val="18"/>
                <w:szCs w:val="18"/>
                <w:color w:val="auto"/>
              </w:rPr>
              <w:t>applies: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Fiscal Year Ended March 30, 2025:</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340"/>
              <w:spacing w:after="0"/>
              <w:rPr>
                <w:sz w:val="20"/>
                <w:szCs w:val="20"/>
                <w:color w:val="auto"/>
              </w:rPr>
            </w:pPr>
            <w:r>
              <w:rPr>
                <w:rFonts w:ascii="Arial" w:cs="Arial" w:eastAsia="Arial" w:hAnsi="Arial"/>
                <w:sz w:val="18"/>
                <w:szCs w:val="18"/>
                <w:color w:val="auto"/>
              </w:rPr>
              <w:t>Allowance for credit losses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356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Fiscal Year Ended March 31, 2024:</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340"/>
              <w:spacing w:after="0"/>
              <w:rPr>
                <w:sz w:val="20"/>
                <w:szCs w:val="20"/>
                <w:color w:val="auto"/>
              </w:rPr>
            </w:pPr>
            <w:r>
              <w:rPr>
                <w:rFonts w:ascii="Arial" w:cs="Arial" w:eastAsia="Arial" w:hAnsi="Arial"/>
                <w:sz w:val="18"/>
                <w:szCs w:val="18"/>
                <w:color w:val="auto"/>
              </w:rPr>
              <w:t>Allowance for credit losses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190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9"/>
        </w:trPr>
        <w:tc>
          <w:tcPr>
            <w:tcW w:w="3700" w:type="dxa"/>
            <w:vAlign w:val="bottom"/>
            <w:gridSpan w:val="2"/>
          </w:tcPr>
          <w:p>
            <w:pPr>
              <w:spacing w:after="0"/>
              <w:rPr>
                <w:sz w:val="20"/>
                <w:szCs w:val="20"/>
                <w:color w:val="auto"/>
              </w:rPr>
            </w:pPr>
            <w:r>
              <w:rPr>
                <w:rFonts w:ascii="Arial" w:cs="Arial" w:eastAsia="Arial" w:hAnsi="Arial"/>
                <w:sz w:val="18"/>
                <w:szCs w:val="18"/>
                <w:color w:val="auto"/>
              </w:rPr>
              <w:t>Fiscal Year Ended April 2, 2023:</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00" w:type="dxa"/>
            <w:vAlign w:val="bottom"/>
            <w:gridSpan w:val="2"/>
          </w:tcPr>
          <w:p>
            <w:pPr>
              <w:ind w:left="340"/>
              <w:spacing w:after="0"/>
              <w:rPr>
                <w:sz w:val="20"/>
                <w:szCs w:val="20"/>
                <w:color w:val="auto"/>
              </w:rPr>
            </w:pPr>
            <w:r>
              <w:rPr>
                <w:rFonts w:ascii="Arial" w:cs="Arial" w:eastAsia="Arial" w:hAnsi="Arial"/>
                <w:sz w:val="18"/>
                <w:szCs w:val="18"/>
                <w:color w:val="auto"/>
              </w:rPr>
              <w:t>Allowance for credit losses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367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ectPr>
          <w:pgSz w:w="11900" w:h="16838" w:orient="portrait"/>
          <w:cols w:equalWidth="0" w:num="1">
            <w:col w:w="11140"/>
          </w:cols>
          <w:pgMar w:left="400" w:top="931" w:right="3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Insider Trading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Purpose</w:t>
      </w:r>
    </w:p>
    <w:p>
      <w:pPr>
        <w:spacing w:after="0" w:line="104"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The purpose of this Securities Trading and Information Disclosure Policy is to promote compliance with applicable securities laws by Hawkins, Inc. (the “Company”) and its directors, officers, employees, agents, advisors and independent contractors.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II. Applicability</w:t>
      </w:r>
    </w:p>
    <w:p>
      <w:pPr>
        <w:spacing w:after="0" w:line="11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This Securities Trading and Information Disclosure Policy is applicable to all directors, officers and employees of the Company and to those agents, advisors and independent contractors of the Company specifically identified by the Chief Executive Officer of the Company as being covered by this policy, and to their agents, advisors and independent contractors.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Policy</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a director, officer or employee or any covered agent, advisor or independent contractor of the Company has material, non-public information relating to the Company, it is the policy of the Company (and the requirements of the U.S. securities laws) that neither that person nor any family member of that person may buy or sell securities, or puts, calls or options on the securities of the Company or engage in any other action to take advantage of, or pass on to others, that information. This Policy also applies to material, non-public information relating to any other company with publicly traded securities obtained in the course of employment by or association with the Company. The guidelines set forth below should be considered specific means of effecting this Policy and, as such, should be followed by all directors, officers and employees and covered agents, advisors and independent contractors of the Company.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Reasons for this policy</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Insider trading (that is, trading on material, non-public information) is against both federal and state securities laws. Such laws are often strictly enforced by the Securities and Exchange Commission and state securities regulators. Because of the very substantial penalties imposed by such laws, because the Company’s reputation is among its most important assets and because the potential damage to both your reputation and the Company’s reputation is very serious if you are accused of insider trading, the Company has adopted the Policy. Federal securities laws also prohibit selective disclosure (that is, disclosure of material, non-public information to certain market participants prior to public release of such information). Selective disclosure may result in penalties against the Company or the individual making the selective disclosure.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an “Insider”?</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Any person who possesses material, non-public information is considered an insider as to that information. Insiders generally include directors, officers and employees of the Company, and those persons in a special relationship with the Company (e.g., its auditors, attorneys and consultants). The definition of insider is transaction specific. In other words, an individual is an insider with respect to each material, non-public item of information of which he or she is aware. Securities Trading and Information Disclosure Policy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“Material Information”?</w:t>
      </w:r>
    </w:p>
    <w:p>
      <w:pPr>
        <w:spacing w:after="0" w:line="63"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The courts have said that information is material if a reasonable investor, given the total mix of available information, would consider the information important in deciding whether to buy, hold or sell securities-- or put another way, if public disclosure of the information might reasonably be expected to affect the price of the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Examples of Material Information Include:</w:t>
      </w:r>
    </w:p>
    <w:p>
      <w:pPr>
        <w:spacing w:after="0" w:line="63" w:lineRule="exact"/>
        <w:rPr>
          <w:sz w:val="20"/>
          <w:szCs w:val="20"/>
          <w:color w:val="auto"/>
        </w:rPr>
      </w:pPr>
    </w:p>
    <w:p>
      <w:pPr>
        <w:ind w:left="620" w:hanging="288"/>
        <w:spacing w:after="0"/>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Revenue, earnings or other operating results not yet released</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Projections of future earnings or losses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Mergers, acquisitions, tender offers, joint ventures or changes in assets</w:t>
      </w:r>
    </w:p>
    <w:p>
      <w:pPr>
        <w:spacing w:after="0" w:line="63" w:lineRule="exact"/>
        <w:rPr>
          <w:rFonts w:ascii="Arial" w:cs="Arial" w:eastAsia="Arial" w:hAnsi="Arial"/>
          <w:sz w:val="18"/>
          <w:szCs w:val="18"/>
          <w:color w:val="auto"/>
        </w:rPr>
      </w:pPr>
    </w:p>
    <w:p>
      <w:pPr>
        <w:ind w:left="620" w:hanging="288"/>
        <w:spacing w:after="0"/>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New products or discoveries or developments regarding customers or suppliers (such as acquisition or loss of contract)</w:t>
      </w:r>
    </w:p>
    <w:p>
      <w:pPr>
        <w:spacing w:after="0" w:line="63" w:lineRule="exact"/>
        <w:rPr>
          <w:rFonts w:ascii="Arial" w:cs="Arial" w:eastAsia="Arial" w:hAnsi="Arial"/>
          <w:sz w:val="18"/>
          <w:szCs w:val="18"/>
          <w:color w:val="auto"/>
        </w:rPr>
      </w:pPr>
    </w:p>
    <w:p>
      <w:pPr>
        <w:ind w:left="580" w:hanging="32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control or management</w:t>
      </w:r>
    </w:p>
    <w:p>
      <w:pPr>
        <w:spacing w:after="0" w:line="63" w:lineRule="exact"/>
        <w:rPr>
          <w:rFonts w:ascii="Arial" w:cs="Arial" w:eastAsia="Arial" w:hAnsi="Arial"/>
          <w:sz w:val="18"/>
          <w:szCs w:val="18"/>
          <w:color w:val="auto"/>
        </w:rPr>
      </w:pPr>
    </w:p>
    <w:p>
      <w:pPr>
        <w:ind w:left="580" w:hanging="32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auditors</w:t>
      </w:r>
    </w:p>
    <w:p>
      <w:pPr>
        <w:sectPr>
          <w:pgSz w:w="11900" w:h="16838" w:orient="portrait"/>
          <w:cols w:equalWidth="0" w:num="1">
            <w:col w:w="11240"/>
          </w:cols>
          <w:pgMar w:left="320" w:top="1093" w:right="339" w:bottom="1440" w:gutter="0" w:footer="0" w:header="0"/>
        </w:sectPr>
      </w:pPr>
    </w:p>
    <w:bookmarkStart w:id="59" w:name="page60"/>
    <w:bookmarkEnd w:id="59"/>
    <w:p>
      <w:pPr>
        <w:ind w:left="580" w:hanging="32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Events regarding the Company’s securities, such as dividends, sales of securities or repurchase plans</w:t>
      </w:r>
    </w:p>
    <w:p>
      <w:pPr>
        <w:spacing w:after="0" w:line="63" w:lineRule="exact"/>
        <w:rPr>
          <w:rFonts w:ascii="Arial" w:cs="Arial" w:eastAsia="Arial" w:hAnsi="Arial"/>
          <w:sz w:val="18"/>
          <w:szCs w:val="18"/>
          <w:color w:val="auto"/>
        </w:rPr>
      </w:pPr>
    </w:p>
    <w:p>
      <w:pPr>
        <w:ind w:left="620" w:hanging="362"/>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Bankruptcies or receiverships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above list is only illustrative; many other types of information may be considered “material” depending on the circumstances. Companies have found a wide range of information to be material and the materiality of particular information is subject to reassessment on a regular basis.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“Non-Public Information”?</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Non-public information is any information that has not been disclosed generally to the public. Information that is received under circumstances that indicate the information is not yet in general circulation should be assumed to be non-public. Information is not considered to be known to the public immediately upon issuance of a press release but is public information only after there is adequate time for the news to be circulated and absorbed by the market and investors.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Trading Guidelines</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guidelines should be followed to ensure compliance with this Policy and to protect yourself from accusations of insider trading. The guidelines apply even if you want to make the proposed purchase or sale for reasons having nothing to do with your possession of the insider information, such as your desire to raise money for unanticipated expenditures.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 not trade until the third day after information regarding the Company has been publicly released</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 allow the Company’s shareholders and the investing public a reasonable amount of time to receive and act upon information released about the Company, you may not buy or sell the Company’s securities until the third business day after the information has been released, at which time you may again buy or sell the Company’s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 not disclose material insider information</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You may not give anyone, including relatives, friends or work associates, any non-public information regarding the Company, either orally or in writing. Furthermore, if you are in possession of material, non-public information, you may not make any recommendations that may encourage or discourage others from buying securities of the Company (even though you do not actually disclose the information behind such recommendations).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 not trade Company securities when you are aware of material, non-public information</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You may not buy or sell stock of the Company (including options to purchase any shares of the Company’s stock or securities convertible into or exchangeable for shares of the Company’s stock) when you are aware of material, non-public information about financial or other matters of the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Avoid speculation and other practices that may appear to be based on non-public information</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Purchases of the Company’s securities should be made as long-term investments. You should not engage in short selling of the Company’s securities, which would reward you for downward changes in price, because, in hindsight, such sales are likely to appear to have resulted from the possession of non-public information. You also should not engage in other speculative trading the Company’s securities, including writing or trading in options, warrants, puts and calls on the Company’s stock. In addition, the Company encourages employees to avoid frequent trading in Company stock, because frequent trading also may give the appearance, in hindsight, hat such sales were based on non-public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are also responsible for transactions by your family members</w:t>
      </w:r>
    </w:p>
    <w:p>
      <w:pPr>
        <w:spacing w:after="0" w:line="6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Policy applies to your family members and others living in your household. Employees are expected to be responsible for the compliance of their immediate family and personal household and, as described below, you should not “tip” information to your family members, or anybody else. Do not “tip” information to others It is inappropriate, and illegal, for a person in possession of material, non-public information to provide other people with such information or to recommend that they buy or sell securities based upon that information, even if they do not give the other person the specific information. This is called “tipping” by securities regulators and can result in punishment of both the tipper and tippee. Accordingly, do not share non-public financial or other information with anyone outside of the Company (except its legal counsel or accountants, as appropriate). Do not share any such information with employees of the Company except as required for the Company’s business. Do not share non-public information with anyone if you suspect that the recipient might buy or sell securities of the Company in response to the information. Do not recommend to others the purchase or sale of the Company’s securities while you are arguably in possession of insider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These policies also apply to trading in other securities</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the course of your business relationships with other companies on behalf of the Company, such as our dealers, customers or suppliers, you may receive significant non-public information regarding such other companies. This Policy applies equally to disclosure and discussion of information related to such other companies.</w:t>
      </w:r>
    </w:p>
    <w:p>
      <w:pPr>
        <w:sectPr>
          <w:pgSz w:w="11900" w:h="16838" w:orient="portrait"/>
          <w:cols w:equalWidth="0" w:num="1">
            <w:col w:w="11240"/>
          </w:cols>
          <w:pgMar w:left="320" w:top="109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Your transactions will be evaluated with the benefit of twenty-twenty hindsight</w:t>
      </w:r>
    </w:p>
    <w:p>
      <w:pPr>
        <w:spacing w:after="0" w:line="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Remember, if your securities transactions ever become the subject of scrutiny, they are likely to be viewed after-the-fact with the benefit of hindsight. As a result, before engaging in any transaction, you should carefully consider how the transaction may be construed in the bright light of hindsight. This is particularly true where you may have non-public information that you do not consider to be material, but which others, including courts, may consider to be material.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What May Happen</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Even if you in fact possessed no non-public information, if you buy or sell the Company’s securities shortly before an event that affects their market price, you may be investigated by the Securities and Exchange Commission, the NASDAQ Stock Market, or others. The same is true if such a purchase or sale is undertaken by one of your friends, relatives or work associates. Defending against such a charge is very difficult, expensive and embarrassing for both you and for the Company. Although it is impossible to assure that your trading in securities of the Company will not occur shortly before such a price change, it is very important that you strive to avoid even an appearance that you might have traded while in possession of non-public financial or other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Possible Penalties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Individuals who trade on material, non-public information, or who “tip” such information to others may be subject to the following:</w:t>
      </w:r>
    </w:p>
    <w:p>
      <w:pPr>
        <w:spacing w:after="0" w:line="117"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civil penalty of up to 3 times the profit made or loss avoided;</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criminal fine (no matter how small the profit) of up to $1 million; and</w:t>
      </w:r>
    </w:p>
    <w:p>
      <w:pPr>
        <w:spacing w:after="0" w:line="63" w:lineRule="exact"/>
        <w:rPr>
          <w:rFonts w:ascii="Arial" w:cs="Arial" w:eastAsia="Arial" w:hAnsi="Arial"/>
          <w:sz w:val="18"/>
          <w:szCs w:val="18"/>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jail term of up to ten years.</w:t>
      </w:r>
    </w:p>
    <w:p>
      <w:pPr>
        <w:spacing w:after="0" w:line="63" w:lineRule="exact"/>
        <w:rPr>
          <w:rFonts w:ascii="Arial" w:cs="Arial" w:eastAsia="Arial" w:hAnsi="Arial"/>
          <w:sz w:val="18"/>
          <w:szCs w:val="18"/>
          <w:color w:val="auto"/>
        </w:rPr>
      </w:pPr>
    </w:p>
    <w:p>
      <w:pPr>
        <w:ind w:left="660" w:right="360" w:hanging="328"/>
        <w:spacing w:after="0" w:line="287" w:lineRule="auto"/>
        <w:tabs>
          <w:tab w:leader="none" w:pos="6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addition, if you violate this Policy, the Company may take any disciplinary action that it determines to be appropriate, up to and including termination of your employment for cause.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Transactions Pursuant to Certain Contracts, Instructions or Plans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You may buy or sell securities of the Company pursuant to certain contracts, instructions and plans regardless of whether you have material, non-public information so long as you are not aware of material, non-public information when you enter into or adopt the contract, instructions or plan. Prior to entering into any such contract, instruction or plan, you should provide a copy to the Compliance Officer. The Compliance Officer may request that the existence of the contract, instruction or plan be disclosed publicly.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Modifying or terminating a contract, instruction or plan</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Once your contract, instruction or plan has been put in place, all proposed modifications of the contract, instruction or plan must be provided to or reviewed by the Compliance Officer prior to implementation.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pursuant to an approved contract, instruction or plan</w:t>
      </w:r>
    </w:p>
    <w:p>
      <w:pPr>
        <w:spacing w:after="0" w:line="63" w:lineRule="exact"/>
        <w:rPr>
          <w:sz w:val="20"/>
          <w:szCs w:val="20"/>
          <w:color w:val="auto"/>
        </w:rPr>
      </w:pPr>
    </w:p>
    <w:p>
      <w:pPr>
        <w:jc w:val="both"/>
        <w:ind w:right="360"/>
        <w:spacing w:after="0" w:line="291" w:lineRule="auto"/>
        <w:rPr>
          <w:sz w:val="20"/>
          <w:szCs w:val="20"/>
          <w:color w:val="auto"/>
        </w:rPr>
      </w:pPr>
      <w:r>
        <w:rPr>
          <w:rFonts w:ascii="Arial" w:cs="Arial" w:eastAsia="Arial" w:hAnsi="Arial"/>
          <w:sz w:val="17"/>
          <w:szCs w:val="17"/>
          <w:color w:val="auto"/>
        </w:rPr>
        <w:t>After your contract, instruction or plan has been put in place, purchases or sales of the Company’s securities may proceed in accordance with the contract, instruction or plan even if you become aware of material, non-public information. You may not alter or deviate from the terms of the approved contract, instruction or plan and you may not engage in any corresponding or hedging transactions.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Officers, Directors and certain Employees</w:t>
      </w:r>
    </w:p>
    <w:p>
      <w:pPr>
        <w:spacing w:after="0" w:line="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you are an officer, director or employee of the Company with frequent access to material, non-public information regarding the Company, you are subject to additional restrictions (set forth in the Supplemental Policy to this Policy) on your ability to buy or sell securities of the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 Information Disclosure Guidelines</w:t>
      </w:r>
    </w:p>
    <w:p>
      <w:pPr>
        <w:spacing w:after="0" w:line="6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All requests for information from financial analysts, investors or others must be routed through and addressed by the Company’s Chief Executive Officer or Chief Financial Officer. In no case should you attempt to respond to an individual’s questions yourself or should you volunteer information to them.</w:t>
      </w:r>
    </w:p>
    <w:p>
      <w:pPr>
        <w:spacing w:after="0" w:line="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If, for example, a financial analyst calls, you should direct them to one of the company’s authorized spokespersons listed above and indicate that our corporate policy designates that these authorized spokespersons are the only ones who can speak for the Company on these matters. If an authorized spokesperson expressly delegates authority to you to speak on behalf of the Company, you may do so to the extent authorized. These are the same procedures to follow if anyone from the media (newspaper, television, radio, etc.) should contact you.</w:t>
      </w:r>
    </w:p>
    <w:p>
      <w:pPr>
        <w:sectPr>
          <w:pgSz w:w="11900" w:h="16838" w:orient="portrait"/>
          <w:cols w:equalWidth="0" w:num="1">
            <w:col w:w="11240"/>
          </w:cols>
          <w:pgMar w:left="320" w:top="1093" w:right="339" w:bottom="1440" w:gutter="0" w:footer="0" w:header="0"/>
        </w:sectPr>
      </w:pPr>
    </w:p>
    <w:bookmarkStart w:id="61" w:name="page62"/>
    <w:bookmarkEnd w:id="61"/>
    <w:p>
      <w:pPr>
        <w:jc w:val="both"/>
        <w:ind w:right="240"/>
        <w:spacing w:after="0" w:line="268" w:lineRule="auto"/>
        <w:rPr>
          <w:sz w:val="20"/>
          <w:szCs w:val="20"/>
          <w:color w:val="auto"/>
        </w:rPr>
      </w:pPr>
      <w:r>
        <w:rPr>
          <w:rFonts w:ascii="Arial" w:cs="Arial" w:eastAsia="Arial" w:hAnsi="Arial"/>
          <w:sz w:val="18"/>
          <w:szCs w:val="18"/>
          <w:color w:val="auto"/>
        </w:rPr>
        <w:t>As a part of the Company’s information disclosure policy, you should not post or otherwise disseminate any Company information on the internet, such as through chat rooms, or any other means of communication. Dissemination of material, non-public information about the Company violates this policy and may result in disciplinary action up to and including termination of employment.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XII. Important Disclaimer</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purposes of this Policy are to provide information concerning the current legal restrictions on securities trading by Company personnel, provide information concerning the current legal restrictions on selective disclosure and to impress upon the Company’s directors, officers, employees, agents and advisors the importance the Company places on complying with these restrictions. This Policy is not intended to result in the imposition of any liability to the Company that would not exist in the absence of this Policy.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XIII. Assistance</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Any person with questions about specific transactions may obtain additional guidance from the Company’s designated Compliance Officer. Remember, however, that the ultimate responsibility for adhering to these policies and avoiding improper transactions rests with each individual.</w:t>
      </w:r>
    </w:p>
    <w:p>
      <w:pPr>
        <w:sectPr>
          <w:pgSz w:w="11900" w:h="16838" w:orient="portrait"/>
          <w:cols w:equalWidth="0" w:num="1">
            <w:col w:w="11060"/>
          </w:cols>
          <w:pgMar w:left="320" w:top="1093" w:right="5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47"/>
        </w:trPr>
        <w:tc>
          <w:tcPr>
            <w:tcW w:w="840" w:type="dxa"/>
            <w:vAlign w:val="bottom"/>
          </w:tcPr>
          <w:p>
            <w:pPr>
              <w:spacing w:after="0"/>
              <w:rPr>
                <w:sz w:val="21"/>
                <w:szCs w:val="21"/>
                <w:color w:val="auto"/>
              </w:rPr>
            </w:pPr>
          </w:p>
        </w:tc>
        <w:tc>
          <w:tcPr>
            <w:tcW w:w="7940" w:type="dxa"/>
            <w:vAlign w:val="bottom"/>
            <w:vMerge w:val="restart"/>
          </w:tcPr>
          <w:p>
            <w:pPr>
              <w:ind w:left="3520"/>
              <w:spacing w:after="0"/>
              <w:rPr>
                <w:sz w:val="20"/>
                <w:szCs w:val="20"/>
                <w:color w:val="auto"/>
              </w:rPr>
            </w:pPr>
            <w:r>
              <w:rPr>
                <w:rFonts w:ascii="Arial" w:cs="Arial" w:eastAsia="Arial" w:hAnsi="Arial"/>
                <w:sz w:val="18"/>
                <w:szCs w:val="18"/>
                <w:b w:val="1"/>
                <w:bCs w:val="1"/>
                <w:color w:val="auto"/>
              </w:rPr>
              <w:t>Subsidiaries of Hawkins, Inc.</w:t>
            </w:r>
          </w:p>
        </w:tc>
        <w:tc>
          <w:tcPr>
            <w:tcW w:w="2440" w:type="dxa"/>
            <w:vAlign w:val="bottom"/>
            <w:gridSpan w:val="2"/>
          </w:tcPr>
          <w:p>
            <w:pPr>
              <w:ind w:left="1600"/>
              <w:spacing w:after="0"/>
              <w:rPr>
                <w:sz w:val="20"/>
                <w:szCs w:val="20"/>
                <w:color w:val="auto"/>
              </w:rPr>
            </w:pPr>
            <w:r>
              <w:rPr>
                <w:rFonts w:ascii="Arial" w:cs="Arial" w:eastAsia="Arial" w:hAnsi="Arial"/>
                <w:sz w:val="18"/>
                <w:szCs w:val="18"/>
                <w:b w:val="1"/>
                <w:bCs w:val="1"/>
                <w:color w:val="auto"/>
                <w:w w:val="96"/>
              </w:rPr>
              <w:t>Exhibit 21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794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0"/>
        </w:trPr>
        <w:tc>
          <w:tcPr>
            <w:tcW w:w="878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2440" w:type="dxa"/>
            <w:vAlign w:val="bottom"/>
            <w:gridSpan w:val="2"/>
          </w:tcPr>
          <w:p>
            <w:pPr>
              <w:spacing w:after="0"/>
              <w:rPr>
                <w:sz w:val="20"/>
                <w:szCs w:val="20"/>
                <w:color w:val="auto"/>
              </w:rPr>
            </w:pPr>
            <w:r>
              <w:rPr>
                <w:rFonts w:ascii="Arial" w:cs="Arial" w:eastAsia="Arial" w:hAnsi="Arial"/>
                <w:sz w:val="18"/>
                <w:szCs w:val="18"/>
                <w:color w:val="auto"/>
              </w:rPr>
              <w:t>State of Organization</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780" w:type="dxa"/>
            <w:vAlign w:val="bottom"/>
            <w:gridSpan w:val="2"/>
          </w:tcPr>
          <w:p>
            <w:pPr>
              <w:spacing w:after="0"/>
              <w:rPr>
                <w:sz w:val="20"/>
                <w:szCs w:val="20"/>
                <w:color w:val="auto"/>
              </w:rPr>
            </w:pPr>
            <w:r>
              <w:rPr>
                <w:rFonts w:ascii="Arial" w:cs="Arial" w:eastAsia="Arial" w:hAnsi="Arial"/>
                <w:sz w:val="18"/>
                <w:szCs w:val="18"/>
                <w:color w:val="auto"/>
              </w:rPr>
              <w:t>Stauber Holdings, Inc.</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29"/>
        </w:trPr>
        <w:tc>
          <w:tcPr>
            <w:tcW w:w="8780" w:type="dxa"/>
            <w:vAlign w:val="bottom"/>
            <w:gridSpan w:val="2"/>
          </w:tcPr>
          <w:p>
            <w:pPr>
              <w:spacing w:after="0"/>
              <w:rPr>
                <w:sz w:val="20"/>
                <w:szCs w:val="20"/>
                <w:color w:val="auto"/>
              </w:rPr>
            </w:pPr>
            <w:r>
              <w:rPr>
                <w:rFonts w:ascii="Arial" w:cs="Arial" w:eastAsia="Arial" w:hAnsi="Arial"/>
                <w:sz w:val="18"/>
                <w:szCs w:val="18"/>
                <w:color w:val="auto"/>
              </w:rPr>
              <w:t>Stauber Performance Ingredients, Inc., a subsidiary of Stauber Holdings, Inc.</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Water Solutions Unlimited Inc.</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29"/>
        </w:trPr>
        <w:tc>
          <w:tcPr>
            <w:tcW w:w="8780" w:type="dxa"/>
            <w:vAlign w:val="bottom"/>
            <w:gridSpan w:val="2"/>
          </w:tcPr>
          <w:p>
            <w:pPr>
              <w:spacing w:after="0"/>
              <w:rPr>
                <w:sz w:val="20"/>
                <w:szCs w:val="20"/>
                <w:color w:val="auto"/>
              </w:rPr>
            </w:pPr>
            <w:r>
              <w:rPr>
                <w:rFonts w:ascii="Arial" w:cs="Arial" w:eastAsia="Arial" w:hAnsi="Arial"/>
                <w:sz w:val="18"/>
                <w:szCs w:val="18"/>
                <w:color w:val="auto"/>
              </w:rPr>
              <w:t>Superior Imports LLC</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29"/>
        </w:trPr>
        <w:tc>
          <w:tcPr>
            <w:tcW w:w="8780" w:type="dxa"/>
            <w:vAlign w:val="bottom"/>
            <w:gridSpan w:val="2"/>
          </w:tcPr>
          <w:p>
            <w:pPr>
              <w:spacing w:after="0"/>
              <w:rPr>
                <w:sz w:val="20"/>
                <w:szCs w:val="20"/>
                <w:color w:val="auto"/>
              </w:rPr>
            </w:pPr>
            <w:r>
              <w:rPr>
                <w:rFonts w:ascii="Arial" w:cs="Arial" w:eastAsia="Arial" w:hAnsi="Arial"/>
                <w:sz w:val="18"/>
                <w:szCs w:val="18"/>
                <w:color w:val="auto"/>
              </w:rPr>
              <w:t>Preferred Ingredients LLC</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Waterguard, Inc.</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r>
        <w:trPr>
          <w:trHeight w:val="239"/>
        </w:trPr>
        <w:tc>
          <w:tcPr>
            <w:tcW w:w="8780" w:type="dxa"/>
            <w:vAlign w:val="bottom"/>
            <w:gridSpan w:val="2"/>
          </w:tcPr>
          <w:p>
            <w:pPr>
              <w:spacing w:after="0"/>
              <w:rPr>
                <w:sz w:val="20"/>
                <w:szCs w:val="20"/>
                <w:color w:val="auto"/>
              </w:rPr>
            </w:pPr>
            <w:r>
              <w:rPr>
                <w:rFonts w:ascii="Arial" w:cs="Arial" w:eastAsia="Arial" w:hAnsi="Arial"/>
                <w:sz w:val="18"/>
                <w:szCs w:val="18"/>
                <w:color w:val="auto"/>
              </w:rPr>
              <w:t>Amerochem Corporation</w:t>
            </w:r>
          </w:p>
        </w:tc>
        <w:tc>
          <w:tcPr>
            <w:tcW w:w="244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0" w:type="dxa"/>
            <w:vAlign w:val="bottom"/>
          </w:tcPr>
          <w:p>
            <w:pPr>
              <w:spacing w:after="0"/>
              <w:rPr>
                <w:sz w:val="1"/>
                <w:szCs w:val="1"/>
                <w:color w:val="auto"/>
              </w:rPr>
            </w:pPr>
          </w:p>
        </w:tc>
      </w:tr>
    </w:tbl>
    <w:p>
      <w:pPr>
        <w:sectPr>
          <w:pgSz w:w="11900" w:h="16838" w:orient="portrait"/>
          <w:cols w:equalWidth="0" w:num="1">
            <w:col w:w="11220"/>
          </w:cols>
          <w:pgMar w:left="340" w:top="141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77"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We have issued our reports dated May 14, 2025, with respect to the consolidated financial statements and internal control over financial reporting included in the Annual Report of Hawkins, Inc. on Form 10-K for the year ended March 30, 2025. We consent to the incorporation</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by reference of said reports in the Registration Statements of Hawkins, Inc. on Forms S-8 (File Nos. 333-87582, 333-123080, 333-172761, 333-174735, 333-228128, and 333-234432).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14, 2025</w:t>
      </w:r>
    </w:p>
    <w:p>
      <w:pPr>
        <w:sectPr>
          <w:pgSz w:w="11900" w:h="16838" w:orient="portrait"/>
          <w:cols w:equalWidth="0" w:num="1">
            <w:col w:w="11240"/>
          </w:cols>
          <w:pgMar w:left="320" w:top="890" w:right="339" w:bottom="1440" w:gutter="0" w:footer="0" w:header="0"/>
        </w:sectPr>
      </w:pPr>
    </w:p>
    <w:bookmarkStart w:id="64" w:name="page65"/>
    <w:bookmarkEnd w:id="64"/>
    <w:p>
      <w:pPr>
        <w:ind w:left="4900"/>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4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30, 2025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James A. Faulconbridge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17780</wp:posOffset>
            </wp:positionV>
            <wp:extent cx="20916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James A. Faulconbridge</w:t>
      </w:r>
    </w:p>
    <w:p>
      <w:pPr>
        <w:spacing w:after="0" w:line="3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14, 2025</w:t>
      </w:r>
    </w:p>
    <w:p>
      <w:pPr>
        <w:sectPr>
          <w:pgSz w:w="11900" w:h="16838" w:orient="portrait"/>
          <w:cols w:equalWidth="0" w:num="1">
            <w:col w:w="11240"/>
          </w:cols>
          <w:pgMar w:left="320" w:top="1412" w:right="339" w:bottom="1440" w:gutter="0" w:footer="0" w:header="0"/>
        </w:sectPr>
      </w:pPr>
    </w:p>
    <w:bookmarkStart w:id="65" w:name="page66"/>
    <w:bookmarkEnd w:id="65"/>
    <w:p>
      <w:pPr>
        <w:jc w:val="center"/>
        <w:ind w:right="-33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4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30, 2025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Mary J.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17780</wp:posOffset>
            </wp:positionV>
            <wp:extent cx="20916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Mary J. Schumacher</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May 14, 2025</w:t>
      </w:r>
    </w:p>
    <w:p>
      <w:pPr>
        <w:sectPr>
          <w:pgSz w:w="11900" w:h="16838" w:orient="portrait"/>
          <w:cols w:equalWidth="0" w:num="1">
            <w:col w:w="11240"/>
          </w:cols>
          <w:pgMar w:left="320" w:top="1412" w:right="339" w:bottom="1440" w:gutter="0" w:footer="0" w:header="0"/>
        </w:sectPr>
      </w:pPr>
    </w:p>
    <w:bookmarkStart w:id="66" w:name="page67"/>
    <w:bookmarkEnd w:id="66"/>
    <w:p>
      <w:pPr>
        <w:jc w:val="center"/>
        <w:ind w:right="-33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4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30, 2025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Jeffrey E. Spethmann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17780</wp:posOffset>
            </wp:positionV>
            <wp:extent cx="2091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Jeffrey E. Spethmann</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May 14, 2025</w:t>
      </w:r>
    </w:p>
    <w:p>
      <w:pPr>
        <w:sectPr>
          <w:pgSz w:w="11900" w:h="16838" w:orient="portrait"/>
          <w:cols w:equalWidth="0" w:num="1">
            <w:col w:w="11240"/>
          </w:cols>
          <w:pgMar w:left="320" w:top="1412" w:right="339" w:bottom="1440" w:gutter="0" w:footer="0" w:header="0"/>
        </w:sectPr>
      </w:pPr>
    </w:p>
    <w:bookmarkStart w:id="67" w:name="page68"/>
    <w:bookmarkEnd w:id="67"/>
    <w:p>
      <w:pPr>
        <w:jc w:val="center"/>
        <w:ind w:right="-33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4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30, 2025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Daniel J. Stauber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17780</wp:posOffset>
            </wp:positionV>
            <wp:extent cx="20916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Daniel J. Stauber</w:t>
      </w:r>
    </w:p>
    <w:p>
      <w:pPr>
        <w:spacing w:after="0" w:line="3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14, 2025</w:t>
      </w:r>
    </w:p>
    <w:p>
      <w:pPr>
        <w:sectPr>
          <w:pgSz w:w="11900" w:h="16838" w:orient="portrait"/>
          <w:cols w:equalWidth="0" w:num="1">
            <w:col w:w="11240"/>
          </w:cols>
          <w:pgMar w:left="320" w:top="1412" w:right="339" w:bottom="1440" w:gutter="0" w:footer="0" w:header="0"/>
        </w:sectPr>
      </w:pPr>
    </w:p>
    <w:bookmarkStart w:id="68" w:name="page69"/>
    <w:bookmarkEnd w:id="68"/>
    <w:p>
      <w:pPr>
        <w:jc w:val="center"/>
        <w:ind w:right="-33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4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30, 2025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Yi “Faith”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17780</wp:posOffset>
            </wp:positionV>
            <wp:extent cx="2091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Yi “Faith” Tang</w:t>
      </w:r>
    </w:p>
    <w:p>
      <w:pPr>
        <w:spacing w:after="0" w:line="3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14, 2025</w:t>
      </w:r>
    </w:p>
    <w:p>
      <w:pPr>
        <w:sectPr>
          <w:pgSz w:w="11900" w:h="16838" w:orient="portrait"/>
          <w:cols w:equalWidth="0" w:num="1">
            <w:col w:w="11240"/>
          </w:cols>
          <w:pgMar w:left="320" w:top="1412" w:right="339" w:bottom="1440" w:gutter="0" w:footer="0" w:header="0"/>
        </w:sectPr>
      </w:pPr>
    </w:p>
    <w:bookmarkStart w:id="69" w:name="page70"/>
    <w:bookmarkEnd w:id="69"/>
    <w:p>
      <w:pPr>
        <w:ind w:left="4900"/>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4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30, 2025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James T.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17780</wp:posOffset>
            </wp:positionV>
            <wp:extent cx="2091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James Thompson</w:t>
      </w:r>
    </w:p>
    <w:p>
      <w:pPr>
        <w:spacing w:after="0" w:line="3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14, 2025</w:t>
      </w:r>
    </w:p>
    <w:p>
      <w:pPr>
        <w:sectPr>
          <w:pgSz w:w="11900" w:h="16838" w:orient="portrait"/>
          <w:cols w:equalWidth="0" w:num="1">
            <w:col w:w="11240"/>
          </w:cols>
          <w:pgMar w:left="320" w:top="1412" w:right="339" w:bottom="1440" w:gutter="0" w:footer="0" w:header="0"/>
        </w:sectPr>
      </w:pPr>
    </w:p>
    <w:bookmarkStart w:id="70" w:name="page71"/>
    <w:bookmarkEnd w:id="70"/>
    <w:p>
      <w:pPr>
        <w:jc w:val="center"/>
        <w:ind w:right="-339"/>
        <w:spacing w:after="0"/>
        <w:rPr>
          <w:sz w:val="20"/>
          <w:szCs w:val="20"/>
          <w:color w:val="auto"/>
        </w:rPr>
      </w:pPr>
      <w:r>
        <w:rPr>
          <w:rFonts w:ascii="Arial" w:cs="Arial" w:eastAsia="Arial" w:hAnsi="Arial"/>
          <w:sz w:val="20"/>
          <w:szCs w:val="20"/>
          <w:b w:val="1"/>
          <w:bCs w:val="1"/>
          <w:color w:val="auto"/>
        </w:rPr>
        <w:t>HAWKINS, INC.</w:t>
      </w: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20"/>
          <w:szCs w:val="20"/>
          <w:b w:val="1"/>
          <w:bCs w:val="1"/>
          <w:color w:val="auto"/>
        </w:rPr>
        <w:t>Power of Attorney</w:t>
      </w:r>
    </w:p>
    <w:p>
      <w:pPr>
        <w:spacing w:after="0" w:line="24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30, 2025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Jeffrey L.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17780</wp:posOffset>
            </wp:positionV>
            <wp:extent cx="2091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Jeffrey L. Wright</w:t>
      </w:r>
    </w:p>
    <w:p>
      <w:pPr>
        <w:spacing w:after="0" w:line="3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14, 2025</w:t>
      </w:r>
    </w:p>
    <w:p>
      <w:pPr>
        <w:sectPr>
          <w:pgSz w:w="11900" w:h="16838" w:orient="portrait"/>
          <w:cols w:equalWidth="0" w:num="1">
            <w:col w:w="11240"/>
          </w:cols>
          <w:pgMar w:left="320" w:top="1412"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6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117" w:lineRule="exact"/>
        <w:rPr>
          <w:rFonts w:ascii="Arial" w:cs="Arial" w:eastAsia="Arial" w:hAnsi="Arial"/>
          <w:sz w:val="18"/>
          <w:szCs w:val="18"/>
          <w:color w:val="auto"/>
        </w:rPr>
      </w:pPr>
    </w:p>
    <w:p>
      <w:pPr>
        <w:ind w:left="660" w:right="80" w:hanging="328"/>
        <w:spacing w:after="0" w:line="253" w:lineRule="auto"/>
        <w:tabs>
          <w:tab w:leader="none" w:pos="6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660" w:right="120" w:hanging="328"/>
        <w:spacing w:after="0" w:line="253" w:lineRule="auto"/>
        <w:tabs>
          <w:tab w:leader="none" w:pos="6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ind w:left="660" w:right="120" w:hanging="328"/>
        <w:spacing w:after="0" w:line="253" w:lineRule="auto"/>
        <w:tabs>
          <w:tab w:leader="none" w:pos="6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300" w:right="20" w:hanging="320"/>
        <w:spacing w:after="0" w:line="253" w:lineRule="auto"/>
        <w:tabs>
          <w:tab w:leader="none" w:pos="131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300" w:right="20" w:hanging="320"/>
        <w:spacing w:after="0" w:line="253" w:lineRule="auto"/>
        <w:tabs>
          <w:tab w:leader="none" w:pos="12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300" w:right="300" w:hanging="320"/>
        <w:spacing w:after="0" w:line="253" w:lineRule="auto"/>
        <w:tabs>
          <w:tab w:leader="none" w:pos="1315"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300" w:right="60" w:hanging="320"/>
        <w:spacing w:after="0" w:line="253" w:lineRule="auto"/>
        <w:tabs>
          <w:tab w:leader="none" w:pos="12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660" w:right="340" w:hanging="328"/>
        <w:spacing w:after="0" w:line="253" w:lineRule="auto"/>
        <w:tabs>
          <w:tab w:leader="none" w:pos="6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8"/>
          <w:szCs w:val="18"/>
          <w:color w:val="auto"/>
        </w:rPr>
      </w:pPr>
    </w:p>
    <w:p>
      <w:pPr>
        <w:jc w:val="both"/>
        <w:ind w:left="1300" w:right="440" w:hanging="320"/>
        <w:spacing w:after="0" w:line="253" w:lineRule="auto"/>
        <w:tabs>
          <w:tab w:leader="none" w:pos="131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1300" w:right="800" w:hanging="320"/>
        <w:spacing w:after="0" w:line="271" w:lineRule="auto"/>
        <w:tabs>
          <w:tab w:leader="none" w:pos="12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2025</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/s/ Patrick H. Hawkins</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90"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117" w:lineRule="exact"/>
        <w:rPr>
          <w:rFonts w:ascii="Arial" w:cs="Arial" w:eastAsia="Arial" w:hAnsi="Arial"/>
          <w:sz w:val="18"/>
          <w:szCs w:val="18"/>
          <w:color w:val="auto"/>
        </w:rPr>
      </w:pPr>
    </w:p>
    <w:p>
      <w:pPr>
        <w:ind w:left="660" w:right="80" w:hanging="328"/>
        <w:spacing w:after="0" w:line="253" w:lineRule="auto"/>
        <w:tabs>
          <w:tab w:leader="none" w:pos="661"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660" w:right="120" w:hanging="328"/>
        <w:spacing w:after="0" w:line="253" w:lineRule="auto"/>
        <w:tabs>
          <w:tab w:leader="none" w:pos="661"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8"/>
          <w:szCs w:val="18"/>
          <w:color w:val="auto"/>
        </w:rPr>
      </w:pPr>
    </w:p>
    <w:p>
      <w:pPr>
        <w:ind w:left="660" w:right="120" w:hanging="328"/>
        <w:spacing w:after="0" w:line="253" w:lineRule="auto"/>
        <w:tabs>
          <w:tab w:leader="none" w:pos="66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300" w:right="20" w:hanging="320"/>
        <w:spacing w:after="0" w:line="253" w:lineRule="auto"/>
        <w:tabs>
          <w:tab w:leader="none" w:pos="131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300" w:right="20" w:hanging="320"/>
        <w:spacing w:after="0" w:line="253" w:lineRule="auto"/>
        <w:tabs>
          <w:tab w:leader="none" w:pos="12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300" w:right="300" w:hanging="320"/>
        <w:spacing w:after="0" w:line="253" w:lineRule="auto"/>
        <w:tabs>
          <w:tab w:leader="none" w:pos="13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300" w:right="60" w:hanging="320"/>
        <w:spacing w:after="0" w:line="253" w:lineRule="auto"/>
        <w:tabs>
          <w:tab w:leader="none" w:pos="12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660" w:right="340" w:hanging="328"/>
        <w:spacing w:after="0" w:line="253" w:lineRule="auto"/>
        <w:tabs>
          <w:tab w:leader="none" w:pos="66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8"/>
          <w:szCs w:val="18"/>
          <w:color w:val="auto"/>
        </w:rPr>
      </w:pPr>
    </w:p>
    <w:p>
      <w:pPr>
        <w:jc w:val="both"/>
        <w:ind w:left="1300" w:right="440" w:hanging="320"/>
        <w:spacing w:after="0" w:line="253" w:lineRule="auto"/>
        <w:tabs>
          <w:tab w:leader="none" w:pos="1311"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1300" w:right="800" w:hanging="320"/>
        <w:spacing w:after="0" w:line="271" w:lineRule="auto"/>
        <w:tabs>
          <w:tab w:leader="none" w:pos="129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Date: May 14, 2025</w:t>
      </w:r>
    </w:p>
    <w:p>
      <w:pPr>
        <w:spacing w:after="0" w:line="50" w:lineRule="exact"/>
        <w:rPr>
          <w:sz w:val="20"/>
          <w:szCs w:val="20"/>
          <w:color w:val="auto"/>
        </w:rPr>
      </w:pPr>
    </w:p>
    <w:p>
      <w:pPr>
        <w:ind w:left="6040"/>
        <w:spacing w:after="0"/>
        <w:rPr>
          <w:sz w:val="20"/>
          <w:szCs w:val="20"/>
          <w:color w:val="auto"/>
        </w:rPr>
      </w:pPr>
      <w:r>
        <w:rPr>
          <w:rFonts w:ascii="Arial" w:cs="Arial" w:eastAsia="Arial" w:hAnsi="Arial"/>
          <w:sz w:val="18"/>
          <w:szCs w:val="18"/>
          <w:u w:val="single" w:color="auto"/>
          <w:color w:val="auto"/>
        </w:rPr>
        <w:t>/s/ Jeffrey P. Oldenkamp</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P. Oldenkamp</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45" w:lineRule="exact"/>
        <w:rPr>
          <w:sz w:val="20"/>
          <w:szCs w:val="20"/>
          <w:color w:val="auto"/>
        </w:rPr>
      </w:pPr>
    </w:p>
    <w:p>
      <w:pPr>
        <w:jc w:val="both"/>
        <w:ind w:right="280"/>
        <w:spacing w:after="0" w:line="261"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30, 2025,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87" w:lineRule="auto"/>
        <w:tabs>
          <w:tab w:leader="none" w:pos="7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Patrick H. Hawkins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14, 2025</w:t>
      </w:r>
    </w:p>
    <w:p>
      <w:pPr>
        <w:sectPr>
          <w:pgSz w:w="11900" w:h="16838" w:orient="portrait"/>
          <w:cols w:equalWidth="0" w:num="1">
            <w:col w:w="11240"/>
          </w:cols>
          <w:pgMar w:left="320" w:top="890"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30, 2025,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87" w:lineRule="auto"/>
        <w:tabs>
          <w:tab w:leader="none" w:pos="7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Jeffrey P. Oldenkamp</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Jeffrey P. Oldenkamp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14, 2025</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9"/>
    </w:lvl>
  </w:abstractNum>
  <w:abstractNum w:abstractNumId="14">
    <w:nsid w:val="628C895D"/>
    <w:multiLevelType w:val="hybridMultilevel"/>
    <w:lvl w:ilvl="0">
      <w:lvlJc w:val="left"/>
      <w:lvlText w:val="%1"/>
      <w:numFmt w:val="decimal"/>
      <w:start w:val="21"/>
    </w:lvl>
  </w:abstractNum>
  <w:abstractNum w:abstractNumId="15">
    <w:nsid w:val="333AB105"/>
    <w:multiLevelType w:val="hybridMultilevel"/>
    <w:lvl w:ilvl="0">
      <w:lvlJc w:val="left"/>
      <w:lvlText w:val="%1"/>
      <w:numFmt w:val="decimal"/>
      <w:start w:val="97"/>
    </w:lvl>
  </w:abstractNum>
  <w:abstractNum w:abstractNumId="16">
    <w:nsid w:val="721DA317"/>
    <w:multiLevelType w:val="hybridMultilevel"/>
    <w:lvl w:ilvl="0">
      <w:lvlJc w:val="left"/>
      <w:lvlText w:val="%1"/>
      <w:numFmt w:val="decimal"/>
      <w:start w:val="10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lvl w:ilvl="1">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2"/>
    </w:lvl>
  </w:abstractNum>
  <w:abstractNum w:abstractNumId="26">
    <w:nsid w:val="54E49EB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35" Type="http://schemas.openxmlformats.org/officeDocument/2006/relationships/hyperlink" Target="https://www.sec.gov/ix?doc=/Archives/edgar/data/46250/000004625024000013/hwkn-20240331.htm" TargetMode="External"/><Relationship Id="rId83" Type="http://schemas.openxmlformats.org/officeDocument/2006/relationships/hyperlink" Target="https://www.sec.gov/Archives/edgar/data/46250/000004625021000012/exhibit32.htm" TargetMode="External"/><Relationship Id="rId84" Type="http://schemas.openxmlformats.org/officeDocument/2006/relationships/hyperlink" Target="https://www.sec.gov/Archives/edgar/data/46250/000089710109002205/hawkins095018_ex3-1.htm" TargetMode="External"/><Relationship Id="rId85" Type="http://schemas.openxmlformats.org/officeDocument/2006/relationships/hyperlink" Target="https://www.sec.gov/Archives/edgar/data/46250/000004625021000019/hwkn10k2021exhibit41.htm" TargetMode="External"/><Relationship Id="rId86" Type="http://schemas.openxmlformats.org/officeDocument/2006/relationships/hyperlink" Target="https://www.sec.gov/Archives/edgar/data/46250/000004625024000027/a10qfy2025q2092924ex102.htm" TargetMode="External"/><Relationship Id="rId87" Type="http://schemas.openxmlformats.org/officeDocument/2006/relationships/hyperlink" Target="https://www.sec.gov/Archives/edgar/data/46250/000119312518316437/d643918dex991.htm" TargetMode="External"/><Relationship Id="rId88" Type="http://schemas.openxmlformats.org/officeDocument/2006/relationships/hyperlink" Target="https://www.sec.gov/Archives/edgar/data/46250/000004625023000015/hwkn10k2023exhibit104.htm" TargetMode="External"/><Relationship Id="rId89" Type="http://schemas.openxmlformats.org/officeDocument/2006/relationships/hyperlink" Target="https://www.sec.gov/Archives/edgar/data/46250/000004625022000010/exhibit101.htm" TargetMode="External"/><Relationship Id="rId90" Type="http://schemas.openxmlformats.org/officeDocument/2006/relationships/hyperlink" Target="https://www.sec.gov/Archives/edgar/data/46250/000004625024000027/a10qfy2025q2092924ex101.htm" TargetMode="External"/><Relationship Id="rId91" Type="http://schemas.openxmlformats.org/officeDocument/2006/relationships/hyperlink" Target="https://www.sec.gov/Archives/edgar/data/46250/000004625025000021/exhibit101-2025debtmodific.htm" TargetMode="External"/><Relationship Id="rId92" Type="http://schemas.openxmlformats.org/officeDocument/2006/relationships/hyperlink" Target="https://www.sec.gov/Archives/edgar/data/46250/000004625019000039/hawkins10qq2092919ex103.htm" TargetMode="External"/><Relationship Id="rId93" Type="http://schemas.openxmlformats.org/officeDocument/2006/relationships/hyperlink" Target="https://www.sec.gov/Archives/edgar/data/46250/000004625020000027/hwkn10k2020exhibit1010.htm" TargetMode="External"/><Relationship Id="rId94" Type="http://schemas.openxmlformats.org/officeDocument/2006/relationships/hyperlink" Target="https://www.sec.gov/Archives/edgar/data/46250/000004625024000013/hwkn10k2024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2025-05-14T15:21:45Z</dcterms:created>
  <dcterms:modified xsi:type="dcterms:W3CDTF">2025-05-14T15:21:45Z</dcterms:modified>
</cp:coreProperties>
</file>