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Hawkins Chemical,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420200107</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8 Pages</w:t>
      </w:r>
    </w:p>
    <w:p>
      <w:pPr>
        <w:spacing w:after="0" w:line="201" w:lineRule="exact"/>
        <w:rPr>
          <w:sz w:val="24"/>
          <w:szCs w:val="24"/>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420200107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20"/>
        <w:spacing w:after="0"/>
        <w:tabs>
          <w:tab w:leader="none" w:pos="3140" w:val="left"/>
        </w:tabs>
        <w:rPr>
          <w:sz w:val="20"/>
          <w:szCs w:val="20"/>
          <w:color w:val="auto"/>
        </w:rPr>
      </w:pPr>
      <w:r>
        <w:rPr>
          <w:rFonts w:ascii="Courier New" w:cs="Courier New" w:eastAsia="Courier New" w:hAnsi="Courier New"/>
          <w:sz w:val="18"/>
          <w:szCs w:val="18"/>
          <w:color w:val="auto"/>
        </w:rPr>
        <w:t>Royce &amp; Associates, Inc.</w:t>
      </w:r>
      <w:r>
        <w:rPr>
          <w:sz w:val="20"/>
          <w:szCs w:val="20"/>
          <w:color w:val="auto"/>
        </w:rPr>
        <w:tab/>
      </w:r>
      <w:r>
        <w:rPr>
          <w:rFonts w:ascii="Courier New" w:cs="Courier New" w:eastAsia="Courier New" w:hAnsi="Courier New"/>
          <w:sz w:val="16"/>
          <w:szCs w:val="16"/>
          <w:color w:val="auto"/>
        </w:rPr>
        <w:t>13-2579297</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220" w:right="5779" w:hanging="1"/>
        <w:spacing w:after="0" w:line="470" w:lineRule="auto"/>
        <w:tabs>
          <w:tab w:leader="none" w:pos="64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9"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633,252</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633,252</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1" w:lineRule="exact"/>
        <w:rPr>
          <w:sz w:val="24"/>
          <w:szCs w:val="24"/>
          <w:color w:val="auto"/>
        </w:rPr>
      </w:pPr>
    </w:p>
    <w:p>
      <w:pPr>
        <w:ind w:left="220"/>
        <w:spacing w:after="0"/>
        <w:tabs>
          <w:tab w:leader="none" w:pos="520" w:val="left"/>
        </w:tabs>
        <w:rPr>
          <w:sz w:val="20"/>
          <w:szCs w:val="20"/>
          <w:color w:val="auto"/>
        </w:rPr>
      </w:pPr>
      <w:r>
        <w:rPr>
          <w:rFonts w:ascii="Courier New" w:cs="Courier New" w:eastAsia="Courier New" w:hAnsi="Courier New"/>
          <w:sz w:val="18"/>
          <w:szCs w:val="18"/>
          <w:color w:val="auto"/>
        </w:rPr>
        <w:t>9</w:t>
        <w:tab/>
        <w:t>AGGREGATE AMOUNT BENEFICIALLY OWNED BY EACH</w:t>
      </w:r>
    </w:p>
    <w:p>
      <w:pPr>
        <w:sectPr>
          <w:pgSz w:w="11900" w:h="16855"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REPORTING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633,252</w:t>
      </w:r>
    </w:p>
    <w:p>
      <w:pPr>
        <w:spacing w:after="0" w:line="201"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6.09%</w:t>
      </w:r>
    </w:p>
    <w:p>
      <w:pPr>
        <w:spacing w:after="0" w:line="206" w:lineRule="exact"/>
        <w:rPr>
          <w:rFonts w:ascii="Courier New" w:cs="Courier New" w:eastAsia="Courier New" w:hAnsi="Courier New"/>
          <w:sz w:val="18"/>
          <w:szCs w:val="18"/>
          <w:color w:val="auto"/>
        </w:rPr>
      </w:pPr>
    </w:p>
    <w:p>
      <w:pPr>
        <w:ind w:left="540" w:right="7059" w:hanging="427"/>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1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218" w:lineRule="exact"/>
        <w:rPr>
          <w:sz w:val="20"/>
          <w:szCs w:val="20"/>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420200107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ind w:left="860" w:hanging="641"/>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spacing w:after="0"/>
        <w:rPr>
          <w:sz w:val="20"/>
          <w:szCs w:val="20"/>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Royce Management Company</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06-1354019</w:t>
            </w:r>
          </w:p>
        </w:tc>
      </w:tr>
    </w:tbl>
    <w:p>
      <w:pPr>
        <w:ind w:left="640" w:hanging="421"/>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700" w:hanging="530"/>
        <w:spacing w:after="0" w:line="238" w:lineRule="auto"/>
        <w:tabs>
          <w:tab w:leader="none" w:pos="5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640" w:right="5779" w:hanging="421"/>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2,900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2,900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7" w:lineRule="exact"/>
        <w:rPr>
          <w:sz w:val="20"/>
          <w:szCs w:val="20"/>
          <w:color w:val="auto"/>
        </w:rPr>
      </w:pPr>
    </w:p>
    <w:p>
      <w:pPr>
        <w:ind w:left="540" w:right="5159" w:hanging="321"/>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2,900</w:t>
      </w:r>
    </w:p>
    <w:p>
      <w:pPr>
        <w:spacing w:after="0" w:line="201" w:lineRule="exact"/>
        <w:rPr>
          <w:sz w:val="20"/>
          <w:szCs w:val="20"/>
          <w:color w:val="auto"/>
        </w:rPr>
      </w:pPr>
    </w:p>
    <w:p>
      <w:pPr>
        <w:ind w:left="220"/>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w:t>
      </w:r>
    </w:p>
    <w:p>
      <w:pPr>
        <w:ind w:left="640"/>
        <w:spacing w:after="0"/>
        <w:tabs>
          <w:tab w:leader="none" w:pos="442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640" w:hanging="42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0.03%</w:t>
      </w:r>
    </w:p>
    <w:p>
      <w:pPr>
        <w:spacing w:after="0" w:line="206" w:lineRule="exact"/>
        <w:rPr>
          <w:rFonts w:ascii="Courier New" w:cs="Courier New" w:eastAsia="Courier New" w:hAnsi="Courier New"/>
          <w:sz w:val="18"/>
          <w:szCs w:val="18"/>
          <w:color w:val="auto"/>
        </w:rPr>
      </w:pPr>
    </w:p>
    <w:p>
      <w:pPr>
        <w:ind w:left="640" w:right="6939" w:hanging="42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3" w:lineRule="exact"/>
        <w:rPr>
          <w:sz w:val="20"/>
          <w:szCs w:val="20"/>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420200107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ind w:left="740" w:hanging="416"/>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tabs>
          <w:tab w:leader="none" w:pos="2840" w:val="left"/>
        </w:tabs>
        <w:rPr>
          <w:sz w:val="20"/>
          <w:szCs w:val="20"/>
          <w:color w:val="auto"/>
        </w:rPr>
      </w:pPr>
      <w:r>
        <w:rPr>
          <w:rFonts w:ascii="Courier New" w:cs="Courier New" w:eastAsia="Courier New" w:hAnsi="Courier New"/>
          <w:sz w:val="18"/>
          <w:szCs w:val="18"/>
          <w:color w:val="auto"/>
        </w:rPr>
        <w:t>Charles M. Royce</w:t>
      </w:r>
      <w:r>
        <w:rPr>
          <w:sz w:val="20"/>
          <w:szCs w:val="20"/>
          <w:color w:val="auto"/>
        </w:rPr>
        <w:tab/>
      </w:r>
      <w:r>
        <w:rPr>
          <w:rFonts w:ascii="Courier New" w:cs="Courier New" w:eastAsia="Courier New" w:hAnsi="Courier New"/>
          <w:sz w:val="16"/>
          <w:szCs w:val="16"/>
          <w:color w:val="auto"/>
        </w:rPr>
        <w:t>###-##-####</w:t>
      </w:r>
    </w:p>
    <w:p>
      <w:pPr>
        <w:ind w:left="740" w:hanging="416"/>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700" w:hanging="530"/>
        <w:spacing w:after="0" w:line="238" w:lineRule="auto"/>
        <w:tabs>
          <w:tab w:leader="none" w:pos="57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(b)</w:t>
      </w:r>
    </w:p>
    <w:p>
      <w:pPr>
        <w:ind w:left="740" w:hanging="416"/>
        <w:spacing w:after="0" w:line="238"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740" w:right="5679" w:hanging="416"/>
        <w:spacing w:after="0" w:line="470"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center"/>
              <w:ind w:left="11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rPr>
              <w:t>WITH</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bl>
    <w:p>
      <w:pPr>
        <w:spacing w:after="0" w:line="201" w:lineRule="exact"/>
        <w:rPr>
          <w:sz w:val="20"/>
          <w:szCs w:val="20"/>
          <w:color w:val="auto"/>
        </w:rPr>
      </w:pPr>
    </w:p>
    <w:p>
      <w:pPr>
        <w:ind w:left="320"/>
        <w:spacing w:after="0"/>
        <w:tabs>
          <w:tab w:leader="none" w:pos="6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AGGREGATE AMOUNT BENEFICIALLY OWNED BY EACH</w:t>
      </w:r>
    </w:p>
    <w:p>
      <w:pPr>
        <w:sectPr>
          <w:pgSz w:w="11900" w:h="16838" w:orient="portrait"/>
          <w:cols w:equalWidth="0" w:num="1">
            <w:col w:w="10219"/>
          </w:cols>
          <w:pgMar w:left="240" w:top="136" w:right="1440" w:bottom="0" w:gutter="0" w:footer="0" w:header="0"/>
        </w:sectPr>
      </w:pPr>
    </w:p>
    <w:bookmarkStart w:id="2" w:name="page3"/>
    <w:bookmarkEnd w:id="2"/>
    <w:p>
      <w:pPr>
        <w:ind w:left="640"/>
        <w:spacing w:after="0"/>
        <w:rPr>
          <w:sz w:val="20"/>
          <w:szCs w:val="20"/>
          <w:color w:val="auto"/>
        </w:rPr>
      </w:pPr>
      <w:r>
        <w:rPr>
          <w:rFonts w:ascii="Courier New" w:cs="Courier New" w:eastAsia="Courier New" w:hAnsi="Courier New"/>
          <w:sz w:val="18"/>
          <w:szCs w:val="18"/>
          <w:color w:val="auto"/>
        </w:rPr>
        <w:t>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Item 2(a) of attached schedule</w:t>
      </w:r>
    </w:p>
    <w:p>
      <w:pPr>
        <w:ind w:left="220"/>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w:t>
      </w:r>
    </w:p>
    <w:p>
      <w:pPr>
        <w:ind w:left="640"/>
        <w:spacing w:after="0"/>
        <w:tabs>
          <w:tab w:leader="none" w:pos="442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640" w:right="4419" w:hanging="421"/>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See Item 2(a) of attached schedule</w:t>
      </w:r>
    </w:p>
    <w:p>
      <w:pPr>
        <w:spacing w:after="0" w:line="208" w:lineRule="exact"/>
        <w:rPr>
          <w:rFonts w:ascii="Courier New" w:cs="Courier New" w:eastAsia="Courier New" w:hAnsi="Courier New"/>
          <w:sz w:val="18"/>
          <w:szCs w:val="18"/>
          <w:color w:val="auto"/>
        </w:rPr>
      </w:pPr>
    </w:p>
    <w:p>
      <w:pPr>
        <w:ind w:left="640" w:right="6939" w:hanging="421"/>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420200107</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8 Pages</w:t>
      </w:r>
    </w:p>
    <w:p>
      <w:pPr>
        <w:spacing w:after="0" w:line="419" w:lineRule="exact"/>
        <w:rPr>
          <w:sz w:val="20"/>
          <w:szCs w:val="20"/>
          <w:color w:val="auto"/>
        </w:rPr>
      </w:pPr>
    </w:p>
    <w:p>
      <w:pPr>
        <w:sectPr>
          <w:pgSz w:w="11900" w:h="16838" w:orient="portrait"/>
          <w:cols w:equalWidth="0" w:num="2">
            <w:col w:w="2960" w:space="200"/>
            <w:col w:w="7059"/>
          </w:cols>
          <w:pgMar w:left="240" w:top="136" w:right="1440" w:bottom="0" w:gutter="0" w:footer="0" w:header="0"/>
          <w:type w:val="continuous"/>
        </w:sectPr>
      </w:pPr>
    </w:p>
    <w:p>
      <w:pPr>
        <w:spacing w:after="0" w:line="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Hawkins Chemical,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Secretary</w:t>
      </w:r>
    </w:p>
    <w:p>
      <w:pPr>
        <w:spacing w:after="0" w:line="238" w:lineRule="auto"/>
        <w:rPr>
          <w:sz w:val="20"/>
          <w:szCs w:val="20"/>
          <w:color w:val="auto"/>
        </w:rPr>
      </w:pPr>
      <w:r>
        <w:rPr>
          <w:rFonts w:ascii="Courier New" w:cs="Courier New" w:eastAsia="Courier New" w:hAnsi="Courier New"/>
          <w:sz w:val="18"/>
          <w:szCs w:val="18"/>
          <w:color w:val="auto"/>
        </w:rPr>
        <w:t>3100 East Hennepin Avenue</w:t>
      </w:r>
    </w:p>
    <w:p>
      <w:pPr>
        <w:spacing w:after="0"/>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Royce &amp; Associates, Inc. ("Royce"), Royce Management Company ("RMC"), and Charles M. Royce. Mr. Royce may be deemed to be a controlling person of Royce and RMC, and as such may be deemed to beneficially own the shares of Common Stock of Hawkins Chemical, Inc. beneficially owned by Royce and RMC. Mr. Royce does not own any shares outside of Royce and RMC, and disclaims beneficial ownership of the shares held by Royce and RMC.</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Royce is a New York Corporation, RMC is a Connecticut General Partnership, and Mr. Royce is a citizen of the U.S.A.</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420200107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8" w:lineRule="auto"/>
        <w:rPr>
          <w:sz w:val="20"/>
          <w:szCs w:val="20"/>
          <w:color w:val="auto"/>
        </w:rPr>
      </w:pPr>
      <w:r>
        <w:rPr>
          <w:rFonts w:ascii="Courier New" w:cs="Courier New" w:eastAsia="Courier New" w:hAnsi="Courier New"/>
          <w:sz w:val="18"/>
          <w:szCs w:val="18"/>
          <w:color w:val="auto"/>
        </w:rPr>
        <w:t>2(b), check whether the person filing is a:</w:t>
      </w:r>
    </w:p>
    <w:p>
      <w:pPr>
        <w:spacing w:after="0" w:line="207" w:lineRule="exact"/>
        <w:rPr>
          <w:sz w:val="20"/>
          <w:szCs w:val="20"/>
          <w:color w:val="auto"/>
        </w:rPr>
      </w:pPr>
    </w:p>
    <w:p>
      <w:pPr>
        <w:ind w:left="1380" w:right="347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1380" w:right="347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5" w:lineRule="exact"/>
        <w:rPr>
          <w:rFonts w:ascii="Courier New" w:cs="Courier New" w:eastAsia="Courier New" w:hAnsi="Courier New"/>
          <w:sz w:val="18"/>
          <w:szCs w:val="18"/>
          <w:color w:val="auto"/>
        </w:rPr>
      </w:pPr>
    </w:p>
    <w:p>
      <w:pPr>
        <w:ind w:left="1380" w:right="377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3479" w:hanging="845"/>
        <w:spacing w:after="0" w:line="237"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w:t>
      </w:r>
    </w:p>
    <w:p>
      <w:pPr>
        <w:spacing w:after="0" w:line="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w:t>
      </w:r>
    </w:p>
    <w:p>
      <w:pPr>
        <w:spacing w:after="0" w:line="202" w:lineRule="exact"/>
        <w:rPr>
          <w:sz w:val="20"/>
          <w:szCs w:val="20"/>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420200107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w:t>
      </w:r>
      <w:r>
        <w:rPr>
          <w:rFonts w:ascii="Courier New" w:cs="Courier New" w:eastAsia="Courier New" w:hAnsi="Courier New"/>
          <w:sz w:val="16"/>
          <w:szCs w:val="16"/>
          <w:color w:val="auto"/>
        </w:rPr>
        <w:t>633,252</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RMC:</w:t>
      </w:r>
      <w:r>
        <w:rPr>
          <w:rFonts w:ascii="Courier New" w:cs="Courier New" w:eastAsia="Courier New" w:hAnsi="Courier New"/>
          <w:sz w:val="16"/>
          <w:szCs w:val="16"/>
          <w:color w:val="auto"/>
        </w:rPr>
        <w:t>2,900</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0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8"/>
          <w:szCs w:val="18"/>
          <w:color w:val="auto"/>
        </w:rPr>
        <w:t>6.09%</w:t>
      </w: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RMC:</w:t>
      </w:r>
      <w:r>
        <w:rPr>
          <w:sz w:val="20"/>
          <w:szCs w:val="20"/>
          <w:color w:val="auto"/>
        </w:rPr>
        <w:tab/>
      </w:r>
      <w:r>
        <w:rPr>
          <w:rFonts w:ascii="Courier New" w:cs="Courier New" w:eastAsia="Courier New" w:hAnsi="Courier New"/>
          <w:sz w:val="18"/>
          <w:szCs w:val="18"/>
          <w:color w:val="auto"/>
        </w:rPr>
        <w:t>0.03%</w:t>
      </w:r>
    </w:p>
    <w:p>
      <w:pPr>
        <w:spacing w:after="0" w:line="200"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(i) sole power to vote or to direct the vote</w:t>
      </w:r>
    </w:p>
    <w:tbl>
      <w:tblPr>
        <w:tblLayout w:type="fixed"/>
        <w:tblInd w:w="348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Royce</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633,252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RMC</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2,900</w:t>
            </w:r>
          </w:p>
        </w:tc>
      </w:tr>
    </w:tbl>
    <w:p>
      <w:pPr>
        <w:spacing w:after="0" w:line="207" w:lineRule="exact"/>
        <w:rPr>
          <w:sz w:val="20"/>
          <w:szCs w:val="20"/>
          <w:color w:val="auto"/>
        </w:rPr>
      </w:pPr>
    </w:p>
    <w:p>
      <w:pPr>
        <w:ind w:left="3480" w:right="3999" w:hanging="2524"/>
        <w:spacing w:after="0" w:line="235" w:lineRule="auto"/>
        <w:tabs>
          <w:tab w:leader="none" w:pos="179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Royce __________</w:t>
      </w:r>
    </w:p>
    <w:p>
      <w:pPr>
        <w:spacing w:after="0" w:line="1" w:lineRule="exact"/>
        <w:rPr>
          <w:rFonts w:ascii="Courier New" w:cs="Courier New" w:eastAsia="Courier New" w:hAnsi="Courier New"/>
          <w:sz w:val="18"/>
          <w:szCs w:val="18"/>
          <w:color w:val="auto"/>
        </w:rPr>
      </w:pP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RMC</w:t>
      </w:r>
      <w:r>
        <w:rPr>
          <w:rFonts w:ascii="Courier New" w:cs="Courier New" w:eastAsia="Courier New" w:hAnsi="Courier New"/>
          <w:sz w:val="16"/>
          <w:szCs w:val="16"/>
          <w:color w:val="auto"/>
        </w:rPr>
        <w:t>__________</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8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Royce</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633,252</w:t>
            </w:r>
          </w:p>
        </w:tc>
      </w:tr>
      <w:tr>
        <w:trPr>
          <w:trHeight w:val="203"/>
        </w:trPr>
        <w:tc>
          <w:tcPr>
            <w:tcW w:w="1220" w:type="dxa"/>
            <w:vAlign w:val="bottom"/>
          </w:tcPr>
          <w:p>
            <w:pPr>
              <w:spacing w:after="0"/>
              <w:rPr>
                <w:sz w:val="17"/>
                <w:szCs w:val="17"/>
                <w:color w:val="auto"/>
              </w:rPr>
            </w:pPr>
          </w:p>
        </w:tc>
        <w:tc>
          <w:tcPr>
            <w:tcW w:w="18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RMC</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2,900</w:t>
            </w:r>
          </w:p>
        </w:tc>
      </w:tr>
    </w:tbl>
    <w:p>
      <w:pPr>
        <w:spacing w:after="0" w:line="201" w:lineRule="exact"/>
        <w:rPr>
          <w:sz w:val="20"/>
          <w:szCs w:val="20"/>
          <w:color w:val="auto"/>
        </w:rPr>
      </w:pPr>
    </w:p>
    <w:p>
      <w:pPr>
        <w:ind w:left="1800" w:hanging="844"/>
        <w:spacing w:after="0"/>
        <w:tabs>
          <w:tab w:leader="none" w:pos="18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jc w:val="right"/>
        <w:ind w:right="3899"/>
        <w:spacing w:after="0"/>
        <w:tabs>
          <w:tab w:leader="none" w:pos="3140" w:val="left"/>
          <w:tab w:leader="none" w:pos="23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Royce</w:t>
      </w:r>
      <w:r>
        <w:rPr>
          <w:sz w:val="20"/>
          <w:szCs w:val="20"/>
          <w:color w:val="auto"/>
        </w:rPr>
        <w:tab/>
      </w:r>
      <w:r>
        <w:rPr>
          <w:rFonts w:ascii="Courier New" w:cs="Courier New" w:eastAsia="Courier New" w:hAnsi="Courier New"/>
          <w:sz w:val="16"/>
          <w:szCs w:val="16"/>
          <w:color w:val="auto"/>
        </w:rPr>
        <w:t>__________</w:t>
      </w:r>
    </w:p>
    <w:p>
      <w:pPr>
        <w:jc w:val="both"/>
        <w:ind w:left="4440"/>
        <w:spacing w:after="0"/>
        <w:tabs>
          <w:tab w:leader="none" w:pos="5260" w:val="left"/>
        </w:tabs>
        <w:rPr>
          <w:sz w:val="20"/>
          <w:szCs w:val="20"/>
          <w:color w:val="auto"/>
        </w:rPr>
      </w:pPr>
      <w:r>
        <w:rPr>
          <w:rFonts w:ascii="Courier New" w:cs="Courier New" w:eastAsia="Courier New" w:hAnsi="Courier New"/>
          <w:sz w:val="18"/>
          <w:szCs w:val="18"/>
          <w:color w:val="auto"/>
        </w:rPr>
        <w:t>RMC</w:t>
      </w:r>
      <w:r>
        <w:rPr>
          <w:sz w:val="20"/>
          <w:szCs w:val="20"/>
          <w:color w:val="auto"/>
        </w:rPr>
        <w:tab/>
      </w:r>
      <w:r>
        <w:rPr>
          <w:rFonts w:ascii="Courier New" w:cs="Courier New" w:eastAsia="Courier New" w:hAnsi="Courier New"/>
          <w:sz w:val="18"/>
          <w:szCs w:val="18"/>
          <w:color w:val="auto"/>
        </w:rPr>
        <w:t>__________</w:t>
      </w:r>
    </w:p>
    <w:p>
      <w:pPr>
        <w:spacing w:after="0" w:line="206" w:lineRule="exact"/>
        <w:rPr>
          <w:sz w:val="20"/>
          <w:szCs w:val="20"/>
          <w:color w:val="auto"/>
        </w:rPr>
      </w:pPr>
    </w:p>
    <w:p>
      <w:pPr>
        <w:ind w:left="120" w:right="3679" w:hanging="104"/>
        <w:spacing w:after="0" w:line="235" w:lineRule="auto"/>
        <w:rPr>
          <w:sz w:val="20"/>
          <w:szCs w:val="20"/>
          <w:color w:val="auto"/>
        </w:rPr>
      </w:pPr>
      <w:r>
        <w:rPr>
          <w:rFonts w:ascii="Courier New" w:cs="Courier New" w:eastAsia="Courier New" w:hAnsi="Courier New"/>
          <w:sz w:val="18"/>
          <w:szCs w:val="18"/>
          <w:color w:val="auto"/>
        </w:rPr>
        <w:t>See item 2(a) above for information relating to the beneficial ownership of Mr. Royce.</w:t>
      </w:r>
    </w:p>
    <w:p>
      <w:pPr>
        <w:spacing w:after="0" w:line="203" w:lineRule="exact"/>
        <w:rPr>
          <w:sz w:val="20"/>
          <w:szCs w:val="20"/>
          <w:color w:val="auto"/>
        </w:rPr>
      </w:pPr>
    </w:p>
    <w:p>
      <w:pPr>
        <w:spacing w:after="0"/>
        <w:tabs>
          <w:tab w:leader="none" w:pos="940" w:val="left"/>
          <w:tab w:leader="none" w:pos="66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960" w:right="33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filing is on behalf of Royce, RMC and Mr. Royce as</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members</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a group</w:t>
            </w:r>
          </w:p>
        </w:tc>
        <w:tc>
          <w:tcPr>
            <w:tcW w:w="5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pursuant to Rule 13d-(1)(b)(ii)(H).  Each of Royce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RMC</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are</w:t>
            </w:r>
          </w:p>
        </w:tc>
        <w:tc>
          <w:tcPr>
            <w:tcW w:w="64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investment advisers registered under Section 203 of the</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w:t>
            </w:r>
          </w:p>
        </w:tc>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Advisers Act of 1940.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Notice of</w:t>
            </w:r>
          </w:p>
        </w:tc>
        <w:tc>
          <w:tcPr>
            <w:tcW w:w="5600" w:type="dxa"/>
            <w:vAlign w:val="bottom"/>
            <w:gridSpan w:val="3"/>
          </w:tcPr>
          <w:p>
            <w:pPr>
              <w:spacing w:after="0"/>
              <w:rPr>
                <w:sz w:val="20"/>
                <w:szCs w:val="20"/>
                <w:color w:val="auto"/>
              </w:rPr>
            </w:pPr>
            <w:r>
              <w:rPr>
                <w:rFonts w:ascii="Courier New" w:cs="Courier New" w:eastAsia="Courier New" w:hAnsi="Courier New"/>
                <w:sz w:val="18"/>
                <w:szCs w:val="18"/>
                <w:color w:val="auto"/>
              </w:rPr>
              <w:t>Dissolution of Group.</w:t>
            </w:r>
          </w:p>
        </w:tc>
      </w:tr>
      <w:tr>
        <w:trPr>
          <w:trHeight w:val="203"/>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w w:val="96"/>
              </w:rPr>
              <w:t>CUSIP No. 420200107</w:t>
            </w:r>
          </w:p>
        </w:tc>
        <w:tc>
          <w:tcPr>
            <w:tcW w:w="28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140"/>
              <w:spacing w:after="0"/>
              <w:rPr>
                <w:sz w:val="20"/>
                <w:szCs w:val="20"/>
                <w:color w:val="auto"/>
              </w:rPr>
            </w:pPr>
            <w:r>
              <w:rPr>
                <w:rFonts w:ascii="Courier New" w:cs="Courier New" w:eastAsia="Courier New" w:hAnsi="Courier New"/>
                <w:sz w:val="18"/>
                <w:szCs w:val="18"/>
                <w:color w:val="auto"/>
              </w:rPr>
              <w:t>Page 7 of 8 Pages</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2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Certification.</w:t>
            </w:r>
          </w:p>
        </w:tc>
        <w:tc>
          <w:tcPr>
            <w:tcW w:w="4580" w:type="dxa"/>
            <w:vAlign w:val="bottom"/>
          </w:tcPr>
          <w:p>
            <w:pPr>
              <w:spacing w:after="0"/>
              <w:rPr>
                <w:sz w:val="24"/>
                <w:szCs w:val="24"/>
                <w:color w:val="auto"/>
              </w:rPr>
            </w:pPr>
          </w:p>
        </w:tc>
      </w:tr>
      <w:tr>
        <w:trPr>
          <w:trHeight w:val="405"/>
        </w:trPr>
        <w:tc>
          <w:tcPr>
            <w:tcW w:w="11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4"/>
              </w:rPr>
              <w:t>By signing</w:t>
            </w:r>
          </w:p>
        </w:tc>
        <w:tc>
          <w:tcPr>
            <w:tcW w:w="644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below each of the undersigned certifies that, to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best of</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its</w:t>
            </w:r>
          </w:p>
        </w:tc>
        <w:tc>
          <w:tcPr>
            <w:tcW w:w="1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knowledge</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belief, the securities referred to above were</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acquired in</w:t>
            </w:r>
          </w:p>
        </w:tc>
        <w:tc>
          <w:tcPr>
            <w:tcW w:w="64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the ordinary course of business and were not acquired for</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the purpose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and</w:t>
            </w:r>
          </w:p>
        </w:tc>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do</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not have the effect of changing or influencing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issuer</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such securities and were not acquired in</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connection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with or</w:t>
            </w:r>
          </w:p>
        </w:tc>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participant in any transaction having such</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effect.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80" w:type="dxa"/>
            <w:vAlign w:val="bottom"/>
          </w:tcPr>
          <w:p>
            <w:pPr>
              <w:spacing w:after="0"/>
              <w:rPr>
                <w:sz w:val="17"/>
                <w:szCs w:val="17"/>
                <w:color w:val="auto"/>
              </w:rPr>
            </w:pP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Exhibits 1. Agreement to file Schedule 13G jointly.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its knowledge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belief, each of the undersigned certifies that the information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statement with respect to it is true, complete and correct.</w:t>
      </w:r>
    </w:p>
    <w:p>
      <w:pPr>
        <w:sectPr>
          <w:pgSz w:w="11900" w:h="16838" w:orient="portrait"/>
          <w:cols w:equalWidth="0" w:num="1">
            <w:col w:w="10219"/>
          </w:cols>
          <w:pgMar w:left="240" w:top="339"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07, 2001</w:t>
      </w:r>
    </w:p>
    <w:p>
      <w:pPr>
        <w:spacing w:after="0" w:line="216" w:lineRule="exact"/>
        <w:rPr>
          <w:sz w:val="20"/>
          <w:szCs w:val="20"/>
          <w:color w:val="auto"/>
        </w:rPr>
      </w:pPr>
    </w:p>
    <w:p>
      <w:pPr>
        <w:sectPr>
          <w:pgSz w:w="11900" w:h="16838" w:orient="portrait"/>
          <w:cols w:equalWidth="0" w:num="2">
            <w:col w:w="540" w:space="420"/>
            <w:col w:w="9259"/>
          </w:cols>
          <w:pgMar w:left="240" w:top="33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&amp; Associates, Inc.</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W. Whitney George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John E. Denneen atty - in - 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pacing w:after="0" w:line="200" w:lineRule="exact"/>
        <w:rPr>
          <w:sz w:val="20"/>
          <w:szCs w:val="20"/>
          <w:color w:val="auto"/>
        </w:rPr>
      </w:pPr>
    </w:p>
    <w:p>
      <w:pPr>
        <w:sectPr>
          <w:pgSz w:w="11900" w:h="16838" w:orient="portrait"/>
          <w:cols w:equalWidth="0" w:num="2">
            <w:col w:w="3180" w:space="720"/>
            <w:col w:w="6319"/>
          </w:cols>
          <w:pgMar w:left="240" w:top="33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Royce Management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w:t>
      </w:r>
    </w:p>
    <w:p>
      <w:pPr>
        <w:ind w:left="320"/>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420200107</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 of 8 Pages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1</w:t>
      </w:r>
    </w:p>
    <w:p>
      <w:pPr>
        <w:ind w:left="640"/>
        <w:spacing w:after="0" w:line="238" w:lineRule="auto"/>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3">
            <w:col w:w="2000" w:space="320"/>
            <w:col w:w="320" w:space="520"/>
            <w:col w:w="7059"/>
          </w:cols>
          <w:pgMar w:left="240" w:top="339" w:right="1440" w:bottom="0" w:gutter="0" w:footer="0" w:header="0"/>
          <w:type w:val="continuous"/>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AGREEMENT dated as of February 07, 2001 between</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Royce &amp; Associates, Inc. ("Royce"), a New York corporation, Royce Management Company ("RMC"), a Connecticut general partnership, and Charles M. Royce.</w:t>
      </w:r>
    </w:p>
    <w:p>
      <w:pPr>
        <w:spacing w:after="0" w:line="209"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WHEREAS, pursuant to paragraph (f) of Rule 13d-1 promulgated under Subsection 13(d)(1) of the Securities Exchange Act of 1934, as amended (the "1934 Act"), the parties hereto have decided to satisfy their filing obligations under the 1934 Act by a single joint filing:</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undersigned hereby agree as follows:</w:t>
      </w:r>
    </w:p>
    <w:p>
      <w:pPr>
        <w:spacing w:after="0" w:line="201" w:lineRule="exact"/>
        <w:rPr>
          <w:sz w:val="20"/>
          <w:szCs w:val="20"/>
          <w:color w:val="auto"/>
        </w:rPr>
      </w:pPr>
    </w:p>
    <w:p>
      <w:pPr>
        <w:ind w:left="1160" w:hanging="625"/>
        <w:spacing w:after="0"/>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Schedule 13G with respect to Hawkins Chemical, Inc.</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to which this is attached as Exhibit 1 is filed on behalf of Royce, RMC and Mr. Royce.</w:t>
      </w:r>
    </w:p>
    <w:p>
      <w:pPr>
        <w:spacing w:after="0" w:line="208" w:lineRule="exact"/>
        <w:rPr>
          <w:sz w:val="20"/>
          <w:szCs w:val="20"/>
          <w:color w:val="auto"/>
        </w:rPr>
      </w:pPr>
    </w:p>
    <w:p>
      <w:pPr>
        <w:ind w:right="2739" w:firstLine="535"/>
        <w:spacing w:after="0" w:line="237" w:lineRule="auto"/>
        <w:tabs>
          <w:tab w:leader="none" w:pos="115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Royce, RMC and Mr. Royce is responsible for the completeness and accuracy of the information concerning such person contained therein; provided that each person is not responsible for the completeness or accuracy of the information concerning any other person making such filing.</w:t>
      </w:r>
    </w:p>
    <w:p>
      <w:pPr>
        <w:spacing w:after="0" w:line="200" w:lineRule="exact"/>
        <w:rPr>
          <w:sz w:val="20"/>
          <w:szCs w:val="20"/>
          <w:color w:val="auto"/>
        </w:rPr>
      </w:pPr>
    </w:p>
    <w:p>
      <w:pPr>
        <w:spacing w:after="0" w:line="211"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hereunto set their hands as of the date first above written.</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ROYCE &amp; ASSOCIATES,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W. Whitney George</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ROYCE MANAGEMENT COMPANY</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W. Whitney George</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John E. Denneen atty-in-fact</w:t>
      </w: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Charles</w:t>
      </w:r>
      <w:r>
        <w:rPr>
          <w:sz w:val="20"/>
          <w:szCs w:val="20"/>
          <w:color w:val="auto"/>
        </w:rPr>
        <w:tab/>
      </w:r>
      <w:r>
        <w:rPr>
          <w:rFonts w:ascii="Courier New" w:cs="Courier New" w:eastAsia="Courier New" w:hAnsi="Courier New"/>
          <w:sz w:val="16"/>
          <w:szCs w:val="16"/>
          <w:color w:val="auto"/>
        </w:rPr>
        <w:t>M. Royce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lvl w:ilvl="1">
      <w:lvlJc w:val="left"/>
      <w:lvlText w:val="(%2)"/>
      <w:numFmt w:val="lowerLetter"/>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1"/>
      <w:numFmt w:val="decimal"/>
      <w:start w:val="11"/>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2"/>
      <w:numFmt w:val="bullet"/>
      <w:start w:val="1"/>
    </w:lvl>
    <w:lvl w:ilvl="1">
      <w:lvlJc w:val="left"/>
      <w:lvlText w:val="(%2)"/>
      <w:numFmt w:val="lowerLetter"/>
      <w:start w:val="1"/>
    </w:lvl>
  </w:abstractNum>
  <w:abstractNum w:abstractNumId="7">
    <w:nsid w:val="1BEFD79F"/>
    <w:multiLevelType w:val="hybridMultilevel"/>
    <w:lvl w:ilvl="0">
      <w:lvlJc w:val="left"/>
      <w:lvlText w:val="3"/>
      <w:numFmt w:val="bullet"/>
      <w:start w:val="1"/>
    </w:lvl>
  </w:abstractNum>
  <w:abstractNum w:abstractNumId="8">
    <w:nsid w:val="41A7C4C9"/>
    <w:multiLevelType w:val="hybridMultilevel"/>
    <w:lvl w:ilvl="0">
      <w:lvlJc w:val="left"/>
      <w:lvlText w:val="4"/>
      <w:numFmt w:val="bullet"/>
      <w:start w:val="1"/>
    </w:lvl>
  </w:abstractNum>
  <w:abstractNum w:abstractNumId="9">
    <w:nsid w:val="6B68079A"/>
    <w:multiLevelType w:val="hybridMultilevel"/>
    <w:lvl w:ilvl="0">
      <w:lvlJc w:val="left"/>
      <w:lvlText w:val="9"/>
      <w:numFmt w:val="bullet"/>
      <w:start w:val="1"/>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bullet"/>
      <w:start w:val="1"/>
    </w:lvl>
  </w:abstractNum>
  <w:abstractNum w:abstractNumId="12">
    <w:nsid w:val="519B500D"/>
    <w:multiLevelType w:val="hybridMultilevel"/>
    <w:lvl w:ilvl="0">
      <w:lvlJc w:val="left"/>
      <w:lvlText w:val="2"/>
      <w:numFmt w:val="bullet"/>
      <w:start w:val="1"/>
    </w:lvl>
    <w:lvl w:ilvl="1">
      <w:lvlJc w:val="left"/>
      <w:lvlText w:val="(%2)"/>
      <w:numFmt w:val="lowerLetter"/>
      <w:start w:val="1"/>
    </w:lvl>
  </w:abstractNum>
  <w:abstractNum w:abstractNumId="13">
    <w:nsid w:val="431BD7B7"/>
    <w:multiLevelType w:val="hybridMultilevel"/>
    <w:lvl w:ilvl="0">
      <w:lvlJc w:val="left"/>
      <w:lvlText w:val="3"/>
      <w:numFmt w:val="bullet"/>
      <w:start w:val="1"/>
    </w:lvl>
  </w:abstractNum>
  <w:abstractNum w:abstractNumId="14">
    <w:nsid w:val="3F2DBA31"/>
    <w:multiLevelType w:val="hybridMultilevel"/>
    <w:lvl w:ilvl="0">
      <w:lvlJc w:val="left"/>
      <w:lvlText w:val="4"/>
      <w:numFmt w:val="bullet"/>
      <w:start w:val="1"/>
    </w:lvl>
  </w:abstractNum>
  <w:abstractNum w:abstractNumId="15">
    <w:nsid w:val="7C83E458"/>
    <w:multiLevelType w:val="hybridMultilevel"/>
    <w:lvl w:ilvl="0">
      <w:lvlJc w:val="left"/>
      <w:lvlText w:val="%1"/>
      <w:numFmt w:val="decimal"/>
      <w:start w:val="1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Roman"/>
      <w:start w:val="2"/>
    </w:lvl>
  </w:abstractNum>
  <w:abstractNum w:abstractNumId="19">
    <w:nsid w:val="628C895D"/>
    <w:multiLevelType w:val="hybridMultilevel"/>
    <w:lvl w:ilvl="0">
      <w:lvlJc w:val="left"/>
      <w:lvlText w:val="(%1)"/>
      <w:numFmt w:val="lowerRoman"/>
      <w:start w:val="4"/>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2019-12-11T18:06:27Z</dcterms:created>
  <dcterms:modified xsi:type="dcterms:W3CDTF">2019-12-11T18:06:27Z</dcterms:modified>
</cp:coreProperties>
</file>