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4"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14,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40"/>
          </w:cols>
          <w:pgMar w:left="240" w:top="1029" w:right="619" w:bottom="1440" w:gutter="0" w:footer="0" w:header="0"/>
        </w:sectPr>
      </w:pPr>
    </w:p>
    <w:p>
      <w:pPr>
        <w:spacing w:after="0" w:line="192" w:lineRule="exact"/>
        <w:rPr>
          <w:sz w:val="24"/>
          <w:szCs w:val="24"/>
          <w:color w:val="auto"/>
        </w:rPr>
      </w:pPr>
    </w:p>
    <w:p>
      <w:pPr>
        <w:ind w:left="1400"/>
        <w:spacing w:after="0"/>
        <w:rPr>
          <w:sz w:val="20"/>
          <w:szCs w:val="20"/>
          <w:color w:val="auto"/>
        </w:rPr>
      </w:pPr>
      <w:r>
        <w:rPr>
          <w:rFonts w:ascii="Arial" w:cs="Arial" w:eastAsia="Arial" w:hAnsi="Arial"/>
          <w:sz w:val="19"/>
          <w:szCs w:val="19"/>
          <w:b w:val="1"/>
          <w:bCs w:val="1"/>
          <w:color w:val="auto"/>
        </w:rPr>
        <w:t>Minnesota</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280"/>
        <w:spacing w:after="0"/>
        <w:rPr>
          <w:sz w:val="20"/>
          <w:szCs w:val="20"/>
          <w:color w:val="auto"/>
        </w:rPr>
      </w:pPr>
      <w:r>
        <w:rPr>
          <w:rFonts w:ascii="Arial" w:cs="Arial" w:eastAsia="Arial" w:hAnsi="Arial"/>
          <w:sz w:val="19"/>
          <w:szCs w:val="19"/>
          <w:b w:val="1"/>
          <w:bCs w:val="1"/>
          <w:color w:val="auto"/>
        </w:rPr>
        <w:t>0-7647</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59" w:lineRule="exact"/>
        <w:rPr>
          <w:sz w:val="24"/>
          <w:szCs w:val="24"/>
          <w:color w:val="auto"/>
        </w:rPr>
      </w:pPr>
    </w:p>
    <w:p>
      <w:pPr>
        <w:sectPr>
          <w:pgSz w:w="11900" w:h="16838" w:orient="portrait"/>
          <w:cols w:equalWidth="0" w:num="3">
            <w:col w:w="4700" w:space="720"/>
            <w:col w:w="2880" w:space="720"/>
            <w:col w:w="2020"/>
          </w:cols>
          <w:pgMar w:left="240" w:top="1029" w:right="619" w:bottom="1440" w:gutter="0" w:footer="0" w:header="0"/>
          <w:type w:val="continuous"/>
        </w:sectPr>
      </w:pPr>
    </w:p>
    <w:p>
      <w:pPr>
        <w:spacing w:after="0" w:line="3" w:lineRule="exact"/>
        <w:rPr>
          <w:sz w:val="24"/>
          <w:szCs w:val="24"/>
          <w:color w:val="auto"/>
        </w:rPr>
      </w:pPr>
    </w:p>
    <w:p>
      <w:pPr>
        <w:ind w:left="10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040" w:space="720"/>
            <w:col w:w="3400" w:space="720"/>
            <w:col w:w="2160"/>
          </w:cols>
          <w:pgMar w:left="240" w:top="1029" w:right="619" w:bottom="1440" w:gutter="0" w:footer="0" w:header="0"/>
          <w:type w:val="continuous"/>
        </w:sectPr>
      </w:pPr>
    </w:p>
    <w:p>
      <w:pPr>
        <w:spacing w:after="0" w:line="239" w:lineRule="exact"/>
        <w:rPr>
          <w:sz w:val="24"/>
          <w:szCs w:val="24"/>
          <w:color w:val="auto"/>
        </w:rPr>
      </w:pPr>
    </w:p>
    <w:p>
      <w:pPr>
        <w:jc w:val="center"/>
        <w:ind w:right="900"/>
        <w:spacing w:after="0"/>
        <w:rPr>
          <w:sz w:val="20"/>
          <w:szCs w:val="20"/>
          <w:color w:val="auto"/>
        </w:rPr>
      </w:pPr>
      <w:r>
        <w:rPr>
          <w:rFonts w:ascii="Arial" w:cs="Arial" w:eastAsia="Arial" w:hAnsi="Arial"/>
          <w:sz w:val="19"/>
          <w:szCs w:val="19"/>
          <w:b w:val="1"/>
          <w:bCs w:val="1"/>
          <w:color w:val="auto"/>
        </w:rPr>
        <w:t>3100 East Hennepin Ave.</w:t>
      </w:r>
    </w:p>
    <w:p>
      <w:pPr>
        <w:spacing w:after="0" w:line="49" w:lineRule="exact"/>
        <w:rPr>
          <w:sz w:val="24"/>
          <w:szCs w:val="24"/>
          <w:color w:val="auto"/>
        </w:rPr>
      </w:pPr>
    </w:p>
    <w:p>
      <w:pPr>
        <w:jc w:val="center"/>
        <w:ind w:right="900"/>
        <w:spacing w:after="0"/>
        <w:rPr>
          <w:sz w:val="20"/>
          <w:szCs w:val="20"/>
          <w:color w:val="auto"/>
        </w:rPr>
      </w:pPr>
      <w:r>
        <w:rPr>
          <w:rFonts w:ascii="Arial" w:cs="Arial" w:eastAsia="Arial" w:hAnsi="Arial"/>
          <w:sz w:val="22"/>
          <w:szCs w:val="22"/>
          <w:b w:val="1"/>
          <w:bCs w:val="1"/>
          <w:color w:val="auto"/>
        </w:rPr>
        <w:t>Minneapolis, 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55413</w:t>
      </w:r>
    </w:p>
    <w:p>
      <w:pPr>
        <w:spacing w:after="0" w:line="62" w:lineRule="exact"/>
        <w:rPr>
          <w:sz w:val="24"/>
          <w:szCs w:val="24"/>
          <w:color w:val="auto"/>
        </w:rPr>
      </w:pPr>
    </w:p>
    <w:p>
      <w:pPr>
        <w:sectPr>
          <w:pgSz w:w="11900" w:h="16838" w:orient="portrait"/>
          <w:cols w:equalWidth="0" w:num="2">
            <w:col w:w="8560" w:space="720"/>
            <w:col w:w="1760"/>
          </w:cols>
          <w:pgMar w:left="240" w:top="1029" w:right="619" w:bottom="1440" w:gutter="0" w:footer="0" w:header="0"/>
          <w:type w:val="continuous"/>
        </w:sectPr>
      </w:pPr>
    </w:p>
    <w:p>
      <w:pPr>
        <w:ind w:left="2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40" w:space="720"/>
            <w:col w:w="1880"/>
          </w:cols>
          <w:pgMar w:left="240" w:top="1029" w:right="619" w:bottom="1440" w:gutter="0" w:footer="0" w:header="0"/>
          <w:type w:val="continuous"/>
        </w:sectPr>
      </w:pPr>
    </w:p>
    <w:p>
      <w:pPr>
        <w:spacing w:after="0" w:line="233" w:lineRule="exact"/>
        <w:rPr>
          <w:sz w:val="24"/>
          <w:szCs w:val="24"/>
          <w:color w:val="auto"/>
        </w:rPr>
      </w:pPr>
    </w:p>
    <w:p>
      <w:pPr>
        <w:ind w:left="2620"/>
        <w:spacing w:after="0"/>
        <w:rPr>
          <w:sz w:val="20"/>
          <w:szCs w:val="20"/>
          <w:color w:val="auto"/>
        </w:rPr>
      </w:pPr>
      <w:r>
        <w:rPr>
          <w:rFonts w:ascii="Arial" w:cs="Arial" w:eastAsia="Arial" w:hAnsi="Arial"/>
          <w:sz w:val="19"/>
          <w:szCs w:val="19"/>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233045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(612) 331-6910</w:t>
      </w:r>
    </w:p>
    <w:p>
      <w:pPr>
        <w:spacing w:after="0" w:line="206" w:lineRule="exact"/>
        <w:rPr>
          <w:sz w:val="24"/>
          <w:szCs w:val="24"/>
          <w:color w:val="auto"/>
        </w:rPr>
      </w:pPr>
    </w:p>
    <w:p>
      <w:pPr>
        <w:sectPr>
          <w:pgSz w:w="11900" w:h="16838" w:orient="portrait"/>
          <w:cols w:equalWidth="0" w:num="2">
            <w:col w:w="7280" w:space="160"/>
            <w:col w:w="3600"/>
          </w:cols>
          <w:pgMar w:left="240" w:top="1029" w:right="619" w:bottom="1440" w:gutter="0" w:footer="0" w:header="0"/>
          <w:type w:val="continuous"/>
        </w:sectPr>
      </w:pPr>
    </w:p>
    <w:p>
      <w:pPr>
        <w:spacing w:after="0" w:line="284" w:lineRule="exact"/>
        <w:rPr>
          <w:sz w:val="24"/>
          <w:szCs w:val="24"/>
          <w:color w:val="auto"/>
        </w:rPr>
      </w:pPr>
    </w:p>
    <w:p>
      <w:pPr>
        <w:ind w:right="380"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20" w:hanging="28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288"/>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5" w:lineRule="exact"/>
        <w:rPr>
          <w:sz w:val="24"/>
          <w:szCs w:val="24"/>
          <w:color w:val="auto"/>
        </w:rPr>
      </w:pPr>
    </w:p>
    <w:p>
      <w:pPr>
        <w:ind w:firstLine="1027"/>
        <w:spacing w:after="0" w:line="268" w:lineRule="auto"/>
        <w:rPr>
          <w:sz w:val="20"/>
          <w:szCs w:val="20"/>
          <w:color w:val="auto"/>
        </w:rPr>
      </w:pPr>
      <w:r>
        <w:rPr>
          <w:rFonts w:ascii="Arial" w:cs="Arial" w:eastAsia="Arial" w:hAnsi="Arial"/>
          <w:sz w:val="18"/>
          <w:szCs w:val="18"/>
          <w:color w:val="auto"/>
        </w:rPr>
        <w:t>On June 14, 2007, Hawkins, Inc. issued a press release announcing financial results for its fiscal year ended April 1, 2007. A copy of the press release issued by the Registrant is furnished herewith as Exhibit 99 hereto and is incorporated herein by reference.</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140" w:hanging="88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Exhibit 99 – Press Release, dated June 14, 2007, announcing financial results of Hawkins, Inc. for its fiscal year ended April 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1292860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40"/>
          </w:cols>
          <w:pgMar w:left="240" w:top="1029" w:right="6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102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309" w:lineRule="exact"/>
        <w:rPr>
          <w:sz w:val="20"/>
          <w:szCs w:val="20"/>
          <w:color w:val="auto"/>
        </w:rPr>
      </w:pPr>
    </w:p>
    <w:p>
      <w:pPr>
        <w:spacing w:after="0"/>
        <w:tabs>
          <w:tab w:leader="none" w:pos="6680" w:val="left"/>
          <w:tab w:leader="none" w:pos="7980" w:val="left"/>
        </w:tabs>
        <w:rPr>
          <w:sz w:val="20"/>
          <w:szCs w:val="20"/>
          <w:color w:val="auto"/>
        </w:rPr>
      </w:pPr>
      <w:r>
        <w:rPr>
          <w:rFonts w:ascii="Arial" w:cs="Arial" w:eastAsia="Arial" w:hAnsi="Arial"/>
          <w:sz w:val="18"/>
          <w:szCs w:val="18"/>
          <w:color w:val="auto"/>
        </w:rPr>
        <w:t>Date: June 14,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10795</wp:posOffset>
            </wp:positionV>
            <wp:extent cx="2084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1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1137285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Contacts: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Marvin E. Dee</w:t>
      </w:r>
    </w:p>
    <w:p>
      <w:pPr>
        <w:spacing w:after="0" w:line="221" w:lineRule="auto"/>
        <w:rPr>
          <w:sz w:val="20"/>
          <w:szCs w:val="20"/>
          <w:color w:val="auto"/>
        </w:rPr>
      </w:pPr>
      <w:r>
        <w:rPr>
          <w:rFonts w:ascii="Arial" w:cs="Arial" w:eastAsia="Arial" w:hAnsi="Arial"/>
          <w:sz w:val="14"/>
          <w:szCs w:val="14"/>
          <w:color w:val="auto"/>
        </w:rPr>
        <w:t>Chief Financial Officer</w:t>
      </w:r>
    </w:p>
    <w:p>
      <w:pPr>
        <w:spacing w:after="0" w:line="228" w:lineRule="auto"/>
        <w:rPr>
          <w:sz w:val="20"/>
          <w:szCs w:val="20"/>
          <w:color w:val="auto"/>
        </w:rPr>
      </w:pPr>
      <w:r>
        <w:rPr>
          <w:rFonts w:ascii="Arial" w:cs="Arial" w:eastAsia="Arial" w:hAnsi="Arial"/>
          <w:sz w:val="14"/>
          <w:szCs w:val="14"/>
          <w:color w:val="auto"/>
        </w:rPr>
        <w:t>612/617-8571</w:t>
      </w:r>
    </w:p>
    <w:p>
      <w:pPr>
        <w:spacing w:after="0"/>
        <w:rPr>
          <w:sz w:val="20"/>
          <w:szCs w:val="20"/>
          <w:color w:val="auto"/>
        </w:rPr>
      </w:pPr>
      <w:r>
        <w:rPr>
          <w:rFonts w:ascii="Arial" w:cs="Arial" w:eastAsia="Arial" w:hAnsi="Arial"/>
          <w:sz w:val="18"/>
          <w:szCs w:val="18"/>
          <w:color w:val="auto"/>
        </w:rPr>
        <w:t>marvin.dee@HawkinsInc.com</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Jennifer A. Weichert</w:t>
      </w:r>
    </w:p>
    <w:p>
      <w:pPr>
        <w:spacing w:after="0" w:line="221" w:lineRule="auto"/>
        <w:rPr>
          <w:sz w:val="20"/>
          <w:szCs w:val="20"/>
          <w:color w:val="auto"/>
        </w:rPr>
      </w:pPr>
      <w:r>
        <w:rPr>
          <w:rFonts w:ascii="Arial" w:cs="Arial" w:eastAsia="Arial" w:hAnsi="Arial"/>
          <w:sz w:val="14"/>
          <w:szCs w:val="14"/>
          <w:color w:val="auto"/>
        </w:rPr>
        <w:t>Weichert Financial Relations, Inc.</w:t>
      </w:r>
    </w:p>
    <w:p>
      <w:pPr>
        <w:spacing w:after="0" w:line="228" w:lineRule="auto"/>
        <w:rPr>
          <w:sz w:val="20"/>
          <w:szCs w:val="20"/>
          <w:color w:val="auto"/>
        </w:rPr>
      </w:pPr>
      <w:r>
        <w:rPr>
          <w:rFonts w:ascii="Arial" w:cs="Arial" w:eastAsia="Arial" w:hAnsi="Arial"/>
          <w:sz w:val="14"/>
          <w:szCs w:val="14"/>
          <w:color w:val="auto"/>
        </w:rPr>
        <w:t>651/686-9751</w:t>
      </w:r>
    </w:p>
    <w:p>
      <w:pPr>
        <w:spacing w:after="0"/>
        <w:rPr>
          <w:sz w:val="20"/>
          <w:szCs w:val="20"/>
          <w:color w:val="auto"/>
        </w:rPr>
      </w:pPr>
      <w:r>
        <w:rPr>
          <w:rFonts w:ascii="Arial" w:cs="Arial" w:eastAsia="Arial" w:hAnsi="Arial"/>
          <w:sz w:val="18"/>
          <w:szCs w:val="18"/>
          <w:color w:val="auto"/>
        </w:rPr>
        <w:t>JWeichert@Comcast.net</w:t>
      </w:r>
    </w:p>
    <w:p>
      <w:pPr>
        <w:spacing w:after="0" w:line="260"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HAWKINS, INC. REPORTS</w:t>
      </w:r>
    </w:p>
    <w:p>
      <w:pPr>
        <w:spacing w:after="0" w:line="14"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RESULTS FOR FISCAL 2007</w:t>
      </w:r>
    </w:p>
    <w:p>
      <w:pPr>
        <w:spacing w:after="0" w:line="20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Minneapolis, MN, June 14, 2007 – Hawkins, Inc. (Nasdaq: HWKN) today announced sales for fiscal 2007 totaled $160.4 million, an increase of 11.9% over fiscal 2006 sales of $143.3 million. Net income for fiscal 2007 was $8.1 million, equal to $0.79 per share, compared with fiscal 2006 net income of $8.9 million and earnings per share of $0.87. Net income for fiscal 2006 benefited from a litigation settlement gain of approximately $650,000, or $0.06 per share.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For the fourth quarter ended April 1, 2007, Hawkins reported sales of $39.7 million, up 8.8% from the $36.5 million for the comparable period a year ago.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income for the fourth quarter of fiscal 2007 was $1.8 million, equal to earnings per share of $0.18, versus net income of $1.3 million, or earnings per share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$0.13, for the fourth quarter of fiscal 2006. The fourth quarter of fiscal 2007 was positively impacted by LIFO inventory adjustments resulting from fluctuations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cost and inventory levels of caustic soda combined with changes in product mix as compared to the prior year and an increase in interest income.</w:t>
      </w:r>
    </w:p>
    <w:p>
      <w:pPr>
        <w:spacing w:after="0" w:line="24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margin as a percent of sales for the year ended April 1, 2007 was consistent with the prior year at 23.2%. The previously announced FDA issues within the Pharmaceutical segment and changes in product mix within the Industrial and Water Treatment segments negatively impacted margins, which were offset by LIFO inventory adjustments noted above.</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Chief Executive Officer, John R. Hawkins, commented, “Hawkins experienced a nearly 12% increase in sales, which is indicative of the strength of our business. More specifically, the Water Treatment and Industrial segments grew 15.2% and 13.3%, respectively, driven by increased sales volumes and higher selling prices attributable to material cost increases.”</w:t>
      </w:r>
    </w:p>
    <w:p>
      <w:pPr>
        <w:spacing w:after="0" w:line="194"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“Bottom line results, however, continue to be under pressure. While gross margins remained consistent, selling, general and administrative expenses have increased. As noted in the third quarter, the launching of the Enterprise Resource Planning (ERP) system has added significant costs primarily related to consulting and contractor fees. These expenses are expected to gradually decrease during fiscal 2008 as the ERP system is fine tuned and becomes fully functional.” Hawkins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Hawkins completed the fiscal year ended April 1, 2007 with approximately $28.3 million in cash and marketable securities, and no debt.</w:t>
      </w:r>
    </w:p>
    <w:p>
      <w:pPr>
        <w:spacing w:after="0" w:line="22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Hawkins, Inc. provides a full range of bulk industrial products complemented with the technical competence and innovation to formulate and blend specialty chemicals. The Company sells and services related products and equipment to safely dispense chemicals in highly controlled environments.</w:t>
      </w:r>
    </w:p>
    <w:p>
      <w:pPr>
        <w:spacing w:after="0" w:line="1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Hawkins is headquartered in Minneapolis, Minnesota. The Company operates sixteen facilities in Iowa, Illinois, Minnesota, Montana, Nebraska, New Jersey, South and North Dakota and Wisconsin and services customers in Upper Michigan, Kansas and Wyoming as well.</w:t>
      </w:r>
    </w:p>
    <w:p>
      <w:pPr>
        <w:spacing w:after="0" w:line="184"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i w:val="1"/>
          <w:iCs w:val="1"/>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competition from other chemical companies, seasonality and weather conditions, costs and difficulties with our new enterprise resource planning system, the hazards of chemical manufacturing, natural disasters, downturns in our customers’ industries,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April 2, 2006, as updated by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1852295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Quarters Ended</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April 1,</w:t>
            </w: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April 2,</w:t>
            </w:r>
          </w:p>
        </w:tc>
        <w:tc>
          <w:tcPr>
            <w:tcW w:w="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April 1,</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39,705,074</w:t>
            </w:r>
          </w:p>
        </w:tc>
        <w:tc>
          <w:tcPr>
            <w:tcW w:w="44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0"/>
              </w:rPr>
              <w:t>36,480,489</w:t>
            </w: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160,405,080</w:t>
            </w: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3"/>
              </w:rPr>
              <w:t>143,331,250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31,459,035</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29,161,573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123,168,103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110,112,108</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8,246,039</w:t>
            </w:r>
          </w:p>
        </w:tc>
        <w:tc>
          <w:tcPr>
            <w:tcW w:w="4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7,318,916</w:t>
            </w: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37,236,977</w:t>
            </w: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33,219,142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3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6,136,878</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5,675,501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25,972,636</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21,513,444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Litigation settlement</w:t>
            </w:r>
          </w:p>
        </w:tc>
        <w:tc>
          <w:tcPr>
            <w:tcW w:w="220" w:type="dxa"/>
            <w:vAlign w:val="bottom"/>
            <w:shd w:val="clear" w:color="auto" w:fill="D6F3E8"/>
          </w:tcPr>
          <w:p>
            <w:pPr>
              <w:spacing w:after="0"/>
              <w:rPr>
                <w:sz w:val="21"/>
                <w:szCs w:val="21"/>
                <w:color w:val="auto"/>
              </w:rPr>
            </w:pPr>
          </w:p>
        </w:tc>
        <w:tc>
          <w:tcPr>
            <w:tcW w:w="900" w:type="dxa"/>
            <w:vAlign w:val="bottom"/>
            <w:shd w:val="clear" w:color="auto" w:fill="D6F3E8"/>
          </w:tcPr>
          <w:p>
            <w:pPr>
              <w:spacing w:after="0"/>
              <w:rPr>
                <w:sz w:val="21"/>
                <w:szCs w:val="21"/>
                <w:color w:val="auto"/>
              </w:rPr>
            </w:pPr>
          </w:p>
        </w:tc>
        <w:tc>
          <w:tcPr>
            <w:tcW w:w="44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840" w:type="dxa"/>
            <w:vAlign w:val="bottom"/>
            <w:shd w:val="clear" w:color="auto" w:fill="D6F3E8"/>
          </w:tcPr>
          <w:p>
            <w:pPr>
              <w:spacing w:after="0"/>
              <w:rPr>
                <w:sz w:val="21"/>
                <w:szCs w:val="21"/>
                <w:color w:val="auto"/>
              </w:rPr>
            </w:pPr>
          </w:p>
        </w:tc>
        <w:tc>
          <w:tcPr>
            <w:tcW w:w="44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960" w:type="dxa"/>
            <w:vAlign w:val="bottom"/>
            <w:shd w:val="clear" w:color="auto" w:fill="D6F3E8"/>
          </w:tcPr>
          <w:p>
            <w:pPr>
              <w:spacing w:after="0"/>
              <w:rPr>
                <w:sz w:val="21"/>
                <w:szCs w:val="21"/>
                <w:color w:val="auto"/>
              </w:rPr>
            </w:pPr>
          </w:p>
        </w:tc>
        <w:tc>
          <w:tcPr>
            <w:tcW w:w="44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(1,056,520)</w:t>
            </w:r>
          </w:p>
        </w:tc>
        <w:tc>
          <w:tcPr>
            <w:tcW w:w="0" w:type="dxa"/>
            <w:vAlign w:val="bottom"/>
          </w:tcPr>
          <w:p>
            <w:pPr>
              <w:spacing w:after="0"/>
              <w:rPr>
                <w:sz w:val="1"/>
                <w:szCs w:val="1"/>
                <w:color w:val="auto"/>
              </w:rPr>
            </w:pPr>
          </w:p>
        </w:tc>
      </w:tr>
      <w:tr>
        <w:trPr>
          <w:trHeight w:val="384"/>
        </w:trPr>
        <w:tc>
          <w:tcPr>
            <w:tcW w:w="53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2,109,161</w:t>
            </w:r>
          </w:p>
        </w:tc>
        <w:tc>
          <w:tcPr>
            <w:tcW w:w="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1,643,415</w:t>
            </w: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11,264,341</w:t>
            </w: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12,762,218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Investment income, net</w:t>
            </w:r>
          </w:p>
        </w:tc>
        <w:tc>
          <w:tcPr>
            <w:tcW w:w="220" w:type="dxa"/>
            <w:vAlign w:val="bottom"/>
            <w:tcBorders>
              <w:bottom w:val="single" w:sz="8" w:color="auto"/>
            </w:tcBorders>
            <w:shd w:val="clear" w:color="auto" w:fill="D6F3E8"/>
          </w:tcPr>
          <w:p>
            <w:pPr>
              <w:spacing w:after="0"/>
              <w:rPr>
                <w:sz w:val="19"/>
                <w:szCs w:val="19"/>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684,144</w:t>
            </w:r>
          </w:p>
        </w:tc>
        <w:tc>
          <w:tcPr>
            <w:tcW w:w="440" w:type="dxa"/>
            <w:vAlign w:val="bottom"/>
            <w:shd w:val="clear" w:color="auto" w:fill="D6F3E8"/>
          </w:tcPr>
          <w:p>
            <w:pPr>
              <w:spacing w:after="0"/>
              <w:rPr>
                <w:sz w:val="19"/>
                <w:szCs w:val="19"/>
                <w:color w:val="auto"/>
              </w:rPr>
            </w:pPr>
          </w:p>
        </w:tc>
        <w:tc>
          <w:tcPr>
            <w:tcW w:w="300" w:type="dxa"/>
            <w:vAlign w:val="bottom"/>
            <w:tcBorders>
              <w:bottom w:val="single" w:sz="8" w:color="auto"/>
            </w:tcBorders>
            <w:shd w:val="clear" w:color="auto" w:fill="D6F3E8"/>
          </w:tcPr>
          <w:p>
            <w:pPr>
              <w:spacing w:after="0"/>
              <w:rPr>
                <w:sz w:val="19"/>
                <w:szCs w:val="19"/>
                <w:color w:val="auto"/>
              </w:rPr>
            </w:pP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272,923</w:t>
            </w:r>
          </w:p>
        </w:tc>
        <w:tc>
          <w:tcPr>
            <w:tcW w:w="440" w:type="dxa"/>
            <w:vAlign w:val="bottom"/>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spacing w:after="0"/>
              <w:rPr>
                <w:sz w:val="19"/>
                <w:szCs w:val="19"/>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1,692,332</w:t>
            </w:r>
          </w:p>
        </w:tc>
        <w:tc>
          <w:tcPr>
            <w:tcW w:w="440" w:type="dxa"/>
            <w:vAlign w:val="bottom"/>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spacing w:after="0"/>
              <w:rPr>
                <w:sz w:val="19"/>
                <w:szCs w:val="19"/>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892,289</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53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2,793,305</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1,916,338</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12,956,673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13,654,507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D6F3E8"/>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D6F3E8"/>
          </w:tcPr>
          <w:p>
            <w:pPr>
              <w:spacing w:after="0"/>
              <w:rPr>
                <w:sz w:val="19"/>
                <w:szCs w:val="19"/>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984,790</w:t>
            </w:r>
          </w:p>
        </w:tc>
        <w:tc>
          <w:tcPr>
            <w:tcW w:w="440" w:type="dxa"/>
            <w:vAlign w:val="bottom"/>
            <w:shd w:val="clear" w:color="auto" w:fill="D6F3E8"/>
          </w:tcPr>
          <w:p>
            <w:pPr>
              <w:spacing w:after="0"/>
              <w:rPr>
                <w:sz w:val="19"/>
                <w:szCs w:val="19"/>
                <w:color w:val="auto"/>
              </w:rPr>
            </w:pPr>
          </w:p>
        </w:tc>
        <w:tc>
          <w:tcPr>
            <w:tcW w:w="300" w:type="dxa"/>
            <w:vAlign w:val="bottom"/>
            <w:tcBorders>
              <w:bottom w:val="single" w:sz="8" w:color="auto"/>
            </w:tcBorders>
            <w:shd w:val="clear" w:color="auto" w:fill="D6F3E8"/>
          </w:tcPr>
          <w:p>
            <w:pPr>
              <w:spacing w:after="0"/>
              <w:rPr>
                <w:sz w:val="19"/>
                <w:szCs w:val="19"/>
                <w:color w:val="auto"/>
              </w:rPr>
            </w:pP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607,854</w:t>
            </w:r>
          </w:p>
        </w:tc>
        <w:tc>
          <w:tcPr>
            <w:tcW w:w="440" w:type="dxa"/>
            <w:vAlign w:val="bottom"/>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spacing w:after="0"/>
              <w:rPr>
                <w:sz w:val="19"/>
                <w:szCs w:val="19"/>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4,887,790</w:t>
            </w:r>
          </w:p>
        </w:tc>
        <w:tc>
          <w:tcPr>
            <w:tcW w:w="440" w:type="dxa"/>
            <w:vAlign w:val="bottom"/>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spacing w:after="0"/>
              <w:rPr>
                <w:sz w:val="19"/>
                <w:szCs w:val="19"/>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4,768,354</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1,808,515</w:t>
            </w:r>
          </w:p>
        </w:tc>
        <w:tc>
          <w:tcPr>
            <w:tcW w:w="440" w:type="dxa"/>
            <w:vAlign w:val="bottom"/>
          </w:tcPr>
          <w:p>
            <w:pPr>
              <w:spacing w:after="0"/>
              <w:rPr>
                <w:sz w:val="24"/>
                <w:szCs w:val="24"/>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1,308,484</w:t>
            </w:r>
          </w:p>
        </w:tc>
        <w:tc>
          <w:tcPr>
            <w:tcW w:w="440" w:type="dxa"/>
            <w:vAlign w:val="bottom"/>
          </w:tcPr>
          <w:p>
            <w:pPr>
              <w:spacing w:after="0"/>
              <w:rPr>
                <w:sz w:val="24"/>
                <w:szCs w:val="24"/>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8,068,883</w:t>
            </w:r>
          </w:p>
        </w:tc>
        <w:tc>
          <w:tcPr>
            <w:tcW w:w="4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8,886,153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tcBorders>
              <w:bottom w:val="single" w:sz="8" w:color="auto"/>
            </w:tcBorders>
            <w:shd w:val="clear" w:color="auto" w:fill="D6F3E8"/>
          </w:tcPr>
          <w:p>
            <w:pPr>
              <w:spacing w:after="0"/>
              <w:rPr>
                <w:sz w:val="19"/>
                <w:szCs w:val="19"/>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7"/>
              </w:rPr>
              <w:t>10,171,496</w:t>
            </w:r>
          </w:p>
        </w:tc>
        <w:tc>
          <w:tcPr>
            <w:tcW w:w="440" w:type="dxa"/>
            <w:vAlign w:val="bottom"/>
            <w:tcBorders>
              <w:bottom w:val="single" w:sz="8" w:color="D6F3E8"/>
            </w:tcBorders>
            <w:shd w:val="clear" w:color="auto" w:fill="D6F3E8"/>
          </w:tcPr>
          <w:p>
            <w:pPr>
              <w:spacing w:after="0"/>
              <w:rPr>
                <w:sz w:val="19"/>
                <w:szCs w:val="19"/>
                <w:color w:val="auto"/>
              </w:rPr>
            </w:pPr>
          </w:p>
        </w:tc>
        <w:tc>
          <w:tcPr>
            <w:tcW w:w="300" w:type="dxa"/>
            <w:vAlign w:val="bottom"/>
            <w:tcBorders>
              <w:bottom w:val="single" w:sz="8" w:color="auto"/>
            </w:tcBorders>
            <w:shd w:val="clear" w:color="auto" w:fill="D6F3E8"/>
          </w:tcPr>
          <w:p>
            <w:pPr>
              <w:spacing w:after="0"/>
              <w:rPr>
                <w:sz w:val="19"/>
                <w:szCs w:val="19"/>
                <w:color w:val="auto"/>
              </w:rPr>
            </w:pP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0"/>
              </w:rPr>
              <w:t>10,171,496</w:t>
            </w:r>
          </w:p>
        </w:tc>
        <w:tc>
          <w:tcPr>
            <w:tcW w:w="440" w:type="dxa"/>
            <w:vAlign w:val="bottom"/>
            <w:tcBorders>
              <w:bottom w:val="single" w:sz="8" w:color="D6F3E8"/>
            </w:tcBorders>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spacing w:after="0"/>
              <w:rPr>
                <w:sz w:val="19"/>
                <w:szCs w:val="19"/>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10,171,496</w:t>
            </w:r>
          </w:p>
        </w:tc>
        <w:tc>
          <w:tcPr>
            <w:tcW w:w="440" w:type="dxa"/>
            <w:vAlign w:val="bottom"/>
            <w:tcBorders>
              <w:bottom w:val="single" w:sz="8" w:color="D6F3E8"/>
            </w:tcBorders>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spacing w:after="0"/>
              <w:rPr>
                <w:sz w:val="19"/>
                <w:szCs w:val="19"/>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10,199,194</w:t>
            </w:r>
          </w:p>
        </w:tc>
        <w:tc>
          <w:tcPr>
            <w:tcW w:w="220" w:type="dxa"/>
            <w:vAlign w:val="bottom"/>
            <w:tcBorders>
              <w:bottom w:val="single" w:sz="8" w:color="D6F3E8"/>
            </w:tcBorders>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10,180,040</w:t>
            </w: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10,171,496</w:t>
            </w:r>
          </w:p>
        </w:tc>
        <w:tc>
          <w:tcPr>
            <w:tcW w:w="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10,173,719</w:t>
            </w:r>
          </w:p>
        </w:tc>
        <w:tc>
          <w:tcPr>
            <w:tcW w:w="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10,211,834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Earnings per share - basic and diluted</w:t>
            </w:r>
          </w:p>
        </w:tc>
        <w:tc>
          <w:tcPr>
            <w:tcW w:w="220" w:type="dxa"/>
            <w:vAlign w:val="bottom"/>
            <w:tcBorders>
              <w:bottom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0.18</w:t>
            </w:r>
          </w:p>
        </w:tc>
        <w:tc>
          <w:tcPr>
            <w:tcW w:w="440" w:type="dxa"/>
            <w:vAlign w:val="bottom"/>
            <w:tcBorders>
              <w:bottom w:val="single" w:sz="8" w:color="D6F3E8"/>
            </w:tcBorders>
            <w:shd w:val="clear" w:color="auto" w:fill="D6F3E8"/>
          </w:tcPr>
          <w:p>
            <w:pPr>
              <w:spacing w:after="0"/>
              <w:rPr>
                <w:sz w:val="19"/>
                <w:szCs w:val="19"/>
                <w:color w:val="auto"/>
              </w:rPr>
            </w:pPr>
          </w:p>
        </w:tc>
        <w:tc>
          <w:tcPr>
            <w:tcW w:w="30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0.13</w:t>
            </w:r>
          </w:p>
        </w:tc>
        <w:tc>
          <w:tcPr>
            <w:tcW w:w="440" w:type="dxa"/>
            <w:vAlign w:val="bottom"/>
            <w:tcBorders>
              <w:bottom w:val="single" w:sz="8" w:color="D6F3E8"/>
            </w:tcBorders>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0.79</w:t>
            </w:r>
          </w:p>
        </w:tc>
        <w:tc>
          <w:tcPr>
            <w:tcW w:w="440" w:type="dxa"/>
            <w:vAlign w:val="bottom"/>
            <w:tcBorders>
              <w:bottom w:val="single" w:sz="8" w:color="D6F3E8"/>
            </w:tcBorders>
            <w:shd w:val="clear" w:color="auto" w:fill="D6F3E8"/>
          </w:tcPr>
          <w:p>
            <w:pPr>
              <w:spacing w:after="0"/>
              <w:rPr>
                <w:sz w:val="19"/>
                <w:szCs w:val="19"/>
                <w:color w:val="auto"/>
              </w:rPr>
            </w:pP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0.87</w:t>
            </w:r>
          </w:p>
        </w:tc>
        <w:tc>
          <w:tcPr>
            <w:tcW w:w="220" w:type="dxa"/>
            <w:vAlign w:val="bottom"/>
            <w:tcBorders>
              <w:bottom w:val="single" w:sz="8" w:color="D6F3E8"/>
            </w:tcBorders>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440" w:type="dxa"/>
            <w:vAlign w:val="bottom"/>
          </w:tcPr>
          <w:p>
            <w:pPr>
              <w:spacing w:after="0"/>
              <w:rPr>
                <w:sz w:val="24"/>
                <w:szCs w:val="24"/>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440" w:type="dxa"/>
            <w:vAlign w:val="bottom"/>
          </w:tcPr>
          <w:p>
            <w:pPr>
              <w:spacing w:after="0"/>
              <w:rPr>
                <w:sz w:val="24"/>
                <w:szCs w:val="24"/>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4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1120140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2019-12-13T01:50:03Z</dcterms:created>
  <dcterms:modified xsi:type="dcterms:W3CDTF">2019-12-13T01:50:03Z</dcterms:modified>
</cp:coreProperties>
</file>