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74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741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02/16/2012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9,333</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ind w:left="8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15.43</w:t>
            </w: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17,326</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02/16/2012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5,964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41.0916</w:t>
            </w:r>
            <w:r>
              <w:rPr>
                <w:rFonts w:ascii="Arial" w:cs="Arial" w:eastAsia="Arial" w:hAnsi="Arial"/>
                <w:sz w:val="22"/>
                <w:szCs w:val="22"/>
                <w:color w:val="008000"/>
                <w:w w:val="85"/>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11,362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02/17/2012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3,369</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Pr>
          <w:p>
            <w:pPr>
              <w:jc w:val="center"/>
              <w:ind w:left="8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41</w:t>
            </w: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8"/>
              </w:rPr>
              <w:t>7,993</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26,675</w:t>
            </w:r>
          </w:p>
        </w:tc>
        <w:tc>
          <w:tcPr>
            <w:tcW w:w="280" w:type="dxa"/>
            <w:vAlign w:val="bottom"/>
          </w:tcPr>
          <w:p>
            <w:pPr>
              <w:spacing w:after="0"/>
              <w:rPr>
                <w:sz w:val="18"/>
                <w:szCs w:val="18"/>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1"/>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9,333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15.43</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02/16/2012</w:t>
            </w:r>
          </w:p>
        </w:tc>
        <w:tc>
          <w:tcPr>
            <w:tcW w:w="1140" w:type="dxa"/>
            <w:vAlign w:val="bottom"/>
          </w:tcPr>
          <w:p>
            <w:pPr>
              <w:spacing w:after="0"/>
              <w:rPr>
                <w:sz w:val="11"/>
                <w:szCs w:val="11"/>
                <w:color w:val="auto"/>
              </w:rPr>
            </w:pPr>
          </w:p>
        </w:tc>
        <w:tc>
          <w:tcPr>
            <w:tcW w:w="440" w:type="dxa"/>
            <w:vAlign w:val="bottom"/>
          </w:tcPr>
          <w:p>
            <w:pPr>
              <w:jc w:val="right"/>
              <w:ind w:right="98"/>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720" w:type="dxa"/>
            <w:vAlign w:val="bottom"/>
          </w:tcPr>
          <w:p>
            <w:pPr>
              <w:ind w:left="360"/>
              <w:spacing w:after="0" w:line="133" w:lineRule="exact"/>
              <w:rPr>
                <w:sz w:val="20"/>
                <w:szCs w:val="20"/>
                <w:color w:val="auto"/>
              </w:rPr>
            </w:pPr>
            <w:r>
              <w:rPr>
                <w:rFonts w:ascii="Arial" w:cs="Arial" w:eastAsia="Arial" w:hAnsi="Arial"/>
                <w:sz w:val="14"/>
                <w:szCs w:val="14"/>
                <w:color w:val="0000FF"/>
                <w:w w:val="96"/>
              </w:rPr>
              <w:t>9,333</w:t>
            </w:r>
          </w:p>
        </w:tc>
        <w:tc>
          <w:tcPr>
            <w:tcW w:w="820" w:type="dxa"/>
            <w:vAlign w:val="bottom"/>
            <w:vMerge w:val="continue"/>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0000FF"/>
                <w:w w:val="85"/>
              </w:rPr>
              <w:t>05/13/2018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jc w:val="right"/>
              <w:ind w:right="159"/>
              <w:spacing w:after="0" w:line="13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5,964 shares of commmon stock of the Issuer sold by reporting person in multiple transactions on February 16, 2012 with the sales prices ranging from $41.00 to $41.62 per share. The reporting person undertakes to provide upon request by the U.S. Securities and Exchange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Fully vested.</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02/20/2012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2019-12-17T10:06:19Z</dcterms:created>
  <dcterms:modified xsi:type="dcterms:W3CDTF">2019-12-17T10:06:19Z</dcterms:modified>
</cp:coreProperties>
</file>