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June 6, 2011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333-123080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6500" w:type="dxa"/>
            <w:vAlign w:val="bottom"/>
          </w:tcPr>
          <w:p>
            <w:pPr>
              <w:jc w:val="center"/>
              <w:ind w:right="3530"/>
              <w:spacing w:after="0"/>
              <w:rPr>
                <w:sz w:val="20"/>
                <w:szCs w:val="20"/>
                <w:color w:val="auto"/>
              </w:rPr>
            </w:pPr>
            <w:r>
              <w:rPr>
                <w:rFonts w:ascii="Arial" w:cs="Arial" w:eastAsia="Arial" w:hAnsi="Arial"/>
                <w:sz w:val="18"/>
                <w:szCs w:val="18"/>
                <w:b w:val="1"/>
                <w:bCs w:val="1"/>
                <w:color w:val="auto"/>
                <w:w w:val="89"/>
              </w:rPr>
              <w:t>Minnesota</w:t>
            </w: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41-0771293</w:t>
            </w:r>
          </w:p>
        </w:tc>
      </w:tr>
      <w:tr>
        <w:trPr>
          <w:trHeight w:val="216"/>
        </w:trPr>
        <w:tc>
          <w:tcPr>
            <w:tcW w:w="6500" w:type="dxa"/>
            <w:vAlign w:val="bottom"/>
          </w:tcPr>
          <w:p>
            <w:pPr>
              <w:jc w:val="center"/>
              <w:ind w:right="3590"/>
              <w:spacing w:after="0"/>
              <w:rPr>
                <w:sz w:val="20"/>
                <w:szCs w:val="20"/>
                <w:color w:val="auto"/>
              </w:rPr>
            </w:pPr>
            <w:r>
              <w:rPr>
                <w:rFonts w:ascii="Arial" w:cs="Arial" w:eastAsia="Arial" w:hAnsi="Arial"/>
                <w:sz w:val="18"/>
                <w:szCs w:val="18"/>
                <w:color w:val="auto"/>
                <w:w w:val="93"/>
              </w:rPr>
              <w:t>(State or other jurisdiction of</w:t>
            </w:r>
          </w:p>
        </w:tc>
        <w:tc>
          <w:tcPr>
            <w:tcW w:w="1600" w:type="dxa"/>
            <w:vAlign w:val="bottom"/>
          </w:tcPr>
          <w:p>
            <w:pPr>
              <w:jc w:val="center"/>
              <w:ind w:left="170"/>
              <w:spacing w:after="0"/>
              <w:rPr>
                <w:sz w:val="20"/>
                <w:szCs w:val="20"/>
                <w:color w:val="auto"/>
              </w:rPr>
            </w:pPr>
            <w:r>
              <w:rPr>
                <w:rFonts w:ascii="Arial" w:cs="Arial" w:eastAsia="Arial" w:hAnsi="Arial"/>
                <w:sz w:val="18"/>
                <w:szCs w:val="18"/>
                <w:color w:val="auto"/>
                <w:w w:val="92"/>
              </w:rPr>
              <w:t>(I.R.S. Employer</w:t>
            </w:r>
          </w:p>
        </w:tc>
      </w:tr>
      <w:tr>
        <w:trPr>
          <w:trHeight w:val="230"/>
        </w:trPr>
        <w:tc>
          <w:tcPr>
            <w:tcW w:w="6500" w:type="dxa"/>
            <w:vAlign w:val="bottom"/>
          </w:tcPr>
          <w:p>
            <w:pPr>
              <w:jc w:val="center"/>
              <w:ind w:right="3530"/>
              <w:spacing w:after="0"/>
              <w:rPr>
                <w:sz w:val="20"/>
                <w:szCs w:val="20"/>
                <w:color w:val="auto"/>
              </w:rPr>
            </w:pPr>
            <w:r>
              <w:rPr>
                <w:rFonts w:ascii="Arial" w:cs="Arial" w:eastAsia="Arial" w:hAnsi="Arial"/>
                <w:sz w:val="18"/>
                <w:szCs w:val="18"/>
                <w:color w:val="auto"/>
                <w:w w:val="92"/>
              </w:rPr>
              <w:t>incorporation or organization)</w:t>
            </w:r>
          </w:p>
        </w:tc>
        <w:tc>
          <w:tcPr>
            <w:tcW w:w="1600" w:type="dxa"/>
            <w:vAlign w:val="bottom"/>
          </w:tcPr>
          <w:p>
            <w:pPr>
              <w:jc w:val="center"/>
              <w:ind w:left="1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0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3100 East Hennepin Avenue</w:t>
            </w:r>
          </w:p>
        </w:tc>
        <w:tc>
          <w:tcPr>
            <w:tcW w:w="1600" w:type="dxa"/>
            <w:vAlign w:val="bottom"/>
          </w:tcPr>
          <w:p>
            <w:pPr>
              <w:jc w:val="right"/>
              <w:ind w:right="350"/>
              <w:spacing w:after="0"/>
              <w:rPr>
                <w:sz w:val="20"/>
                <w:szCs w:val="20"/>
                <w:color w:val="auto"/>
              </w:rPr>
            </w:pPr>
            <w:r>
              <w:rPr>
                <w:rFonts w:ascii="Arial" w:cs="Arial" w:eastAsia="Arial" w:hAnsi="Arial"/>
                <w:sz w:val="18"/>
                <w:szCs w:val="18"/>
                <w:b w:val="1"/>
                <w:bCs w:val="1"/>
                <w:color w:val="auto"/>
              </w:rPr>
              <w:t>55413</w:t>
            </w:r>
          </w:p>
        </w:tc>
      </w:tr>
      <w:tr>
        <w:trPr>
          <w:trHeight w:val="220"/>
        </w:trPr>
        <w:tc>
          <w:tcPr>
            <w:tcW w:w="6500" w:type="dxa"/>
            <w:vAlign w:val="bottom"/>
          </w:tcPr>
          <w:p>
            <w:pPr>
              <w:jc w:val="center"/>
              <w:ind w:right="3530"/>
              <w:spacing w:after="0"/>
              <w:rPr>
                <w:sz w:val="20"/>
                <w:szCs w:val="20"/>
                <w:color w:val="auto"/>
              </w:rPr>
            </w:pPr>
            <w:r>
              <w:rPr>
                <w:rFonts w:ascii="Arial" w:cs="Arial" w:eastAsia="Arial" w:hAnsi="Arial"/>
                <w:sz w:val="18"/>
                <w:szCs w:val="18"/>
                <w:b w:val="1"/>
                <w:bCs w:val="1"/>
                <w:color w:val="auto"/>
                <w:w w:val="90"/>
              </w:rPr>
              <w:t>Minneapolis, Minnesota</w:t>
            </w:r>
          </w:p>
        </w:tc>
        <w:tc>
          <w:tcPr>
            <w:tcW w:w="1600" w:type="dxa"/>
            <w:vAlign w:val="bottom"/>
          </w:tcPr>
          <w:p>
            <w:pPr>
              <w:spacing w:after="0"/>
              <w:rPr>
                <w:sz w:val="19"/>
                <w:szCs w:val="19"/>
                <w:color w:val="auto"/>
              </w:rPr>
            </w:pPr>
          </w:p>
        </w:tc>
      </w:tr>
      <w:tr>
        <w:trPr>
          <w:trHeight w:val="230"/>
        </w:trPr>
        <w:tc>
          <w:tcPr>
            <w:tcW w:w="6500" w:type="dxa"/>
            <w:vAlign w:val="bottom"/>
          </w:tcPr>
          <w:p>
            <w:pPr>
              <w:jc w:val="center"/>
              <w:ind w:right="3550"/>
              <w:spacing w:after="0"/>
              <w:rPr>
                <w:sz w:val="20"/>
                <w:szCs w:val="20"/>
                <w:color w:val="auto"/>
              </w:rPr>
            </w:pPr>
            <w:r>
              <w:rPr>
                <w:rFonts w:ascii="Arial" w:cs="Arial" w:eastAsia="Arial" w:hAnsi="Arial"/>
                <w:sz w:val="18"/>
                <w:szCs w:val="18"/>
                <w:color w:val="auto"/>
                <w:w w:val="92"/>
              </w:rPr>
              <w:t>(Address of principal executive offices)</w:t>
            </w:r>
          </w:p>
        </w:tc>
        <w:tc>
          <w:tcPr>
            <w:tcW w:w="1600" w:type="dxa"/>
            <w:vAlign w:val="bottom"/>
          </w:tcPr>
          <w:p>
            <w:pPr>
              <w:jc w:val="center"/>
              <w:ind w:left="150"/>
              <w:spacing w:after="0"/>
              <w:rPr>
                <w:sz w:val="20"/>
                <w:szCs w:val="20"/>
                <w:color w:val="auto"/>
              </w:rPr>
            </w:pPr>
            <w:r>
              <w:rPr>
                <w:rFonts w:ascii="Arial" w:cs="Arial" w:eastAsia="Arial" w:hAnsi="Arial"/>
                <w:sz w:val="18"/>
                <w:szCs w:val="18"/>
                <w:color w:val="auto"/>
                <w:w w:val="94"/>
              </w:rPr>
              <w:t>(Zip Code)</w:t>
            </w:r>
          </w:p>
        </w:tc>
      </w:tr>
      <w:tr>
        <w:trPr>
          <w:trHeight w:val="310"/>
        </w:trPr>
        <w:tc>
          <w:tcPr>
            <w:tcW w:w="6500" w:type="dxa"/>
            <w:vAlign w:val="bottom"/>
          </w:tcPr>
          <w:p>
            <w:pPr>
              <w:jc w:val="center"/>
              <w:ind w:left="2270"/>
              <w:spacing w:after="0"/>
              <w:rPr>
                <w:sz w:val="20"/>
                <w:szCs w:val="20"/>
                <w:color w:val="auto"/>
              </w:rPr>
            </w:pPr>
            <w:r>
              <w:rPr>
                <w:rFonts w:ascii="Arial" w:cs="Arial" w:eastAsia="Arial" w:hAnsi="Arial"/>
                <w:sz w:val="18"/>
                <w:szCs w:val="18"/>
                <w:b w:val="1"/>
                <w:bCs w:val="1"/>
                <w:color w:val="auto"/>
                <w:w w:val="91"/>
              </w:rPr>
              <w:t>Hawkins, Inc. 2004 Omnibus Stock Plan</w:t>
            </w:r>
          </w:p>
        </w:tc>
        <w:tc>
          <w:tcPr>
            <w:tcW w:w="1600" w:type="dxa"/>
            <w:vAlign w:val="bottom"/>
          </w:tcPr>
          <w:p>
            <w:pPr>
              <w:spacing w:after="0"/>
              <w:rPr>
                <w:sz w:val="24"/>
                <w:szCs w:val="24"/>
                <w:color w:val="auto"/>
              </w:rPr>
            </w:pPr>
          </w:p>
        </w:tc>
      </w:tr>
      <w:tr>
        <w:trPr>
          <w:trHeight w:val="230"/>
        </w:trPr>
        <w:tc>
          <w:tcPr>
            <w:tcW w:w="6500" w:type="dxa"/>
            <w:vAlign w:val="bottom"/>
          </w:tcPr>
          <w:p>
            <w:pPr>
              <w:jc w:val="center"/>
              <w:ind w:left="2270"/>
              <w:spacing w:after="0"/>
              <w:rPr>
                <w:sz w:val="20"/>
                <w:szCs w:val="20"/>
                <w:color w:val="auto"/>
              </w:rPr>
            </w:pPr>
            <w:r>
              <w:rPr>
                <w:rFonts w:ascii="Arial" w:cs="Arial" w:eastAsia="Arial" w:hAnsi="Arial"/>
                <w:sz w:val="18"/>
                <w:szCs w:val="18"/>
                <w:color w:val="auto"/>
                <w:w w:val="94"/>
              </w:rPr>
              <w:t>(Full title of the plan)</w:t>
            </w:r>
          </w:p>
        </w:tc>
        <w:tc>
          <w:tcPr>
            <w:tcW w:w="1600" w:type="dxa"/>
            <w:vAlign w:val="bottom"/>
          </w:tcPr>
          <w:p>
            <w:pPr>
              <w:spacing w:after="0"/>
              <w:rPr>
                <w:sz w:val="20"/>
                <w:szCs w:val="20"/>
                <w:color w:val="auto"/>
              </w:rPr>
            </w:pPr>
          </w:p>
        </w:tc>
      </w:tr>
      <w:tr>
        <w:trPr>
          <w:trHeight w:val="414"/>
        </w:trPr>
        <w:tc>
          <w:tcPr>
            <w:tcW w:w="6500" w:type="dxa"/>
            <w:vAlign w:val="bottom"/>
          </w:tcPr>
          <w:p>
            <w:pPr>
              <w:jc w:val="center"/>
              <w:ind w:left="2270"/>
              <w:spacing w:after="0"/>
              <w:rPr>
                <w:sz w:val="20"/>
                <w:szCs w:val="20"/>
                <w:color w:val="auto"/>
              </w:rPr>
            </w:pPr>
            <w:r>
              <w:rPr>
                <w:rFonts w:ascii="Arial" w:cs="Arial" w:eastAsia="Arial" w:hAnsi="Arial"/>
                <w:sz w:val="18"/>
                <w:szCs w:val="18"/>
                <w:b w:val="1"/>
                <w:bCs w:val="1"/>
                <w:color w:val="auto"/>
                <w:w w:val="93"/>
              </w:rPr>
              <w:t>Richard G. Erstad</w:t>
            </w:r>
          </w:p>
        </w:tc>
        <w:tc>
          <w:tcPr>
            <w:tcW w:w="1600" w:type="dxa"/>
            <w:vAlign w:val="bottom"/>
          </w:tcPr>
          <w:p>
            <w:pPr>
              <w:spacing w:after="0"/>
              <w:rPr>
                <w:sz w:val="24"/>
                <w:szCs w:val="24"/>
                <w:color w:val="auto"/>
              </w:rPr>
            </w:pPr>
          </w:p>
        </w:tc>
      </w:tr>
      <w:tr>
        <w:trPr>
          <w:trHeight w:val="216"/>
        </w:trPr>
        <w:tc>
          <w:tcPr>
            <w:tcW w:w="6500" w:type="dxa"/>
            <w:vAlign w:val="bottom"/>
          </w:tcPr>
          <w:p>
            <w:pPr>
              <w:jc w:val="center"/>
              <w:ind w:left="2290"/>
              <w:spacing w:after="0"/>
              <w:rPr>
                <w:sz w:val="20"/>
                <w:szCs w:val="20"/>
                <w:color w:val="auto"/>
              </w:rPr>
            </w:pPr>
            <w:r>
              <w:rPr>
                <w:rFonts w:ascii="Arial" w:cs="Arial" w:eastAsia="Arial" w:hAnsi="Arial"/>
                <w:sz w:val="18"/>
                <w:szCs w:val="18"/>
                <w:b w:val="1"/>
                <w:bCs w:val="1"/>
                <w:color w:val="auto"/>
                <w:w w:val="89"/>
              </w:rPr>
              <w:t>Vice President, General Counsel and Secretary</w:t>
            </w:r>
          </w:p>
        </w:tc>
        <w:tc>
          <w:tcPr>
            <w:tcW w:w="1600" w:type="dxa"/>
            <w:vAlign w:val="bottom"/>
          </w:tcPr>
          <w:p>
            <w:pPr>
              <w:spacing w:after="0"/>
              <w:rPr>
                <w:sz w:val="18"/>
                <w:szCs w:val="18"/>
                <w:color w:val="auto"/>
              </w:rPr>
            </w:pPr>
          </w:p>
        </w:tc>
      </w:tr>
      <w:tr>
        <w:trPr>
          <w:trHeight w:val="216"/>
        </w:trPr>
        <w:tc>
          <w:tcPr>
            <w:tcW w:w="6500" w:type="dxa"/>
            <w:vAlign w:val="bottom"/>
          </w:tcPr>
          <w:p>
            <w:pPr>
              <w:jc w:val="center"/>
              <w:ind w:left="2270"/>
              <w:spacing w:after="0"/>
              <w:rPr>
                <w:sz w:val="20"/>
                <w:szCs w:val="20"/>
                <w:color w:val="auto"/>
              </w:rPr>
            </w:pPr>
            <w:r>
              <w:rPr>
                <w:rFonts w:ascii="Arial" w:cs="Arial" w:eastAsia="Arial" w:hAnsi="Arial"/>
                <w:sz w:val="18"/>
                <w:szCs w:val="18"/>
                <w:b w:val="1"/>
                <w:bCs w:val="1"/>
                <w:color w:val="auto"/>
                <w:w w:val="92"/>
              </w:rPr>
              <w:t>Hawkins, Inc.</w:t>
            </w:r>
          </w:p>
        </w:tc>
        <w:tc>
          <w:tcPr>
            <w:tcW w:w="1600" w:type="dxa"/>
            <w:vAlign w:val="bottom"/>
          </w:tcPr>
          <w:p>
            <w:pPr>
              <w:spacing w:after="0"/>
              <w:rPr>
                <w:sz w:val="18"/>
                <w:szCs w:val="18"/>
                <w:color w:val="auto"/>
              </w:rPr>
            </w:pPr>
          </w:p>
        </w:tc>
      </w:tr>
      <w:tr>
        <w:trPr>
          <w:trHeight w:val="216"/>
        </w:trPr>
        <w:tc>
          <w:tcPr>
            <w:tcW w:w="6500" w:type="dxa"/>
            <w:vAlign w:val="bottom"/>
          </w:tcPr>
          <w:p>
            <w:pPr>
              <w:jc w:val="center"/>
              <w:ind w:left="2290"/>
              <w:spacing w:after="0"/>
              <w:rPr>
                <w:sz w:val="20"/>
                <w:szCs w:val="20"/>
                <w:color w:val="auto"/>
              </w:rPr>
            </w:pPr>
            <w:r>
              <w:rPr>
                <w:rFonts w:ascii="Arial" w:cs="Arial" w:eastAsia="Arial" w:hAnsi="Arial"/>
                <w:sz w:val="18"/>
                <w:szCs w:val="18"/>
                <w:b w:val="1"/>
                <w:bCs w:val="1"/>
                <w:color w:val="auto"/>
                <w:w w:val="89"/>
              </w:rPr>
              <w:t>3100 East Hennepin Avenue</w:t>
            </w:r>
          </w:p>
        </w:tc>
        <w:tc>
          <w:tcPr>
            <w:tcW w:w="1600" w:type="dxa"/>
            <w:vAlign w:val="bottom"/>
          </w:tcPr>
          <w:p>
            <w:pPr>
              <w:spacing w:after="0"/>
              <w:rPr>
                <w:sz w:val="18"/>
                <w:szCs w:val="18"/>
                <w:color w:val="auto"/>
              </w:rPr>
            </w:pPr>
          </w:p>
        </w:tc>
      </w:tr>
      <w:tr>
        <w:trPr>
          <w:trHeight w:val="216"/>
        </w:trPr>
        <w:tc>
          <w:tcPr>
            <w:tcW w:w="6500" w:type="dxa"/>
            <w:vAlign w:val="bottom"/>
          </w:tcPr>
          <w:p>
            <w:pPr>
              <w:jc w:val="center"/>
              <w:ind w:left="2270"/>
              <w:spacing w:after="0"/>
              <w:rPr>
                <w:sz w:val="20"/>
                <w:szCs w:val="20"/>
                <w:color w:val="auto"/>
              </w:rPr>
            </w:pPr>
            <w:r>
              <w:rPr>
                <w:rFonts w:ascii="Arial" w:cs="Arial" w:eastAsia="Arial" w:hAnsi="Arial"/>
                <w:sz w:val="18"/>
                <w:szCs w:val="18"/>
                <w:b w:val="1"/>
                <w:bCs w:val="1"/>
                <w:color w:val="auto"/>
                <w:w w:val="90"/>
              </w:rPr>
              <w:t>Minneapolis, Minnesota 55413</w:t>
            </w:r>
          </w:p>
        </w:tc>
        <w:tc>
          <w:tcPr>
            <w:tcW w:w="1600" w:type="dxa"/>
            <w:vAlign w:val="bottom"/>
          </w:tcPr>
          <w:p>
            <w:pPr>
              <w:spacing w:after="0"/>
              <w:rPr>
                <w:sz w:val="18"/>
                <w:szCs w:val="18"/>
                <w:color w:val="auto"/>
              </w:rPr>
            </w:pPr>
          </w:p>
        </w:tc>
      </w:tr>
      <w:tr>
        <w:trPr>
          <w:trHeight w:val="234"/>
        </w:trPr>
        <w:tc>
          <w:tcPr>
            <w:tcW w:w="6500" w:type="dxa"/>
            <w:vAlign w:val="bottom"/>
          </w:tcPr>
          <w:p>
            <w:pPr>
              <w:jc w:val="center"/>
              <w:ind w:left="2270"/>
              <w:spacing w:after="0"/>
              <w:rPr>
                <w:sz w:val="20"/>
                <w:szCs w:val="20"/>
                <w:color w:val="auto"/>
              </w:rPr>
            </w:pPr>
            <w:r>
              <w:rPr>
                <w:rFonts w:ascii="Arial" w:cs="Arial" w:eastAsia="Arial" w:hAnsi="Arial"/>
                <w:sz w:val="18"/>
                <w:szCs w:val="18"/>
                <w:b w:val="1"/>
                <w:bCs w:val="1"/>
                <w:color w:val="auto"/>
                <w:w w:val="90"/>
              </w:rPr>
              <w:t>Telephone: (612) 331-6910</w:t>
            </w:r>
          </w:p>
        </w:tc>
        <w:tc>
          <w:tcPr>
            <w:tcW w:w="1600" w:type="dxa"/>
            <w:vAlign w:val="bottom"/>
          </w:tcPr>
          <w:p>
            <w:pPr>
              <w:spacing w:after="0"/>
              <w:rPr>
                <w:sz w:val="20"/>
                <w:szCs w:val="20"/>
                <w:color w:val="auto"/>
              </w:rPr>
            </w:pPr>
          </w:p>
        </w:tc>
      </w:tr>
    </w:tbl>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Steven C. Kennedy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Faegre &amp; Benson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2200 Wells Fargo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Minneapolis, Minnesota 55402-3901</w:t>
      </w:r>
    </w:p>
    <w:p>
      <w:pPr>
        <w:spacing w:after="0" w:line="10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30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236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420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2560" w:type="dxa"/>
            <w:vAlign w:val="bottom"/>
          </w:tcPr>
          <w:p>
            <w:pPr>
              <w:ind w:left="460"/>
              <w:spacing w:after="0"/>
              <w:rPr>
                <w:sz w:val="20"/>
                <w:szCs w:val="20"/>
                <w:color w:val="auto"/>
              </w:rPr>
            </w:pPr>
            <w:r>
              <w:rPr>
                <w:rFonts w:ascii="Arial" w:cs="Arial" w:eastAsia="Arial" w:hAnsi="Arial"/>
                <w:sz w:val="18"/>
                <w:szCs w:val="18"/>
                <w:color w:val="auto"/>
                <w:w w:val="90"/>
              </w:rPr>
              <w:t>Smaller reporting company o</w:t>
            </w:r>
          </w:p>
        </w:tc>
      </w:tr>
      <w:tr>
        <w:trPr>
          <w:trHeight w:val="230"/>
        </w:trPr>
        <w:tc>
          <w:tcPr>
            <w:tcW w:w="23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2560" w:type="dxa"/>
            <w:vAlign w:val="bottom"/>
          </w:tcPr>
          <w:p>
            <w:pPr>
              <w:spacing w:after="0"/>
              <w:rPr>
                <w:sz w:val="20"/>
                <w:szCs w:val="20"/>
                <w:color w:val="auto"/>
              </w:rPr>
            </w:pPr>
          </w:p>
        </w:tc>
      </w:tr>
      <w:tr>
        <w:trPr>
          <w:trHeight w:val="237"/>
        </w:trPr>
        <w:tc>
          <w:tcPr>
            <w:tcW w:w="2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r>
      <w:tr>
        <w:trPr>
          <w:trHeight w:val="631"/>
        </w:trPr>
        <w:tc>
          <w:tcPr>
            <w:tcW w:w="230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142240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Registrant is filing this Post-Effective Amendment No. 1 to Form S-8 to deregister certain securities originally registered by the Registrant pursuant to its registration statement on Form S-8 filed with the Securities and Exchange Commission (the “Commission”) on March 2, 2005 (Registration Statement No. 333-123080) (the “Prior Registration Statement”) with respect to shares of the Registrant’s common stock, par value $.05 per share (“Common Stock”), thereby registered for offer or sale pursuant to the Hawkins, Inc. 2004 Omnibus Stock Plan (the “2004 Plan”). The Registrant registered a total of 350,000 shares of Common Stock under to the Prior Registration Statement.</w:t>
      </w:r>
    </w:p>
    <w:p>
      <w:pPr>
        <w:spacing w:after="0" w:line="80"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Registrant has since adopted a new incentive plan, the Hawkins, Inc. 2010 Omnibus Incentive Plan (the “2010 Plan”), which replaces the 2004 Plan as of July 28, 2010, the date the Registrant’s shareholders approved the 2010 Plan. No future awards will be made under the 2004 Plan. According to the terms of the 2010 Plan, the 89,093 shares of Common Stock (the “Carryover Shares”) that remained available for grant under the 2004 Plan as of July 28, 2010 are available for issuance under the 2010 Plan. The Carryover Shares are hereby deregistered under the Prior Registration Statement.</w:t>
      </w:r>
    </w:p>
    <w:p>
      <w:pPr>
        <w:spacing w:after="0" w:line="46"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Contemporaneously with the filing of this Post Effective Amendment No. 1 to Form S-8 Registration Statement, the Registrant is filing a new Registration Statement on Form S-8 (the “New Registration Statement”) to register the shares of Common Stock now available for offer or sale pursuant to the 2010 Plan, including, but not limited to, the Carryover Shares. The registration fee paid for the Carryover Shares under the Prior Registration Statement shall be carried over to the New Registration Statement.</w:t>
      </w:r>
    </w:p>
    <w:p>
      <w:pPr>
        <w:spacing w:after="0" w:line="79"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Additional shares under the 2004 Plan may become available in the future due to awards made under the 2004 Plan that were outstanding on July 28, 2010 expiring or being forfeited, terminated, or settled in cash. From time to time, the Registrant may file additional post-effective amendments to the Prior Registration Statement to deregister and transfer such shares to the New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Registration Statement to be signed on its behalf by the undersigned, thereunto duly authorized, in the city of Minneapolis, State of Minnesota, on June 6, 2011.</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AWKINS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Patrick H. Hawkins</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-130175</wp:posOffset>
            </wp:positionV>
            <wp:extent cx="2684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(On behalf of the Registrant)</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Pursuant to the requirements of the Securities Act of 1933, this Post-Effective Amendment No. 1 to Registration Statement has been signed below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6, 2011 by the following persons in the capacities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Name</w:t>
            </w:r>
          </w:p>
        </w:tc>
        <w:tc>
          <w:tcPr>
            <w:tcW w:w="5200" w:type="dxa"/>
            <w:vAlign w:val="bottom"/>
          </w:tcPr>
          <w:p>
            <w:pPr>
              <w:ind w:left="1360"/>
              <w:spacing w:after="0"/>
              <w:rPr>
                <w:sz w:val="20"/>
                <w:szCs w:val="20"/>
                <w:color w:val="auto"/>
              </w:rPr>
            </w:pPr>
            <w:r>
              <w:rPr>
                <w:rFonts w:ascii="Arial" w:cs="Arial" w:eastAsia="Arial" w:hAnsi="Arial"/>
                <w:sz w:val="18"/>
                <w:szCs w:val="18"/>
                <w:color w:val="auto"/>
              </w:rPr>
              <w:t>Title</w:t>
            </w:r>
          </w:p>
        </w:tc>
      </w:tr>
      <w:tr>
        <w:trPr>
          <w:trHeight w:val="432"/>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H. Hawkins</w:t>
            </w:r>
          </w:p>
        </w:tc>
        <w:tc>
          <w:tcPr>
            <w:tcW w:w="5200" w:type="dxa"/>
            <w:vAlign w:val="bottom"/>
          </w:tcPr>
          <w:p>
            <w:pPr>
              <w:ind w:left="1360"/>
              <w:spacing w:after="0"/>
              <w:rPr>
                <w:sz w:val="20"/>
                <w:szCs w:val="20"/>
                <w:color w:val="auto"/>
              </w:rPr>
            </w:pPr>
            <w:r>
              <w:rPr>
                <w:rFonts w:ascii="Arial" w:cs="Arial" w:eastAsia="Arial" w:hAnsi="Arial"/>
                <w:sz w:val="18"/>
                <w:szCs w:val="18"/>
                <w:color w:val="auto"/>
              </w:rPr>
              <w:t>Chief Executive Officer, President and Director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Patrick H. Hawkins</w:t>
            </w:r>
          </w:p>
        </w:tc>
        <w:tc>
          <w:tcPr>
            <w:tcW w:w="5200" w:type="dxa"/>
            <w:vAlign w:val="bottom"/>
          </w:tcPr>
          <w:p>
            <w:pPr>
              <w:ind w:left="136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P. Pepski</w:t>
            </w:r>
          </w:p>
        </w:tc>
        <w:tc>
          <w:tcPr>
            <w:tcW w:w="5200" w:type="dxa"/>
            <w:vAlign w:val="bottom"/>
          </w:tcPr>
          <w:p>
            <w:pPr>
              <w:ind w:left="1360"/>
              <w:spacing w:after="0"/>
              <w:rPr>
                <w:sz w:val="20"/>
                <w:szCs w:val="20"/>
                <w:color w:val="auto"/>
              </w:rPr>
            </w:pPr>
            <w:r>
              <w:rPr>
                <w:rFonts w:ascii="Arial" w:cs="Arial" w:eastAsia="Arial" w:hAnsi="Arial"/>
                <w:sz w:val="18"/>
                <w:szCs w:val="18"/>
                <w:color w:val="auto"/>
                <w:w w:val="90"/>
              </w:rPr>
              <w:t>Vice President, Chief Financial Officer and Treasurer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Kathleen P. Pepski</w:t>
            </w:r>
          </w:p>
        </w:tc>
        <w:tc>
          <w:tcPr>
            <w:tcW w:w="5200" w:type="dxa"/>
            <w:vAlign w:val="bottom"/>
          </w:tcPr>
          <w:p>
            <w:pPr>
              <w:ind w:left="1360"/>
              <w:spacing w:after="0"/>
              <w:rPr>
                <w:sz w:val="20"/>
                <w:szCs w:val="20"/>
                <w:color w:val="auto"/>
              </w:rPr>
            </w:pPr>
            <w:r>
              <w:rPr>
                <w:rFonts w:ascii="Arial" w:cs="Arial" w:eastAsia="Arial" w:hAnsi="Arial"/>
                <w:sz w:val="18"/>
                <w:szCs w:val="18"/>
                <w:color w:val="auto"/>
              </w:rPr>
              <w:t>(Principal Financial Officer)</w:t>
            </w: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 McKeon</w:t>
            </w:r>
          </w:p>
        </w:tc>
        <w:tc>
          <w:tcPr>
            <w:tcW w:w="5200" w:type="dxa"/>
            <w:vAlign w:val="bottom"/>
          </w:tcPr>
          <w:p>
            <w:pPr>
              <w:ind w:left="1360"/>
              <w:spacing w:after="0"/>
              <w:rPr>
                <w:sz w:val="20"/>
                <w:szCs w:val="20"/>
                <w:color w:val="auto"/>
              </w:rPr>
            </w:pPr>
            <w:r>
              <w:rPr>
                <w:rFonts w:ascii="Arial" w:cs="Arial" w:eastAsia="Arial" w:hAnsi="Arial"/>
                <w:sz w:val="18"/>
                <w:szCs w:val="18"/>
                <w:color w:val="auto"/>
              </w:rPr>
              <w:t>Chairman of the Board and Director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John S. McKeon</w:t>
            </w:r>
          </w:p>
        </w:tc>
        <w:tc>
          <w:tcPr>
            <w:tcW w:w="520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Duane M. Jergenson</w:t>
            </w:r>
          </w:p>
        </w:tc>
        <w:tc>
          <w:tcPr>
            <w:tcW w:w="5200" w:type="dxa"/>
            <w:vAlign w:val="bottom"/>
          </w:tcPr>
          <w:p>
            <w:pPr>
              <w:ind w:left="136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Duane M. Jergenson</w:t>
            </w:r>
          </w:p>
        </w:tc>
        <w:tc>
          <w:tcPr>
            <w:tcW w:w="520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Daryl I. Skaar</w:t>
            </w:r>
          </w:p>
        </w:tc>
        <w:tc>
          <w:tcPr>
            <w:tcW w:w="5200" w:type="dxa"/>
            <w:vAlign w:val="bottom"/>
          </w:tcPr>
          <w:p>
            <w:pPr>
              <w:ind w:left="136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Daryl I. Skaar</w:t>
            </w:r>
          </w:p>
        </w:tc>
        <w:tc>
          <w:tcPr>
            <w:tcW w:w="520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Faulconbridge</w:t>
            </w:r>
          </w:p>
        </w:tc>
        <w:tc>
          <w:tcPr>
            <w:tcW w:w="5200" w:type="dxa"/>
            <w:vAlign w:val="bottom"/>
          </w:tcPr>
          <w:p>
            <w:pPr>
              <w:ind w:left="136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James A. Faulconbridge</w:t>
            </w:r>
          </w:p>
        </w:tc>
        <w:tc>
          <w:tcPr>
            <w:tcW w:w="520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T. Thompson</w:t>
            </w:r>
          </w:p>
        </w:tc>
        <w:tc>
          <w:tcPr>
            <w:tcW w:w="5200" w:type="dxa"/>
            <w:vAlign w:val="bottom"/>
          </w:tcPr>
          <w:p>
            <w:pPr>
              <w:ind w:left="136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James T. Thompson</w:t>
            </w:r>
          </w:p>
        </w:tc>
        <w:tc>
          <w:tcPr>
            <w:tcW w:w="520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L. Wright</w:t>
            </w:r>
          </w:p>
        </w:tc>
        <w:tc>
          <w:tcPr>
            <w:tcW w:w="5200" w:type="dxa"/>
            <w:vAlign w:val="bottom"/>
          </w:tcPr>
          <w:p>
            <w:pPr>
              <w:ind w:left="136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Jeffrey L. Wright</w:t>
            </w:r>
          </w:p>
        </w:tc>
        <w:tc>
          <w:tcPr>
            <w:tcW w:w="520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60"/>
      </w:cols>
      <w:pgMar w:left="240" w:top="419"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2019-12-10T00:11:47Z</dcterms:created>
  <dcterms:modified xsi:type="dcterms:W3CDTF">2019-12-10T00:11:47Z</dcterms:modified>
</cp:coreProperties>
</file>