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29"/>
                <w:szCs w:val="29"/>
                <w:b w:val="1"/>
                <w:bCs w:val="1"/>
                <w:color w:val="auto"/>
                <w:w w:val="97"/>
              </w:rPr>
              <w:t>UNITED STATES</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w w:val="99"/>
              </w:rPr>
              <w:t>WASHINGTON, D.C. 20549</w:t>
            </w:r>
          </w:p>
        </w:tc>
        <w:tc>
          <w:tcPr>
            <w:tcW w:w="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Borders>
              <w:bottom w:val="single" w:sz="8" w:color="auto"/>
            </w:tcBorders>
          </w:tcPr>
          <w:p>
            <w:pPr>
              <w:jc w:val="center"/>
              <w:ind w:left="634"/>
              <w:spacing w:after="0" w:line="331" w:lineRule="exact"/>
              <w:rPr>
                <w:sz w:val="20"/>
                <w:szCs w:val="20"/>
                <w:color w:val="auto"/>
              </w:rPr>
            </w:pPr>
            <w:r>
              <w:rPr>
                <w:rFonts w:ascii="Arial" w:cs="Arial" w:eastAsia="Arial" w:hAnsi="Arial"/>
                <w:sz w:val="29"/>
                <w:szCs w:val="29"/>
                <w:b w:val="1"/>
                <w:bCs w:val="1"/>
                <w:color w:val="auto"/>
                <w:w w:val="98"/>
              </w:rPr>
              <w:t>FORM 10-Q</w:t>
            </w:r>
          </w:p>
        </w:tc>
        <w:tc>
          <w:tcPr>
            <w:tcW w:w="7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492"/>
        </w:trPr>
        <w:tc>
          <w:tcPr>
            <w:tcW w:w="20" w:type="dxa"/>
            <w:vAlign w:val="bottom"/>
          </w:tcPr>
          <w:p>
            <w:pPr>
              <w:spacing w:after="0"/>
              <w:rPr>
                <w:sz w:val="24"/>
                <w:szCs w:val="24"/>
                <w:color w:val="auto"/>
              </w:rPr>
            </w:pPr>
          </w:p>
        </w:tc>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1"/>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37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32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9"/>
              </w:rPr>
              <w:t>For the quarterly period ended December 27, 2020</w:t>
            </w:r>
          </w:p>
        </w:tc>
      </w:tr>
      <w:tr>
        <w:trPr>
          <w:trHeight w:val="364"/>
        </w:trPr>
        <w:tc>
          <w:tcPr>
            <w:tcW w:w="20" w:type="dxa"/>
            <w:vAlign w:val="bottom"/>
          </w:tcPr>
          <w:p>
            <w:pPr>
              <w:spacing w:after="0"/>
              <w:rPr>
                <w:sz w:val="24"/>
                <w:szCs w:val="24"/>
                <w:color w:val="auto"/>
              </w:rPr>
            </w:pPr>
          </w:p>
        </w:tc>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rPr>
              <w:t>Commission file number 0-7647</w:t>
            </w:r>
          </w:p>
        </w:tc>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32"/>
                <w:szCs w:val="32"/>
                <w:b w:val="1"/>
                <w:bCs w:val="1"/>
                <w:color w:val="auto"/>
              </w:rPr>
              <w:t>HAWKINS, INC.</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r>
      <w:tr>
        <w:trPr>
          <w:trHeight w:val="493"/>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jc w:val="center"/>
              <w:ind w:right="3094"/>
              <w:spacing w:after="0"/>
              <w:rPr>
                <w:sz w:val="20"/>
                <w:szCs w:val="20"/>
                <w:color w:val="auto"/>
              </w:rPr>
            </w:pPr>
            <w:r>
              <w:rPr>
                <w:rFonts w:ascii="Arial" w:cs="Arial" w:eastAsia="Arial" w:hAnsi="Arial"/>
                <w:sz w:val="18"/>
                <w:szCs w:val="18"/>
                <w:b w:val="1"/>
                <w:bCs w:val="1"/>
                <w:color w:val="auto"/>
                <w:w w:val="98"/>
              </w:rPr>
              <w:t>Minnesota</w:t>
            </w:r>
          </w:p>
        </w:tc>
        <w:tc>
          <w:tcPr>
            <w:tcW w:w="362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8"/>
                <w:szCs w:val="18"/>
                <w:b w:val="1"/>
                <w:bCs w:val="1"/>
                <w:color w:val="auto"/>
                <w:w w:val="99"/>
              </w:rPr>
              <w:t>41-0771293</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40" w:type="dxa"/>
            <w:vAlign w:val="bottom"/>
            <w:gridSpan w:val="2"/>
          </w:tcPr>
          <w:p>
            <w:pPr>
              <w:jc w:val="center"/>
              <w:ind w:right="311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gridSpan w:val="2"/>
          </w:tcPr>
          <w:p>
            <w:pPr>
              <w:jc w:val="center"/>
              <w:ind w:right="1720"/>
              <w:spacing w:after="0" w:line="142"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40" w:type="dxa"/>
            <w:vAlign w:val="bottom"/>
            <w:gridSpan w:val="2"/>
          </w:tcPr>
          <w:p>
            <w:pPr>
              <w:jc w:val="center"/>
              <w:ind w:right="3114"/>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Identification No.)</w:t>
            </w:r>
          </w:p>
        </w:tc>
      </w:tr>
      <w:tr>
        <w:trPr>
          <w:trHeight w:val="53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2"/>
          </w:tcPr>
          <w:p>
            <w:pPr>
              <w:jc w:val="center"/>
              <w:ind w:right="1794"/>
              <w:spacing w:after="0"/>
              <w:rPr>
                <w:sz w:val="20"/>
                <w:szCs w:val="20"/>
                <w:color w:val="auto"/>
              </w:rPr>
            </w:pPr>
            <w:r>
              <w:rPr>
                <w:rFonts w:ascii="Arial" w:cs="Arial" w:eastAsia="Arial" w:hAnsi="Arial"/>
                <w:sz w:val="18"/>
                <w:szCs w:val="18"/>
                <w:b w:val="1"/>
                <w:bCs w:val="1"/>
                <w:color w:val="auto"/>
                <w:w w:val="99"/>
              </w:rPr>
              <w:t>2381 Rosegate, Roseville, Minnesota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40" w:type="dxa"/>
            <w:vAlign w:val="bottom"/>
            <w:gridSpan w:val="2"/>
          </w:tcPr>
          <w:p>
            <w:pPr>
              <w:jc w:val="center"/>
              <w:ind w:right="1774"/>
              <w:spacing w:after="0"/>
              <w:rPr>
                <w:sz w:val="20"/>
                <w:szCs w:val="20"/>
                <w:color w:val="auto"/>
              </w:rPr>
            </w:pPr>
            <w:r>
              <w:rPr>
                <w:rFonts w:ascii="Arial" w:cs="Arial" w:eastAsia="Arial" w:hAnsi="Arial"/>
                <w:sz w:val="14"/>
                <w:szCs w:val="14"/>
                <w:b w:val="1"/>
                <w:bCs w:val="1"/>
                <w:color w:val="auto"/>
              </w:rPr>
              <w:t>(Address of principal executive offices)</w:t>
            </w:r>
          </w:p>
        </w:tc>
        <w:tc>
          <w:tcPr>
            <w:tcW w:w="362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rPr>
              <w:t>(Zip code)</w:t>
            </w:r>
          </w:p>
        </w:tc>
      </w:tr>
      <w:tr>
        <w:trPr>
          <w:trHeight w:val="5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2"/>
          </w:tcPr>
          <w:p>
            <w:pPr>
              <w:jc w:val="center"/>
              <w:ind w:left="2388"/>
              <w:spacing w:after="0"/>
              <w:rPr>
                <w:sz w:val="20"/>
                <w:szCs w:val="20"/>
                <w:color w:val="auto"/>
              </w:rPr>
            </w:pPr>
            <w:r>
              <w:rPr>
                <w:rFonts w:ascii="Arial" w:cs="Arial" w:eastAsia="Arial" w:hAnsi="Arial"/>
                <w:sz w:val="18"/>
                <w:szCs w:val="18"/>
                <w:b w:val="1"/>
                <w:bCs w:val="1"/>
                <w:color w:val="auto"/>
              </w:rPr>
              <w:t>(612) 331-6910</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60" w:type="dxa"/>
            <w:vAlign w:val="bottom"/>
            <w:tcBorders>
              <w:bottom w:val="single" w:sz="8" w:color="auto"/>
            </w:tcBorders>
          </w:tcPr>
          <w:p>
            <w:pPr>
              <w:spacing w:after="0"/>
              <w:rPr>
                <w:sz w:val="16"/>
                <w:szCs w:val="16"/>
                <w:color w:val="auto"/>
              </w:rPr>
            </w:pPr>
          </w:p>
        </w:tc>
        <w:tc>
          <w:tcPr>
            <w:tcW w:w="2860" w:type="dxa"/>
            <w:vAlign w:val="bottom"/>
          </w:tcPr>
          <w:p>
            <w:pPr>
              <w:spacing w:after="0"/>
              <w:rPr>
                <w:sz w:val="16"/>
                <w:szCs w:val="16"/>
                <w:color w:val="auto"/>
              </w:rPr>
            </w:pPr>
          </w:p>
        </w:tc>
      </w:tr>
    </w:tbl>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338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5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38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300" w:type="dxa"/>
            <w:vAlign w:val="bottom"/>
          </w:tcPr>
          <w:p>
            <w:pPr>
              <w:jc w:val="center"/>
              <w:spacing w:after="0"/>
              <w:rPr>
                <w:sz w:val="20"/>
                <w:szCs w:val="20"/>
                <w:color w:val="auto"/>
              </w:rPr>
            </w:pPr>
            <w:r>
              <w:rPr>
                <w:rFonts w:ascii="Arial" w:cs="Arial" w:eastAsia="Arial" w:hAnsi="Arial"/>
                <w:sz w:val="16"/>
                <w:szCs w:val="16"/>
                <w:color w:val="auto"/>
              </w:rPr>
              <w:t>HWKN</w:t>
            </w:r>
          </w:p>
        </w:tc>
        <w:tc>
          <w:tcPr>
            <w:tcW w:w="452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167"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8"/>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8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2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44" w:lineRule="exact"/>
        <w:rPr>
          <w:sz w:val="24"/>
          <w:szCs w:val="24"/>
          <w:color w:val="auto"/>
        </w:rPr>
      </w:pPr>
    </w:p>
    <w:p>
      <w:pPr>
        <w:ind w:left="2680"/>
        <w:spacing w:after="0"/>
        <w:tabs>
          <w:tab w:leader="none" w:pos="6440" w:val="left"/>
        </w:tabs>
        <w:rPr>
          <w:sz w:val="20"/>
          <w:szCs w:val="20"/>
          <w:color w:val="auto"/>
        </w:rPr>
      </w:pPr>
      <w:r>
        <w:rPr>
          <w:rFonts w:ascii="Arial" w:cs="Arial" w:eastAsia="Arial" w:hAnsi="Arial"/>
          <w:sz w:val="14"/>
          <w:szCs w:val="14"/>
          <w:color w:val="auto"/>
        </w:rPr>
        <w:t>CLASS</w:t>
      </w:r>
      <w:r>
        <w:rPr>
          <w:sz w:val="20"/>
          <w:szCs w:val="20"/>
          <w:color w:val="auto"/>
        </w:rPr>
        <w:tab/>
      </w:r>
      <w:r>
        <w:rPr>
          <w:rFonts w:ascii="Arial" w:cs="Arial" w:eastAsia="Arial" w:hAnsi="Arial"/>
          <w:sz w:val="14"/>
          <w:szCs w:val="14"/>
          <w:color w:val="auto"/>
        </w:rPr>
        <w:t>Shares Outstanding at January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5940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p>
      <w:pPr>
        <w:spacing w:after="0" w:line="36" w:lineRule="exact"/>
        <w:rPr>
          <w:sz w:val="24"/>
          <w:szCs w:val="24"/>
          <w:color w:val="auto"/>
        </w:rPr>
      </w:pPr>
    </w:p>
    <w:p>
      <w:pPr>
        <w:ind w:left="1280"/>
        <w:spacing w:after="0"/>
        <w:tabs>
          <w:tab w:leader="none" w:pos="7280" w:val="left"/>
        </w:tabs>
        <w:rPr>
          <w:sz w:val="20"/>
          <w:szCs w:val="20"/>
          <w:color w:val="auto"/>
        </w:rPr>
      </w:pPr>
      <w:r>
        <w:rPr>
          <w:rFonts w:ascii="Arial" w:cs="Arial" w:eastAsia="Arial" w:hAnsi="Arial"/>
          <w:sz w:val="18"/>
          <w:szCs w:val="18"/>
          <w:color w:val="auto"/>
        </w:rPr>
        <w:t>Common Stock, par value $.05 per share</w:t>
      </w:r>
      <w:r>
        <w:rPr>
          <w:sz w:val="20"/>
          <w:szCs w:val="20"/>
          <w:color w:val="auto"/>
        </w:rPr>
        <w:tab/>
      </w:r>
      <w:r>
        <w:rPr>
          <w:rFonts w:ascii="Arial" w:cs="Arial" w:eastAsia="Arial" w:hAnsi="Arial"/>
          <w:sz w:val="17"/>
          <w:szCs w:val="17"/>
          <w:color w:val="auto"/>
        </w:rPr>
        <w:t>10,611,026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type w:val="continuous"/>
        </w:sectPr>
      </w:pPr>
    </w:p>
    <w:bookmarkStart w:id="1" w:name="page2"/>
    <w:bookmarkEnd w:id="1"/>
    <w:p>
      <w:pPr>
        <w:jc w:val="center"/>
        <w:ind w:right="-91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INDEX TO FORM 10-Q</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82"/>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10"/>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980" w:type="dxa"/>
            <w:vAlign w:val="bottom"/>
          </w:tcPr>
          <w:p>
            <w:pPr>
              <w:spacing w:after="0"/>
              <w:rPr>
                <w:sz w:val="24"/>
                <w:szCs w:val="24"/>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0"/>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980" w:type="dxa"/>
            <w:vAlign w:val="bottom"/>
          </w:tcPr>
          <w:p>
            <w:pPr>
              <w:spacing w:after="0"/>
              <w:rPr>
                <w:sz w:val="24"/>
                <w:szCs w:val="24"/>
                <w:color w:val="auto"/>
              </w:rPr>
            </w:pPr>
          </w:p>
        </w:tc>
      </w:tr>
      <w:tr>
        <w:trPr>
          <w:trHeight w:val="243"/>
        </w:trPr>
        <w:tc>
          <w:tcPr>
            <w:tcW w:w="1120" w:type="dxa"/>
            <w:vAlign w:val="bottom"/>
          </w:tcPr>
          <w:p>
            <w:pPr>
              <w:spacing w:after="0"/>
              <w:rPr>
                <w:sz w:val="21"/>
                <w:szCs w:val="21"/>
                <w:color w:val="auto"/>
              </w:rPr>
            </w:pPr>
          </w:p>
        </w:tc>
        <w:tc>
          <w:tcPr>
            <w:tcW w:w="8180" w:type="dxa"/>
            <w:vAlign w:val="bottom"/>
            <w:gridSpan w:val="1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–December </w:t>
              </w:r>
              <w:r>
                <w:rPr>
                  <w:rFonts w:ascii="Arial" w:cs="Arial" w:eastAsia="Arial" w:hAnsi="Arial"/>
                  <w:sz w:val="18"/>
                  <w:szCs w:val="18"/>
                  <w:u w:val="single" w:color="auto"/>
                  <w:color w:val="0000FF"/>
                </w:rPr>
                <w:t>27, 2020 and March 29, 2020</w:t>
              </w:r>
            </w:hyperlink>
          </w:p>
        </w:tc>
        <w:tc>
          <w:tcPr>
            <w:tcW w:w="9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0"/>
        </w:trPr>
        <w:tc>
          <w:tcPr>
            <w:tcW w:w="1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180" w:type="dxa"/>
            <w:vAlign w:val="bottom"/>
            <w:gridSpan w:val="1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 Three and </w:t>
              </w:r>
            </w:hyperlink>
            <w:r>
              <w:rPr>
                <w:rFonts w:ascii="Arial" w:cs="Arial" w:eastAsia="Arial" w:hAnsi="Arial"/>
                <w:sz w:val="18"/>
                <w:szCs w:val="18"/>
                <w:color w:val="0000FF"/>
              </w:rPr>
              <w:t xml:space="preserve">Nine </w:t>
            </w:r>
            <w:hyperlink w:anchor="page3">
              <w:r>
                <w:rPr>
                  <w:rFonts w:ascii="Arial" w:cs="Arial" w:eastAsia="Arial" w:hAnsi="Arial"/>
                  <w:sz w:val="18"/>
                  <w:szCs w:val="18"/>
                  <w:color w:val="0000FF"/>
                </w:rPr>
                <w:t>Months Ended December</w:t>
              </w:r>
            </w:hyperlink>
          </w:p>
        </w:tc>
        <w:tc>
          <w:tcPr>
            <w:tcW w:w="9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10"/>
        </w:trPr>
        <w:tc>
          <w:tcPr>
            <w:tcW w:w="1120" w:type="dxa"/>
            <w:vAlign w:val="bottom"/>
          </w:tcPr>
          <w:p>
            <w:pPr>
              <w:spacing w:after="0"/>
              <w:rPr>
                <w:sz w:val="18"/>
                <w:szCs w:val="18"/>
                <w:color w:val="auto"/>
              </w:rPr>
            </w:pPr>
          </w:p>
        </w:tc>
        <w:tc>
          <w:tcPr>
            <w:tcW w:w="736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27, 2020 and December 29, 2019</w:t>
              </w:r>
            </w:hyperlink>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818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Statements of Comprehensive Income – Three and</w:t>
              </w:r>
              <w:r>
                <w:rPr>
                  <w:rFonts w:ascii="Arial" w:cs="Arial" w:eastAsia="Arial" w:hAnsi="Arial"/>
                  <w:sz w:val="18"/>
                  <w:szCs w:val="18"/>
                  <w:color w:val="0000FF"/>
                </w:rPr>
                <w:t xml:space="preserve"> Nine Months</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156"/>
        </w:trPr>
        <w:tc>
          <w:tcPr>
            <w:tcW w:w="1120" w:type="dxa"/>
            <w:vAlign w:val="bottom"/>
          </w:tcPr>
          <w:p>
            <w:pPr>
              <w:spacing w:after="0"/>
              <w:rPr>
                <w:sz w:val="13"/>
                <w:szCs w:val="13"/>
                <w:color w:val="auto"/>
              </w:rPr>
            </w:pPr>
          </w:p>
        </w:tc>
        <w:tc>
          <w:tcPr>
            <w:tcW w:w="6160" w:type="dxa"/>
            <w:vAlign w:val="bottom"/>
            <w:gridSpan w:val="5"/>
          </w:tcPr>
          <w:p>
            <w:pPr>
              <w:spacing w:after="0" w:line="157"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Ended December </w:t>
              </w:r>
              <w:r>
                <w:rPr>
                  <w:rFonts w:ascii="Arial" w:cs="Arial" w:eastAsia="Arial" w:hAnsi="Arial"/>
                  <w:sz w:val="18"/>
                  <w:szCs w:val="18"/>
                  <w:u w:val="single" w:color="auto"/>
                  <w:color w:val="0000FF"/>
                </w:rPr>
                <w:t>27, 2020 and December 29, 2019</w:t>
              </w:r>
            </w:hyperlink>
          </w:p>
        </w:tc>
        <w:tc>
          <w:tcPr>
            <w:tcW w:w="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180" w:type="dxa"/>
            <w:vAlign w:val="bottom"/>
            <w:gridSpan w:val="10"/>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Shareholder’s Equity – Three and</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Nine </w:t>
            </w:r>
            <w:hyperlink w:anchor="page5">
              <w:r>
                <w:rPr>
                  <w:rFonts w:ascii="Arial" w:cs="Arial" w:eastAsia="Arial" w:hAnsi="Arial"/>
                  <w:sz w:val="18"/>
                  <w:szCs w:val="18"/>
                  <w:color w:val="0000FF"/>
                </w:rPr>
                <w:t>Months Ended</w:t>
              </w:r>
            </w:hyperlink>
          </w:p>
        </w:tc>
        <w:tc>
          <w:tcPr>
            <w:tcW w:w="9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197"/>
        </w:trPr>
        <w:tc>
          <w:tcPr>
            <w:tcW w:w="1120" w:type="dxa"/>
            <w:vAlign w:val="bottom"/>
          </w:tcPr>
          <w:p>
            <w:pPr>
              <w:spacing w:after="0"/>
              <w:rPr>
                <w:sz w:val="17"/>
                <w:szCs w:val="17"/>
                <w:color w:val="auto"/>
              </w:rPr>
            </w:pPr>
          </w:p>
        </w:tc>
        <w:tc>
          <w:tcPr>
            <w:tcW w:w="5980" w:type="dxa"/>
            <w:vAlign w:val="bottom"/>
            <w:gridSpan w:val="4"/>
          </w:tcPr>
          <w:p>
            <w:pPr>
              <w:spacing w:after="0" w:line="197"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 xml:space="preserve">December </w:t>
              </w:r>
            </w:hyperlink>
            <w:hyperlink w:anchor="page5">
              <w:r>
                <w:rPr>
                  <w:rFonts w:ascii="Arial" w:cs="Arial" w:eastAsia="Arial" w:hAnsi="Arial"/>
                  <w:sz w:val="18"/>
                  <w:szCs w:val="18"/>
                  <w:u w:val="single" w:color="auto"/>
                  <w:color w:val="0000FF"/>
                </w:rPr>
                <w:t xml:space="preserve">27, 2020 and </w:t>
              </w:r>
            </w:hyperlink>
            <w:hyperlink w:anchor="page4">
              <w:r>
                <w:rPr>
                  <w:rFonts w:ascii="Arial" w:cs="Arial" w:eastAsia="Arial" w:hAnsi="Arial"/>
                  <w:sz w:val="18"/>
                  <w:szCs w:val="18"/>
                  <w:u w:val="single" w:color="auto"/>
                  <w:color w:val="0000FF"/>
                </w:rPr>
                <w:t xml:space="preserve">December </w:t>
              </w:r>
            </w:hyperlink>
            <w:hyperlink w:anchor="page5">
              <w:r>
                <w:rPr>
                  <w:rFonts w:ascii="Arial" w:cs="Arial" w:eastAsia="Arial" w:hAnsi="Arial"/>
                  <w:sz w:val="18"/>
                  <w:szCs w:val="18"/>
                  <w:u w:val="single" w:color="auto"/>
                  <w:color w:val="0000FF"/>
                </w:rPr>
                <w:t>29, 2019</w:t>
              </w:r>
            </w:hyperlink>
          </w:p>
        </w:tc>
        <w:tc>
          <w:tcPr>
            <w:tcW w:w="1160" w:type="dxa"/>
            <w:vAlign w:val="bottom"/>
            <w:tcBorders>
              <w:top w:val="single" w:sz="8" w:color="0000FF"/>
            </w:tcBorders>
            <w:gridSpan w:val="2"/>
          </w:tcPr>
          <w:p>
            <w:pPr>
              <w:spacing w:after="0"/>
              <w:rPr>
                <w:sz w:val="17"/>
                <w:szCs w:val="17"/>
                <w:color w:val="auto"/>
              </w:rPr>
            </w:pPr>
          </w:p>
        </w:tc>
        <w:tc>
          <w:tcPr>
            <w:tcW w:w="420" w:type="dxa"/>
            <w:vAlign w:val="bottom"/>
            <w:tcBorders>
              <w:top w:val="single" w:sz="8" w:color="0000FF"/>
            </w:tcBorders>
            <w:gridSpan w:val="3"/>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1120" w:type="dxa"/>
            <w:vAlign w:val="bottom"/>
          </w:tcPr>
          <w:p>
            <w:pPr>
              <w:spacing w:after="0"/>
              <w:rPr>
                <w:sz w:val="21"/>
                <w:szCs w:val="21"/>
                <w:color w:val="auto"/>
              </w:rPr>
            </w:pPr>
          </w:p>
        </w:tc>
        <w:tc>
          <w:tcPr>
            <w:tcW w:w="818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 Nine Months Ended December 27,</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156"/>
        </w:trPr>
        <w:tc>
          <w:tcPr>
            <w:tcW w:w="1120" w:type="dxa"/>
            <w:vAlign w:val="bottom"/>
          </w:tcPr>
          <w:p>
            <w:pPr>
              <w:spacing w:after="0"/>
              <w:rPr>
                <w:sz w:val="13"/>
                <w:szCs w:val="13"/>
                <w:color w:val="auto"/>
              </w:rPr>
            </w:pPr>
          </w:p>
        </w:tc>
        <w:tc>
          <w:tcPr>
            <w:tcW w:w="71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2020 and </w:t>
              </w:r>
            </w:hyperlink>
            <w:hyperlink w:anchor="page4">
              <w:r>
                <w:rPr>
                  <w:rFonts w:ascii="Arial" w:cs="Arial" w:eastAsia="Arial" w:hAnsi="Arial"/>
                  <w:sz w:val="18"/>
                  <w:szCs w:val="18"/>
                  <w:color w:val="0000FF"/>
                </w:rPr>
                <w:t xml:space="preserve">December </w:t>
              </w:r>
            </w:hyperlink>
            <w:hyperlink w:anchor="page6">
              <w:r>
                <w:rPr>
                  <w:rFonts w:ascii="Arial" w:cs="Arial" w:eastAsia="Arial" w:hAnsi="Arial"/>
                  <w:sz w:val="18"/>
                  <w:szCs w:val="18"/>
                  <w:u w:val="single" w:color="auto"/>
                  <w:color w:val="0000FF"/>
                </w:rPr>
                <w:t>29, 2019</w:t>
              </w:r>
            </w:hyperlink>
          </w:p>
        </w:tc>
        <w:tc>
          <w:tcPr>
            <w:tcW w:w="104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8180" w:type="dxa"/>
            <w:vAlign w:val="bottom"/>
            <w:gridSpan w:val="10"/>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0"/>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14</w:t>
              </w:r>
            </w:hyperlink>
          </w:p>
        </w:tc>
      </w:tr>
      <w:tr>
        <w:trPr>
          <w:trHeight w:val="28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8180" w:type="dxa"/>
            <w:vAlign w:val="bottom"/>
            <w:gridSpan w:val="10"/>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8180" w:type="dxa"/>
            <w:vAlign w:val="bottom"/>
            <w:gridSpan w:val="10"/>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180" w:type="dxa"/>
            <w:vAlign w:val="bottom"/>
            <w:gridSpan w:val="10"/>
          </w:tcPr>
          <w:p>
            <w:pPr>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OTHER INFORMATION</w:t>
              </w:r>
            </w:hyperlink>
          </w:p>
        </w:tc>
        <w:tc>
          <w:tcPr>
            <w:tcW w:w="980" w:type="dxa"/>
            <w:vAlign w:val="bottom"/>
          </w:tcPr>
          <w:p>
            <w:pPr>
              <w:spacing w:after="0"/>
              <w:rPr>
                <w:sz w:val="24"/>
                <w:szCs w:val="24"/>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8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Defaults Upon Senior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8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8180" w:type="dxa"/>
            <w:vAlign w:val="bottom"/>
            <w:gridSpan w:val="10"/>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40" w:top="886" w:right="1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27,</w:t>
            </w:r>
          </w:p>
        </w:tc>
        <w:tc>
          <w:tcPr>
            <w:tcW w:w="2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15"/>
        </w:trPr>
        <w:tc>
          <w:tcPr>
            <w:tcW w:w="8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Trade receivables — less allowance for doubtful accounts: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$549 as of December 27, 2020 and $784 as of March 29, 2020</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67,391</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64,657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54,436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131,031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267,221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140,877</w:t>
            </w:r>
          </w:p>
        </w:tc>
        <w:tc>
          <w:tcPr>
            <w:tcW w:w="0" w:type="dxa"/>
            <w:vAlign w:val="bottom"/>
          </w:tcPr>
          <w:p>
            <w:pPr>
              <w:spacing w:after="0"/>
              <w:rPr>
                <w:sz w:val="1"/>
                <w:szCs w:val="1"/>
                <w:color w:val="auto"/>
              </w:rPr>
            </w:pPr>
          </w:p>
        </w:tc>
      </w:tr>
      <w:tr>
        <w:trPr>
          <w:trHeight w:val="206"/>
        </w:trPr>
        <w:tc>
          <w:tcPr>
            <w:tcW w:w="8200" w:type="dxa"/>
            <w:vAlign w:val="bottom"/>
          </w:tcPr>
          <w:p>
            <w:pPr>
              <w:ind w:left="780"/>
              <w:spacing w:after="0"/>
              <w:rPr>
                <w:sz w:val="20"/>
                <w:szCs w:val="20"/>
                <w:color w:val="auto"/>
              </w:rPr>
            </w:pPr>
            <w:r>
              <w:rPr>
                <w:rFonts w:ascii="Arial" w:cs="Arial" w:eastAsia="Arial" w:hAnsi="Arial"/>
                <w:sz w:val="16"/>
                <w:szCs w:val="16"/>
                <w:color w:val="auto"/>
              </w:rPr>
              <w:t>Net property, plant, and equipment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138,923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126,344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Right-of-use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9,090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69,726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60,653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06"/>
        </w:trPr>
        <w:tc>
          <w:tcPr>
            <w:tcW w:w="82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151,613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131,953</w:t>
            </w:r>
          </w:p>
        </w:tc>
        <w:tc>
          <w:tcPr>
            <w:tcW w:w="0" w:type="dxa"/>
            <w:vAlign w:val="bottom"/>
          </w:tcPr>
          <w:p>
            <w:pPr>
              <w:spacing w:after="0"/>
              <w:rPr>
                <w:sz w:val="1"/>
                <w:szCs w:val="1"/>
                <w:color w:val="auto"/>
              </w:rPr>
            </w:pPr>
          </w:p>
        </w:tc>
      </w:tr>
      <w:tr>
        <w:trPr>
          <w:trHeight w:val="235"/>
        </w:trPr>
        <w:tc>
          <w:tcPr>
            <w:tcW w:w="8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31,160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34,129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payroll and employee benefits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Container deposits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206"/>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59,032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62,220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7,649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25,106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155,844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0" w:type="dxa"/>
            <w:vAlign w:val="bottom"/>
          </w:tcPr>
          <w:p>
            <w:pPr>
              <w:ind w:left="340"/>
              <w:spacing w:after="0" w:line="178" w:lineRule="exact"/>
              <w:rPr>
                <w:sz w:val="20"/>
                <w:szCs w:val="20"/>
                <w:color w:val="auto"/>
              </w:rPr>
            </w:pPr>
            <w:r>
              <w:rPr>
                <w:rFonts w:ascii="Arial" w:cs="Arial" w:eastAsia="Arial" w:hAnsi="Arial"/>
                <w:sz w:val="16"/>
                <w:szCs w:val="16"/>
                <w:color w:val="auto"/>
              </w:rPr>
              <w:t>Common stock; authorized: 30,000,000 shares of $0.05 par value; 10,462,159 and 10,512,229 shares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00" w:type="dxa"/>
            <w:vAlign w:val="bottom"/>
          </w:tcPr>
          <w:p>
            <w:pPr>
              <w:ind w:left="340"/>
              <w:spacing w:after="0"/>
              <w:rPr>
                <w:sz w:val="20"/>
                <w:szCs w:val="20"/>
                <w:color w:val="auto"/>
              </w:rPr>
            </w:pPr>
            <w:r>
              <w:rPr>
                <w:rFonts w:ascii="Arial" w:cs="Arial" w:eastAsia="Arial" w:hAnsi="Arial"/>
                <w:sz w:val="16"/>
                <w:szCs w:val="16"/>
                <w:color w:val="auto"/>
              </w:rPr>
              <w:t>issued and outstanding as of December 27, 2020 and March 29, 2020, respectively</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182,947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6"/>
        </w:trPr>
        <w:tc>
          <w:tcPr>
            <w:tcW w:w="82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256,914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35"/>
        </w:trPr>
        <w:tc>
          <w:tcPr>
            <w:tcW w:w="8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r>
      <w:tr>
        <w:trPr>
          <w:trHeight w:val="145"/>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2"/>
                <w:szCs w:val="12"/>
                <w:color w:val="auto"/>
              </w:rPr>
            </w:pPr>
          </w:p>
        </w:tc>
        <w:tc>
          <w:tcPr>
            <w:tcW w:w="12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180" w:type="dxa"/>
            <w:vAlign w:val="bottom"/>
          </w:tcPr>
          <w:p>
            <w:pPr>
              <w:jc w:val="right"/>
              <w:ind w:right="112"/>
              <w:spacing w:after="0" w:line="145" w:lineRule="exact"/>
              <w:rPr>
                <w:sz w:val="20"/>
                <w:szCs w:val="20"/>
                <w:color w:val="auto"/>
              </w:rPr>
            </w:pPr>
            <w:r>
              <w:rPr>
                <w:rFonts w:ascii="Arial" w:cs="Arial" w:eastAsia="Arial" w:hAnsi="Arial"/>
                <w:sz w:val="14"/>
                <w:szCs w:val="14"/>
                <w:b w:val="1"/>
                <w:bCs w:val="1"/>
                <w:color w:val="auto"/>
              </w:rPr>
              <w:t>December 29,</w:t>
            </w:r>
          </w:p>
        </w:tc>
      </w:tr>
      <w:tr>
        <w:trPr>
          <w:trHeight w:val="176"/>
        </w:trPr>
        <w:tc>
          <w:tcPr>
            <w:tcW w:w="5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407,785</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(329,516)</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78,269</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(44,355)</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32,175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10,506,918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10,546,453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10,521,521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10,575,432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10,656,115</w:t>
            </w:r>
          </w:p>
        </w:tc>
      </w:tr>
      <w:tr>
        <w:trPr>
          <w:trHeight w:val="270"/>
        </w:trPr>
        <w:tc>
          <w:tcPr>
            <w:tcW w:w="5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5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0.2300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0.6975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0.6900</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2"/>
                <w:szCs w:val="12"/>
                <w:color w:val="auto"/>
              </w:rPr>
            </w:pPr>
          </w:p>
        </w:tc>
        <w:tc>
          <w:tcPr>
            <w:tcW w:w="11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December 29,</w:t>
            </w:r>
          </w:p>
        </w:tc>
      </w:tr>
      <w:tr>
        <w:trPr>
          <w:trHeight w:val="175"/>
        </w:trPr>
        <w:tc>
          <w:tcPr>
            <w:tcW w:w="5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interest rate swap</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w:t>
            </w: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right="4740"/>
        <w:spacing w:after="0" w:line="228"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0"/>
                <w:szCs w:val="10"/>
                <w:color w:val="auto"/>
              </w:rPr>
            </w:pPr>
          </w:p>
        </w:tc>
        <w:tc>
          <w:tcPr>
            <w:tcW w:w="23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1080" w:type="dxa"/>
            <w:vAlign w:val="bottom"/>
          </w:tcPr>
          <w:p>
            <w:pPr>
              <w:jc w:val="center"/>
              <w:ind w:right="2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29, 2020</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10,512,229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5,263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28, 2020</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10,515,835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50,736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192,256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243,429</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Cash dividends declared and paid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21,360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12,190</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27, 2020</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10,545,203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(83,044)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December 27, 2020</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10,462,159</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207,416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40" w:type="dxa"/>
            <w:vAlign w:val="bottom"/>
          </w:tcPr>
          <w:p>
            <w:pPr>
              <w:spacing w:after="0"/>
              <w:rPr>
                <w:sz w:val="8"/>
                <w:szCs w:val="8"/>
                <w:color w:val="auto"/>
              </w:rPr>
            </w:pPr>
          </w:p>
        </w:tc>
        <w:tc>
          <w:tcPr>
            <w:tcW w:w="230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8"/>
                <w:szCs w:val="8"/>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8"/>
                <w:szCs w:val="8"/>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8"/>
                <w:szCs w:val="8"/>
                <w:color w:val="auto"/>
              </w:rPr>
            </w:pPr>
          </w:p>
        </w:tc>
        <w:tc>
          <w:tcPr>
            <w:tcW w:w="1080" w:type="dxa"/>
            <w:vAlign w:val="bottom"/>
            <w:vMerge w:val="restart"/>
          </w:tcPr>
          <w:p>
            <w:pPr>
              <w:jc w:val="center"/>
              <w:ind w:right="40"/>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line="20" w:lineRule="exact"/>
              <w:rPr>
                <w:sz w:val="1"/>
                <w:szCs w:val="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31, 2019</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10,592,450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27,620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(47,136)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10,563,774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50,974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8,352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(44,259)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29, 2019</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10,546,453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229,435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0" w:type="dxa"/>
            <w:vAlign w:val="bottom"/>
          </w:tcPr>
          <w:p>
            <w:pPr>
              <w:spacing w:after="0"/>
              <w:rPr>
                <w:sz w:val="1"/>
                <w:szCs w:val="1"/>
                <w:color w:val="auto"/>
              </w:rPr>
            </w:pPr>
          </w:p>
        </w:tc>
      </w:tr>
      <w:tr>
        <w:trPr>
          <w:trHeight w:val="206"/>
        </w:trPr>
        <w:tc>
          <w:tcPr>
            <w:tcW w:w="3740" w:type="dxa"/>
            <w:vAlign w:val="bottom"/>
          </w:tcPr>
          <w:p>
            <w:pPr>
              <w:ind w:left="20"/>
              <w:spacing w:after="0"/>
              <w:rPr>
                <w:sz w:val="20"/>
                <w:szCs w:val="20"/>
                <w:color w:val="auto"/>
              </w:rPr>
            </w:pPr>
            <w:r>
              <w:rPr>
                <w:rFonts w:ascii="Arial" w:cs="Arial" w:eastAsia="Arial" w:hAnsi="Arial"/>
                <w:sz w:val="16"/>
                <w:szCs w:val="16"/>
                <w:color w:val="auto"/>
              </w:rPr>
              <w:t>BALANCE — December 29, 2019</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10,546,453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50,967</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180,659</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232,211</w:t>
            </w: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December 27,</w:t>
            </w:r>
          </w:p>
        </w:tc>
        <w:tc>
          <w:tcPr>
            <w:tcW w:w="160" w:type="dxa"/>
            <w:vAlign w:val="bottom"/>
          </w:tcPr>
          <w:p>
            <w:pPr>
              <w:spacing w:after="0"/>
              <w:rPr>
                <w:sz w:val="13"/>
                <w:szCs w:val="13"/>
                <w:color w:val="auto"/>
              </w:rPr>
            </w:pPr>
          </w:p>
        </w:tc>
        <w:tc>
          <w:tcPr>
            <w:tcW w:w="132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December 29,</w:t>
            </w: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31,899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23,604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16,181</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8,035</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(2,469)</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(1,565)</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(19,426)</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7"/>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(48,063)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(19,100)</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proceeds from (payments on) revolving loan</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(27,825)</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(1,934)</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1,960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0">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nine months ended December 27, 2020 are not necessarily indicative of the results that may be expected for the full year.</w:t>
      </w:r>
    </w:p>
    <w:p>
      <w:pPr>
        <w:spacing w:after="0" w:line="23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References to fiscal 2019 refer to the fiscal year ended March 31, 2019, references to fiscal 2020 refer to the fiscal year ended March 29, 2020 and references to fiscal 2021 refer to the fiscal year ending March 28, 2021.</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ind w:right="18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20">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previously filed with the SEC. There has been no significant change in our accounting policies since the end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On March 30, 2020, we adopted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The amendments in this update replaced the incurred loss impairment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in previous GAAP with a methodology that reflects expected credit losses on instruments within its scope, including trade receivables. This update is intended to provide financial statement users with more decision-useful information about the expected credit losses. Our adoption of this ASU impacted our method for calculating and estimating our allowance for doubtful accounts but did not have a material impact to our financial position or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Acquisition of American Development Corporation of Tennessee, Inc.</w:t>
      </w:r>
      <w:r>
        <w:rPr>
          <w:rFonts w:ascii="Arial" w:cs="Arial" w:eastAsia="Arial" w:hAnsi="Arial"/>
          <w:sz w:val="18"/>
          <w:szCs w:val="18"/>
          <w:color w:val="auto"/>
        </w:rPr>
        <w:t>: On July 28, 2020, we acquired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Development Corporation of Tennessee, Inc. (“ADC”) under the terms of an asset purchase agreement among us, ADC and its shareholders. We paid $25 million for the acquisition, using funds available under our revolving credit facility with U.S. Bank National Association to fund the acquisition. ADC is a water treatment chemical distribution company operating primarily in Tennessee, Georgia and Kentucky.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acquisition has been accounted for as a business combination, under which the total purchase price is allocated to the net tangible and intangible assets and liabilities of ADC acquired in connection with the acquisition based on their estimated fair values. We estimated the fair values of the assets acquired and liabilities assumed using a discounted cash flow analysis (income approach). Of the $25 million purchase price, we allocated $13.3 million to finite-lived intangible assets, primarily customer relationships to be amortized over 17 years, $1.6 million to property, plant and equipment, and $0.9 million to net working capital. The residual amount of $9.2 million was allocated to goodwill. The goodwill recognized as a result of this acquisition is primarily attributable to strategic and synergistic benefits, as well as the assembled workforce. Such goodwill is expected to be deductible for tax purposes. The purchase price allocation is final.</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Acquisition of Property</w:t>
      </w:r>
      <w:r>
        <w:rPr>
          <w:rFonts w:ascii="Arial" w:cs="Arial" w:eastAsia="Arial" w:hAnsi="Arial"/>
          <w:sz w:val="18"/>
          <w:szCs w:val="18"/>
          <w:color w:val="auto"/>
        </w:rPr>
        <w:t>: On December 16, 2020, we acquired a manufacturing facility on 28 acres located adjacent to our facility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Rosemount, Minnesota to allow further expansion and growth in both our Industrial and Water Treatment segments. We paid $10 million for the property. The purchase of this facility adds approximately 40,000 square feet of manufacturing and warehouse space to bring us to a total of 105,000 square feet of space on 56 acres of land in the area, with</w:t>
      </w:r>
    </w:p>
    <w:p>
      <w:pPr>
        <w:sectPr>
          <w:pgSz w:w="11900" w:h="16838" w:orient="portrait"/>
          <w:cols w:equalWidth="0" w:num="1">
            <w:col w:w="11220"/>
          </w:cols>
          <w:pgMar w:left="320" w:top="603"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type w:val="continuous"/>
        </w:sectPr>
      </w:pPr>
    </w:p>
    <w:bookmarkStart w:id="8" w:name="page9"/>
    <w:bookmarkEnd w:id="8"/>
    <w:p>
      <w:pPr>
        <w:ind w:right="360"/>
        <w:spacing w:after="0" w:line="261" w:lineRule="auto"/>
        <w:rPr>
          <w:sz w:val="20"/>
          <w:szCs w:val="20"/>
          <w:color w:val="auto"/>
        </w:rPr>
      </w:pPr>
      <w:r>
        <w:rPr>
          <w:rFonts w:ascii="Arial" w:cs="Arial" w:eastAsia="Arial" w:hAnsi="Arial"/>
          <w:sz w:val="18"/>
          <w:szCs w:val="18"/>
          <w:color w:val="auto"/>
        </w:rPr>
        <w:t>rail access at both of the sites to allow for future growth and provide for supply chain flexibility on certain raw materials to better serve the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acquisition has been accounted for as a property purchase.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7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disaggregate external customer net sales by major revenue stream for the three and nine months ended December 27, 2020 and December 29, 2019:</w:t>
      </w:r>
    </w:p>
    <w:p>
      <w:pPr>
        <w:sectPr>
          <w:pgSz w:w="11900" w:h="16838" w:orient="portrait"/>
          <w:cols w:equalWidth="0" w:num="1">
            <w:col w:w="11240"/>
          </w:cols>
          <w:pgMar w:left="320" w:top="625"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8"/>
          <w:szCs w:val="18"/>
          <w:b w:val="1"/>
          <w:bCs w:val="1"/>
          <w:color w:val="auto"/>
        </w:rPr>
        <w:t>Three months ended December 27,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27,839</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41,751</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100,207</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142,927</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-333375</wp:posOffset>
            </wp:positionV>
            <wp:extent cx="71062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Three months ended December 29,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34,957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84,050</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120,406</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Nine months ended December 27,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82,737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123,019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307,779</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433,900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-333375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Nine months ended December 29,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66,608</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118,741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108,888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285,098</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407,785</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625" w:right="339" w:bottom="1440" w:gutter="0" w:footer="0" w:header="0"/>
          <w:type w:val="continuous"/>
        </w:sectPr>
      </w:pPr>
    </w:p>
    <w:p>
      <w:pPr>
        <w:spacing w:after="0" w:line="126" w:lineRule="exact"/>
        <w:rPr>
          <w:sz w:val="20"/>
          <w:szCs w:val="20"/>
          <w:color w:val="auto"/>
        </w:rPr>
      </w:pPr>
    </w:p>
    <w:p>
      <w:pPr>
        <w:jc w:val="both"/>
        <w:ind w:left="660" w:right="60" w:hanging="328"/>
        <w:spacing w:after="0" w:line="24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140" w:hanging="328"/>
        <w:spacing w:after="0" w:line="253"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type w:val="continuous"/>
        </w:sectPr>
      </w:pPr>
    </w:p>
    <w:bookmarkStart w:id="9" w:name="page10"/>
    <w:bookmarkEnd w:id="9"/>
    <w:p>
      <w:pPr>
        <w:spacing w:after="0" w:line="251" w:lineRule="auto"/>
        <w:rPr>
          <w:sz w:val="20"/>
          <w:szCs w:val="20"/>
          <w:color w:val="auto"/>
        </w:rPr>
      </w:pPr>
      <w:r>
        <w:rPr>
          <w:rFonts w:ascii="Arial" w:cs="Arial" w:eastAsia="Arial" w:hAnsi="Arial"/>
          <w:sz w:val="18"/>
          <w:szCs w:val="18"/>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 revenues accordingly.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3"/>
        </w:trPr>
        <w:tc>
          <w:tcPr>
            <w:tcW w:w="5560" w:type="dxa"/>
            <w:vAlign w:val="bottom"/>
          </w:tcPr>
          <w:p>
            <w:pPr>
              <w:spacing w:after="0"/>
              <w:rPr>
                <w:sz w:val="22"/>
                <w:szCs w:val="22"/>
                <w:color w:val="auto"/>
              </w:rPr>
            </w:pPr>
          </w:p>
        </w:tc>
        <w:tc>
          <w:tcPr>
            <w:tcW w:w="290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76"/>
        </w:trPr>
        <w:tc>
          <w:tcPr>
            <w:tcW w:w="5560" w:type="dxa"/>
            <w:vAlign w:val="bottom"/>
          </w:tcPr>
          <w:p>
            <w:pPr>
              <w:spacing w:after="0"/>
              <w:rPr>
                <w:sz w:val="15"/>
                <w:szCs w:val="15"/>
                <w:color w:val="auto"/>
              </w:rPr>
            </w:pPr>
          </w:p>
        </w:tc>
        <w:tc>
          <w:tcPr>
            <w:tcW w:w="1460" w:type="dxa"/>
            <w:vAlign w:val="bottom"/>
            <w:tcBorders>
              <w:top w:val="single" w:sz="8" w:color="auto"/>
            </w:tcBorders>
            <w:gridSpan w:val="2"/>
          </w:tcPr>
          <w:p>
            <w:pPr>
              <w:ind w:left="100"/>
              <w:spacing w:after="0" w:line="176" w:lineRule="exact"/>
              <w:rPr>
                <w:sz w:val="20"/>
                <w:szCs w:val="20"/>
                <w:color w:val="auto"/>
              </w:rPr>
            </w:pPr>
            <w:r>
              <w:rPr>
                <w:rFonts w:ascii="Arial" w:cs="Arial" w:eastAsia="Arial" w:hAnsi="Arial"/>
                <w:sz w:val="18"/>
                <w:szCs w:val="18"/>
                <w:b w:val="1"/>
                <w:bCs w:val="1"/>
                <w:color w:val="auto"/>
              </w:rPr>
              <w:t>December 27,</w:t>
            </w:r>
          </w:p>
        </w:tc>
        <w:tc>
          <w:tcPr>
            <w:tcW w:w="1340" w:type="dxa"/>
            <w:vAlign w:val="bottom"/>
            <w:tcBorders>
              <w:top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rPr>
              <w:t>December 29,</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ind w:left="80"/>
              <w:spacing w:after="0" w:line="176" w:lineRule="exact"/>
              <w:rPr>
                <w:sz w:val="20"/>
                <w:szCs w:val="20"/>
                <w:color w:val="auto"/>
              </w:rPr>
            </w:pPr>
            <w:r>
              <w:rPr>
                <w:rFonts w:ascii="Arial" w:cs="Arial" w:eastAsia="Arial" w:hAnsi="Arial"/>
                <w:sz w:val="18"/>
                <w:szCs w:val="18"/>
                <w:b w:val="1"/>
                <w:bCs w:val="1"/>
                <w:color w:val="auto"/>
              </w:rPr>
              <w:t>December 27,</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December 29,</w:t>
            </w:r>
          </w:p>
        </w:tc>
      </w:tr>
      <w:tr>
        <w:trPr>
          <w:trHeight w:val="229"/>
        </w:trPr>
        <w:tc>
          <w:tcPr>
            <w:tcW w:w="55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10,506,918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10,546,453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10,521,521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10,575,432</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104,737</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10,611,655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10,605,895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10,639,372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10,656,115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 Instruments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had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$20 million swap agreement terminated on December 23, 2020. We had designated this swap as a cash flow hedge and determined that it qualified for hedge accounting treatment. For so long as the hedge was effective, changes in fair value of the cash flow hedge were recorded in other comprehensive income (net of tax) until income or loss from the cash flows of the hedged item was realized.</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three and nine months ended December 27, 2020, we recorded $0.1 million in other comprehensive income related to unrealized gains (net of tax) on the cash flow hedge described above. For the three months ended December 29, 2019, we recorded a nominal amount in other comprehensive loss related to unrealized losses (net of tax) on the cash flow hedge. For the nine months ended December 29, 2019, we recorded $0.3 million in other comprehensive loss related to unrealized losses (net of tax) on the cash flow hedge. Included in other current liabilities on our condensed consolidated balance sheet was $0.1 million as of March 29, 2020. The interest rate swap ended on December 23, 2020, and is therefore no longer recorded on our balance sheet.</w:t>
      </w:r>
    </w:p>
    <w:p>
      <w:pPr>
        <w:spacing w:after="0" w:line="2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07" w:lineRule="exact"/>
        <w:rPr>
          <w:sz w:val="20"/>
          <w:szCs w:val="20"/>
          <w:color w:val="auto"/>
        </w:rPr>
      </w:pPr>
    </w:p>
    <w:p>
      <w:pPr>
        <w:ind w:left="1160"/>
        <w:spacing w:after="0"/>
        <w:tabs>
          <w:tab w:leader="none" w:pos="20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23" w:lineRule="exact"/>
        <w:rPr>
          <w:sz w:val="20"/>
          <w:szCs w:val="20"/>
          <w:color w:val="auto"/>
        </w:rPr>
      </w:pPr>
    </w:p>
    <w:p>
      <w:pPr>
        <w:ind w:left="2080" w:right="380" w:hanging="908"/>
        <w:spacing w:after="0" w:line="219" w:lineRule="auto"/>
        <w:tabs>
          <w:tab w:leader="none" w:pos="206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4" w:lineRule="exact"/>
        <w:rPr>
          <w:sz w:val="20"/>
          <w:szCs w:val="20"/>
          <w:color w:val="auto"/>
        </w:rPr>
      </w:pPr>
    </w:p>
    <w:p>
      <w:pPr>
        <w:ind w:left="2080" w:right="460" w:hanging="908"/>
        <w:spacing w:after="0" w:line="219" w:lineRule="auto"/>
        <w:tabs>
          <w:tab w:leader="none" w:pos="206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3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As of December 27, 2020 and March 29, 2020, the assets held in a deferred compensation retirement plan are classified as other long-term assets on our balance sheet, with the portion of the plan assets expected to be paid within twelve months classified as current assets and the interest rate swap was classified as other current liabilities on our balance sheet. The fair value of the interest rate swap was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5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December 27, 2020 and March 29,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27, 2020</w:t>
            </w:r>
          </w:p>
        </w:tc>
        <w:tc>
          <w:tcPr>
            <w:tcW w:w="220" w:type="dxa"/>
            <w:vAlign w:val="bottom"/>
          </w:tcPr>
          <w:p>
            <w:pPr>
              <w:spacing w:after="0"/>
              <w:rPr>
                <w:sz w:val="20"/>
                <w:szCs w:val="20"/>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29, 2020</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Deferred compensation plan assets</w:t>
            </w:r>
          </w:p>
        </w:tc>
        <w:tc>
          <w:tcPr>
            <w:tcW w:w="2560" w:type="dxa"/>
            <w:vAlign w:val="bottom"/>
          </w:tcPr>
          <w:p>
            <w:pPr>
              <w:ind w:left="1460"/>
              <w:spacing w:after="0"/>
              <w:rPr>
                <w:sz w:val="20"/>
                <w:szCs w:val="20"/>
                <w:color w:val="auto"/>
              </w:rPr>
            </w:pPr>
            <w:r>
              <w:rPr>
                <w:rFonts w:ascii="Arial" w:cs="Arial" w:eastAsia="Arial" w:hAnsi="Arial"/>
                <w:sz w:val="18"/>
                <w:szCs w:val="18"/>
                <w:color w:val="auto"/>
              </w:rPr>
              <w:t>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3,564</w:t>
            </w:r>
          </w:p>
        </w:tc>
      </w:tr>
      <w:tr>
        <w:trPr>
          <w:trHeight w:val="270"/>
        </w:trPr>
        <w:tc>
          <w:tcPr>
            <w:tcW w:w="44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w:t>
            </w:r>
          </w:p>
        </w:tc>
        <w:tc>
          <w:tcPr>
            <w:tcW w:w="256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Assets Held for Sale</w:t>
      </w:r>
    </w:p>
    <w:p>
      <w:pPr>
        <w:spacing w:after="0" w:line="2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the first quarter of fiscal 2021, management determined that an office building that was previously held for sale no longer met the criteria to be classified as such. As a result, the $0.9 million net book value was reclassified out of “Prepaid expenses and other current assets” and is now classified as held and used within Property, Plant and Equipment on our balance sheet.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8 – Inventories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Inventories at December 27, 2020 and March 29, 2020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7"/>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26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$ 43.7 million at December 27, 2020 and $43.3 million at March 29, 2020. The remainder of the inventory was valued and accounted for under the FIFO method.</w:t>
      </w:r>
    </w:p>
    <w:p>
      <w:pPr>
        <w:sectPr>
          <w:pgSz w:w="11900" w:h="16838" w:orient="portrait"/>
          <w:cols w:equalWidth="0" w:num="1">
            <w:col w:w="11240"/>
          </w:cols>
          <w:pgMar w:left="320" w:top="603"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carrying amount of goodwill was $67.7 million as of December 27, 2020 and $58.4 million as of March 29, 2020, of which $44.9 million was related to our Health and Nutrition segment, $16.3 million was related to our Water Treatment segment, and $6.5 million was related to our Industrial segment. The increase in goodwill during the nine months ended December 27, 2020 represents goodwill recorded in connection with the ADC acquisition as discussed in Note 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December 27, 2020 and March 29, 2020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27, 2020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8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91,483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66,389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78,383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(21,400)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20" w:type="dxa"/>
            <w:vAlign w:val="bottom"/>
            <w:gridSpan w:val="7"/>
          </w:tcPr>
          <w:p>
            <w:pPr>
              <w:spacing w:after="0"/>
              <w:rPr>
                <w:sz w:val="20"/>
                <w:szCs w:val="20"/>
                <w:color w:val="auto"/>
              </w:rPr>
            </w:pPr>
            <w:r>
              <w:rPr>
                <w:rFonts w:ascii="Arial" w:cs="Arial" w:eastAsia="Arial" w:hAnsi="Arial"/>
                <w:sz w:val="18"/>
                <w:szCs w:val="18"/>
                <w:color w:val="auto"/>
              </w:rPr>
              <w:t>Debt at December 27, 2020 and March 29, 2020 consisted of the following: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27,</w:t>
            </w:r>
          </w:p>
        </w:tc>
        <w:tc>
          <w:tcPr>
            <w:tcW w:w="300" w:type="dxa"/>
            <w:vAlign w:val="bottom"/>
          </w:tcPr>
          <w:p>
            <w:pPr>
              <w:spacing w:after="0"/>
              <w:rPr>
                <w:sz w:val="24"/>
                <w:szCs w:val="2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March 29,</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96,000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95,728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85,821</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49,751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74"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tax jurisdictions. Our effective tax rate for the nine months ended December 27, 2020 was 26.1% and was 26.6% for the nine months ended December 29, 2019. The effective tax rate is impacted by projected levels of annual taxable income, permanent items, and state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December 27, 2020,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24 years, some of which include options to extend the lease for up to 10 years.</w:t>
      </w:r>
    </w:p>
    <w:p>
      <w:pPr>
        <w:spacing w:after="0" w:line="22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As of December 27, 2020, our operating lease components with initial or remaining terms in excess of one year were classified on the condensed consolidated balance sheet within right of use assets, short-term lease liability and long-term lease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for leases less than 12 months for the nine months ended December 27, 2020 was not material. Total lease expense was</w:t>
      </w:r>
    </w:p>
    <w:p>
      <w:pPr>
        <w:spacing w:after="0" w:line="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$0.7 million for both the three months ended December 27, 2020 and December 29, 2019. Total lease expense for the nine months ended December 27, 2020 and December 29, 2019 was $2.1 million and $2.2 million, respectively.</w:t>
      </w:r>
    </w:p>
    <w:p>
      <w:pPr>
        <w:sectPr>
          <w:pgSz w:w="11900" w:h="16838" w:orient="portrait"/>
          <w:cols w:equalWidth="0" w:num="1">
            <w:col w:w="11200"/>
          </w:cols>
          <w:pgMar w:left="320" w:top="6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00" w:type="dxa"/>
            <w:vAlign w:val="bottom"/>
          </w:tcPr>
          <w:p>
            <w:pPr>
              <w:spacing w:after="0"/>
              <w:rPr>
                <w:sz w:val="18"/>
                <w:szCs w:val="18"/>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27, 2020</w:t>
            </w:r>
          </w:p>
        </w:tc>
      </w:tr>
      <w:tr>
        <w:trPr>
          <w:trHeight w:val="213"/>
        </w:trPr>
        <w:tc>
          <w:tcPr>
            <w:tcW w:w="8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Pr>
          <w:p>
            <w:pPr>
              <w:spacing w:after="0"/>
              <w:rPr>
                <w:sz w:val="19"/>
                <w:szCs w:val="19"/>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300" w:type="dxa"/>
            <w:vAlign w:val="bottom"/>
          </w:tcPr>
          <w:p>
            <w:pPr>
              <w:spacing w:after="0"/>
              <w:rPr>
                <w:sz w:val="19"/>
                <w:szCs w:val="19"/>
                <w:color w:val="auto"/>
              </w:rPr>
            </w:pPr>
          </w:p>
        </w:tc>
      </w:tr>
      <w:tr>
        <w:trPr>
          <w:trHeight w:val="567"/>
        </w:trPr>
        <w:tc>
          <w:tcPr>
            <w:tcW w:w="8800" w:type="dxa"/>
            <w:vAlign w:val="bottom"/>
          </w:tcPr>
          <w:p>
            <w:pPr>
              <w:spacing w:after="0"/>
              <w:rPr>
                <w:sz w:val="20"/>
                <w:szCs w:val="20"/>
                <w:color w:val="auto"/>
              </w:rPr>
            </w:pPr>
            <w:r>
              <w:rPr>
                <w:rFonts w:ascii="Arial" w:cs="Arial" w:eastAsia="Arial" w:hAnsi="Arial"/>
                <w:sz w:val="18"/>
                <w:szCs w:val="18"/>
                <w:color w:val="auto"/>
              </w:rPr>
              <w:t>Maturities of lease liabilities as of December 27, 2020 were as follows:</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2021</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1,270</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4,337</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10,660</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(2,366)</w:t>
            </w:r>
          </w:p>
        </w:tc>
      </w:tr>
      <w:tr>
        <w:trPr>
          <w:trHeight w:val="24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Compensation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2021 and fiscal 2020.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62,385 shares in the aggregate for fiscal 2021.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27, 2020:</w:t>
      </w:r>
    </w:p>
    <w:p>
      <w:pPr>
        <w:spacing w:after="0" w:line="1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3"/>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3"/>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5"/>
        </w:trPr>
        <w:tc>
          <w:tcPr>
            <w:tcW w:w="78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3"/>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4"/>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64,813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recorded compensation expense related to performance share units and restricted stock of $0.7 million and $1.6 million for the three and nine months ended December 27, 2020, respectively. We recorded compensation expense related to performance share units and restricted stock of $0.5 million and $1.3 million for the three and nine months ended December 29, 2019, respectively. Substantially all of the compensation expense was recorded in selling, general and administrative expenses in the condensed consolidated statements of income.</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retainers, each director who is not an executive officer receives an annual grant of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their service on our Board. The restricted stock awards are expensed over the requisite vesting period, which is generally one year from the date of issuance, based on the market value on the date of grant. As of December 27, 2020, there were 6,593 shares of restricted stock with an average grant date fair value of $51.17 outstanding under this program. Compensation expense for both the three months ended December 27, 2020 and December 29, 2019 related to restricted stock awards to the Board was $0.1 million. Compensation expense for both the nine months ended December 27, 2020 and December 29, 2019 related to restricted stock awards to the Board was $0.2 million.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14 – Share Repurchase Program</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has authorized the repurchase of up to 800,000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and nine months ended December 27, 2020, we repurchased 83,044 shares at an aggregate purchase price of $4.1 million. During the three months ended December 29, 2019, no shares were repurchased. During the nine months ended December 29, 2019, we repurchased 91,395 shares at an aggregate purchase price of $3.8 million. As of December 27, 2020, 275,753 shares remained available to be repurchased under the share repurchase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Litigation, Commitments and Contingencies</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There are no material pending legal proceedings, other than ordinary routine litigation incidental to the business, to which we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our subsidiaries are a party or of which any of our property is the subject. Legal fees associated with such matters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74" w:lineRule="exact"/>
        <w:rPr>
          <w:sz w:val="20"/>
          <w:szCs w:val="20"/>
          <w:color w:val="auto"/>
        </w:rPr>
      </w:pPr>
    </w:p>
    <w:p>
      <w:pPr>
        <w:ind w:right="12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20">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March 29, 2020</w:t>
        </w:r>
        <w:r>
          <w:rPr>
            <w:rFonts w:ascii="Arial" w:cs="Arial" w:eastAsia="Arial" w:hAnsi="Arial"/>
            <w:sz w:val="18"/>
            <w:szCs w:val="18"/>
            <w:color w:val="000000"/>
          </w:rPr>
          <w:t>.</w:t>
        </w:r>
      </w:hyperlink>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Industrial</w:t>
            </w: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Water</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280" w:type="dxa"/>
            <w:vAlign w:val="bottom"/>
          </w:tcPr>
          <w:p>
            <w:pPr>
              <w:spacing w:after="0"/>
              <w:rPr>
                <w:sz w:val="18"/>
                <w:szCs w:val="18"/>
                <w:color w:val="auto"/>
              </w:rPr>
            </w:pPr>
          </w:p>
        </w:tc>
        <w:tc>
          <w:tcPr>
            <w:tcW w:w="10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27, 2020:</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64,356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39,298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39,273</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142,927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Three months ended December 29, 2019:</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120,406</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December 27, 2020: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197,029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128,552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108,319</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433,900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Nine months ended December 29, 2019:</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407,785</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78,269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44,355</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33,914</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nine months ended December 27, 2020.</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17 – Subsequent Events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On December 30, 2020, we acquired substantially all the assets of C &amp; L Aqua Professionals, Inc. and LC</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Blending, Inc. (together, “C&amp;L Aqua”) for $16 million under the terms of an asset purchase agreement among us, C&amp;L Aqua and its shareholders. C&amp;L Aqua is a water treatment chemical distribution company operating primarily in Louisiana. The results of operations and the assets, including the goodwill associated with this acquisition, will be included as part of our Water Treatment segment from the date of acquisition forward. The purchase accounting for this acquisition has not yet been completed.</w:t>
      </w: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46" w:right="559" w:bottom="1440" w:gutter="0" w:footer="0" w:header="0"/>
        </w:sectPr>
      </w:pPr>
    </w:p>
    <w:bookmarkStart w:id="15" w:name="page16"/>
    <w:bookmarkEnd w:id="15"/>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nine months ended December 27, 2020 as compared to the similar period ended December 29, 2019. This discussion should be read in conjunction with the condensed consolidated financial statements and notes to condensed consolidated financial statements included in this quarterly report on Form 10-Q and Item 8 of our </w:t>
      </w:r>
      <w:hyperlink r:id="rId20">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Property Acquisitions</w:t>
      </w:r>
    </w:p>
    <w:p>
      <w:pPr>
        <w:spacing w:after="0" w:line="25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December 30, 2020, after the end of our third quarter, we acquired substantially all the assets of C &amp; L Aqua Professionals, Inc. and LC Blending, Inc. (together, “C&amp;L Aqua”) under the terms of an asset purchase agreement among us, C&amp;L Aqua and its shareholders. C&amp;L Aqua is a water treatment chemical distribution company operating primarily in Louisiana. The results of operations and the assets will be included as part of our Water Treatment segment from the date of acquisition forward.</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third quarter of fiscal 2021, we acquired a manufacturing facility to allow further expansion and growth in both our Industrial and Water Treatment segments. This site is adjacent to our facility in Rosemount, Minnesota, adding 40,000 square feet of manufacturing and warehouse space on 28 acres of land to bring us to a total of 105,000 square feet of space on 56 acres of land in the area, with rail access at both of the sites to allow for future growth and provide for supply chain flexibility on certain raw materials to better serve the customer.</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28, 2020, we acquired substantially all the assets of American Development Corporation of Tennessee, Inc. (“ADC”) under the terms of an asset purchase agreement among us, ADC and its shareholders. ADC is a water treatment chemical distribution company operating primarily in Tennessee, Georgia and Kentucky. The results of operations since the acquisition date are included in our Water Treatment segment.</w:t>
      </w:r>
    </w:p>
    <w:p>
      <w:pPr>
        <w:spacing w:after="0" w:line="231"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The annual revenue from C&amp;L Aqua and ADC in the twelve months prior to our acquisitions totaled approximately $25 million in the aggregate.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7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pandemic caused by COVID-19 has resulted in federal, state and local governments around the world implementing stringent measures to help control the spread of the virus, including, from time to time, quarantines, “shelter in place” and “stay at home” orders, travel restrictions or bans, business curtailments, school closures, and other protective measures. While some restrictions have eased since the stare of the COVID-19 pandemic, certain restrictions remain in place or new restrictions may be implemented in the future. Restrictions will likely remain in place for some time. Financial markets have been volatile, primarily due to uncertainty with respect to the severity and duration of the pandemic.</w:t>
      </w:r>
    </w:p>
    <w:p>
      <w:pPr>
        <w:spacing w:after="0" w:line="2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of our manufacturing facilities have qualified as essential operations (or the equivalent) under applicable federal and state orders. As a result, all of our manufacturing sites and facilities have continued to operate, with no significant impact to our output levels. We are enforcing social distancing and enhanced health, safety and sanitization measures in accordance with guidelines from the Center for Disease Control. We have also implemented necessary procedures and support to enable a significant portion of our office personnel to work remotely.</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this public health crisis, we remain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 Our manufacturing sites have continued to operate during the COVID-19 pandemic, with no significant impact to manufacturing.</w:t>
      </w:r>
    </w:p>
    <w:p>
      <w:pPr>
        <w:spacing w:after="0" w:line="23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ended the third quarter of fiscal 2021 with a leverage ratio of 1.2x, net debt of $88 million and $54 million available for borrowing under our Revolving Loan Facility.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100"/>
        <w:spacing w:after="0" w:line="253" w:lineRule="auto"/>
        <w:rPr>
          <w:sz w:val="20"/>
          <w:szCs w:val="20"/>
          <w:color w:val="auto"/>
        </w:rPr>
      </w:pPr>
      <w:r>
        <w:rPr>
          <w:rFonts w:ascii="Arial" w:cs="Arial" w:eastAsia="Arial" w:hAnsi="Arial"/>
          <w:sz w:val="18"/>
          <w:szCs w:val="18"/>
          <w:color w:val="auto"/>
        </w:rPr>
        <w:t>The financial impact of the COVID-19 pandemic to our company has been mixed, as sales to certain end-markets such as food, bottled bleach and health and nutrition have benefited our reporting segments, while decreased sales to other end-markets such as ethanol, pools and resorts have negatively impacted them. In addition, certain expenses, such as travel and entertainment and trade show expenses, have been lower than historical levels during fiscal 2021. As uncertainty continues with this pandemic, we expect mixed results to continue for the foreseeable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34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36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gridSpan w:val="2"/>
            <w:shd w:val="clear" w:color="auto" w:fill="CCEEFF"/>
          </w:tcPr>
          <w:p>
            <w:pPr>
              <w:ind w:left="220"/>
              <w:spacing w:after="0" w:line="169" w:lineRule="exact"/>
              <w:rPr>
                <w:sz w:val="20"/>
                <w:szCs w:val="20"/>
                <w:color w:val="auto"/>
              </w:rPr>
            </w:pPr>
            <w:r>
              <w:rPr>
                <w:rFonts w:ascii="Arial" w:cs="Arial" w:eastAsia="Arial" w:hAnsi="Arial"/>
                <w:sz w:val="18"/>
                <w:szCs w:val="18"/>
                <w:b w:val="1"/>
                <w:bCs w:val="1"/>
                <w:color w:val="auto"/>
              </w:rPr>
              <w:t>December 27,</w:t>
            </w:r>
          </w:p>
        </w:tc>
        <w:tc>
          <w:tcPr>
            <w:tcW w:w="1620" w:type="dxa"/>
            <w:vAlign w:val="bottom"/>
            <w:tcBorders>
              <w:top w:val="single" w:sz="8" w:color="auto"/>
            </w:tcBorders>
            <w:shd w:val="clear" w:color="auto" w:fill="CCEEFF"/>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29,</w:t>
            </w: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gridSpan w:val="2"/>
            <w:shd w:val="clear" w:color="auto" w:fill="CCEEFF"/>
          </w:tcPr>
          <w:p>
            <w:pPr>
              <w:ind w:left="220"/>
              <w:spacing w:after="0" w:line="169" w:lineRule="exact"/>
              <w:rPr>
                <w:sz w:val="20"/>
                <w:szCs w:val="20"/>
                <w:color w:val="auto"/>
              </w:rPr>
            </w:pPr>
            <w:r>
              <w:rPr>
                <w:rFonts w:ascii="Arial" w:cs="Arial" w:eastAsia="Arial" w:hAnsi="Arial"/>
                <w:sz w:val="18"/>
                <w:szCs w:val="18"/>
                <w:b w:val="1"/>
                <w:bCs w:val="1"/>
                <w:color w:val="auto"/>
              </w:rPr>
              <w:t>December 27,</w:t>
            </w:r>
          </w:p>
        </w:tc>
        <w:tc>
          <w:tcPr>
            <w:tcW w:w="1640" w:type="dxa"/>
            <w:vAlign w:val="bottom"/>
            <w:tcBorders>
              <w:top w:val="single" w:sz="8" w:color="auto"/>
            </w:tcBorders>
            <w:shd w:val="clear" w:color="auto" w:fill="CCEEFF"/>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29,</w:t>
            </w:r>
          </w:p>
        </w:tc>
      </w:tr>
      <w:tr>
        <w:trPr>
          <w:trHeight w:val="230"/>
        </w:trPr>
        <w:tc>
          <w:tcPr>
            <w:tcW w:w="43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17.8 %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21.2 %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27, 2020 Compared to Three Months Ended December 29,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Sales were $142.9 million for the current quarter, an increase of $22.5 million, or 19%, from sales of $120.4 million a year ago.</w:t>
      </w:r>
    </w:p>
    <w:p>
      <w:pPr>
        <w:spacing w:after="0" w:line="15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$1.4 million, or 2%, to $64.4 million for the current quarter, as compared to $63.0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a year ago. Sales of bulk commodity products in the Industrial segment were approximately 16% of sales dollars in the current quarter and 18% in the same period of the prior year. The increase in sales dollars from the prior year was driven largely by a product mix shift to more sales of certain of our higher-priced manufactured, blended and repackaged products.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$4.4 million, or 13%, to $39.3 million for the current quarter,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$ 34.9 million in the same period a year ago. Sales of bulk commodity products in the Water Treatment segment were approximately 10% of sales dollars in the current quarter and 12% in the same period of the prior year. The increase in sales dollars from the prior year was largely attributable to added sales from the acquisition of ADC. Sales by our legacy business also increased overall due to increased sales of our manufactured, blended and repackaged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80"/>
        <w:spacing w:after="0" w:line="250"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$16.8 million, or 75%, to $39.3 million for the current quarter,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$22.5 million in the same period a year ago. The increase in sales was driven by increased sales of both our manufactured and specialty distributed products largely as a result of increased consumer demand for health and immunity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increased $6.7 million, or 31%, to $28.2 million, or 20% of sales, for the current quarter, from $21.5 million, or 18% of sales, for the same period a year ago. During the current quarter, the LIFO reserve increased, and gross profits decreased, by $0.1 million. In the same quarter a year ago, the LIFO reserve decreased, and gross profits increased, by $0.3 million.</w:t>
      </w:r>
    </w:p>
    <w:p>
      <w:pPr>
        <w:spacing w:after="0" w:line="130"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$0.8 million, or 9%, to $9.2 million, or 14% of sales, for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from $ 8.4 million, or 13% of sales, in the same period of the prior year. During the current quarter, the change in the LIFO reserve had a nominal impact on gross profit. In the same quarter a year ago, the LIFO reserve decreased, and gross profits increased, by $0.2 million. Total gross profit, and gross profit as a percentage of sales, decreased due to a product mix shift to more sales of certain higher-margin manufactured, blended and repackaged products.</w:t>
      </w:r>
    </w:p>
    <w:p>
      <w:pPr>
        <w:spacing w:after="0" w:line="131"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$1.6 million, or 20%, to $10.0 million, or 26%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current quarter, from $8.4 million, or 24% of sales, in the same period of the prior year. During the current and prior year quarters, the change in the LIFO reserve had a nominal impact on gross profit. Gross profit increased as a result of the added gross profit from the sales in the acquired ADC business, as well as the increased sales of manufactured, blended and repackaged products in our legacy business. Gross profit as a percentage of sales increased as a result of product mix changes.</w:t>
      </w:r>
    </w:p>
    <w:p>
      <w:pPr>
        <w:spacing w:after="0" w:line="12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$4.3 million, or 92%, to $9.0 million, or 23%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current quarter, from $4.7 million, or 21% of sales, for the same period of the prior year. The increase in gross profit was a result of higher sales compared to the prior year. Gross profit as a percentage of sales increased as a result of product mix changes.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Selling, general and administrative (“SG&amp;A”) expenses increased $3.1 million to $17.8 million, or 12% of sales, for the current quarter, from $14.7 million, or 12% of sales, for the same period of the prior year. Expenses increased primarily due to an increase in variable costs, primarily variable compensation, added costs from the acquired ADC business, including amortization of intangibles, and acquisition expenses. In addition, we recorded a year-over-year expense increase of $0.3 million due to higher compensation expense relating to the non-qualified deferred compensation plan liability which is offset in other income as described below. These increases were partially offset by a decrease in travel and trade show expenses due to restrictions imposed as a result of COVID-19.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income increased $3.7 million, or 55%, to $10.5 million, or 7% of sales, for the current quarter, from $6.8 million, or 6% of sales, for the same period of the prior year due to the combined impact of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Interest expense was $0.4 million for the current quarter, a decrease of $0.2 million from interest expense of $0.6 million for the same period a year ago. Interest expense decreased due to lower outstanding borrowings compared to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8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Other income increased $0.4 million from the same period a year ago, with $ 0.5 million recorded in the current quarter, from $0.1 million in the same period of the prior year. This amount represents gains recorded on investments held for our non-qualified deferred compensation plan. The amount recorded as a gain was offset by a similar amount recorded as an increase to compensation expense within SG&amp;A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Our effective income tax rate was 25.2% for the current quarter, compared to 28.1% in the same period of the prior year. The effective tax rate decreased from the prior year due to favorable tax provision adjustments recorded in the third quarter of fiscal 2021. The effective tax rate is impacted by projected levels of annual taxable income, permanent items, and state taxes.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8" w:name="page19"/>
    <w:bookmarkEnd w:id="18"/>
    <w:p>
      <w:pPr>
        <w:ind w:right="3320"/>
        <w:spacing w:after="0" w:line="451" w:lineRule="auto"/>
        <w:rPr>
          <w:sz w:val="20"/>
          <w:szCs w:val="20"/>
          <w:color w:val="auto"/>
        </w:rPr>
      </w:pPr>
      <w:r>
        <w:rPr>
          <w:rFonts w:ascii="Arial" w:cs="Arial" w:eastAsia="Arial" w:hAnsi="Arial"/>
          <w:sz w:val="18"/>
          <w:szCs w:val="18"/>
          <w:b w:val="1"/>
          <w:bCs w:val="1"/>
          <w:i w:val="1"/>
          <w:iCs w:val="1"/>
          <w:color w:val="auto"/>
        </w:rPr>
        <w:t xml:space="preserve">Nine Months Ended December 27, 2020 Compared to Nine Months Ended December 29, 2019 </w:t>
      </w:r>
      <w:r>
        <w:rPr>
          <w:rFonts w:ascii="Arial" w:cs="Arial" w:eastAsia="Arial" w:hAnsi="Arial"/>
          <w:sz w:val="18"/>
          <w:szCs w:val="18"/>
          <w:i w:val="1"/>
          <w:iCs w:val="1"/>
          <w:color w:val="auto"/>
        </w:rPr>
        <w:t>Sales</w:t>
      </w:r>
    </w:p>
    <w:p>
      <w:pPr>
        <w:spacing w:after="0" w:line="261" w:lineRule="auto"/>
        <w:rPr>
          <w:sz w:val="20"/>
          <w:szCs w:val="20"/>
          <w:color w:val="auto"/>
        </w:rPr>
      </w:pPr>
      <w:r>
        <w:rPr>
          <w:rFonts w:ascii="Arial" w:cs="Arial" w:eastAsia="Arial" w:hAnsi="Arial"/>
          <w:sz w:val="18"/>
          <w:szCs w:val="18"/>
          <w:color w:val="auto"/>
        </w:rPr>
        <w:t>Sales were $433.9 million for the nine months ended December 27, 2020, an increase of $26.1 million, or 6%, from sales of $407.8 million for the same period a year ago.</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$ 9.4 million, or 5%, to $197.0 million for the nine months ended December 27,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$206.4 million for the same period a year ago. Sales of bulk commodity products in the Industrial segment were approximately 14% of sales dollars in the current year and 18% in the same period of the prior year. The decrease in sales dollars from the prior year was driven largely by weakened economic conditions in the ethanol industry, which decreased sales of products into that industry in the first half of the year. In addition, the decrease in sales dollars when compared to the prior year was partially attributable to temporarily higher sales in the first quarter of the prior year attributable to heavy rains and flooding along the Mississippi River, which increased demand from certain customers. These year-over-year sales decreases were partially offset by increased sales of certain of our manufacturing, blended and repackaged products, largely our food ingredient, pharmaceutical, and bleach products as a result of increased demand.</w:t>
      </w:r>
    </w:p>
    <w:p>
      <w:pPr>
        <w:spacing w:after="0" w:line="13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$ 4.5 million, or 4%, to $128.6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2020, as compared to $124.0 million for the same period a year ago. Sales of bulk commodity products in the Water Treatment segment were approximately 9% of sales dollars in the current year and 11% a year ago. The increase in sales dollars resulted primarily from the added sales from the acquisition of ADC and was largely offset by a first quarter sales decline due to reduced sales to certain end markets, primarily public pools, as a result of shutdowns due to the COVID-19 pandemic.</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$31.0 million, or 40%, to $108.3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2020, as compared to $77.3 million for the same period a year ago. The increase in sales was driven by increased sales of both our manufactured and specialty distributed products largely as a result of increased consumer demand for health and immunity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Gross profit increased $ 13.7 million, or 18%, to $92.0 million, or 21% of sales, for the nine months ended December 27, 2020, from $78.3 million, or 19% of sales, for the same period a year ago. During the current year, the LIFO reserve decreased, and gross profits increased, by $0.1 million. In the same period a year ago, the LIFO reserve decreased, and gross profits increased, by $0.6 million.</w:t>
      </w:r>
    </w:p>
    <w:p>
      <w:pPr>
        <w:spacing w:after="0" w:line="130"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$2.1 million, or 7%, to $32.1 million, or 16% of sales,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27, 2020, from $30.0 million, or 15% of sales, for the same period a year ago. During the current year, the LIFO reserve decreased, and gross profits increased, by $0.1 million. In the same period a year ago, the LIFO reserve decreased, and gross profits increased, by $0.5 million. Total gross profit, and gross profit as a percentage of sales, increased due to a product mix shift to more sales of higher-margin manufactured, blended and re-packaged products.</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$2.7 million, or 8%, to $35.9 million, or 28%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December 27, 2020, from $ 33.2 million, or 27% of sales, for the same period a year ago. During the current year, changes in the LIFO reserve had a nominal impact on gross profits. In the same period a year ago, the LIFO reserve decreased, and gross profits increased by $ 0.1 million. Gross profit increased as a result of the added gross profit from the sales in the acquired ADC business, as well as a product mix shift in our legacy business to more sales of manufactured, blended and repackaged products. Gross profit as a percentage of sales increased as a result of product mix changes.</w:t>
      </w:r>
    </w:p>
    <w:p>
      <w:pPr>
        <w:spacing w:after="0" w:line="13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$8.9 million, or 60%, to $24.0 million, or 22%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nine months ended December 27, 2020, from $15.1 million, or 20% of sales, for the same period a year ago. The increase in gross profit was a result of higher sales compared to the prior year. Gross profit as a percentage of sales increased as a result of product mix changes.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SG&amp;A expenses increased $4.6 million, or 11% to $49.0 million, or 11% of sales, for the nine months ended December 27, 2020, compared to $44.4 million, or 11% of sales, for the same prior year period. Expenses increased primarily due to an increase in variable costs, primarily variable compensation, added costs from the acquired ADC business, including amortization of intangibles, and acquisition expenses. In addition, we recorded a year-over-year expense increase of $1.0 million due to higher compensation expense relating to the non-qualified deferred compensation plan liability which is offset in other income as described below. These increases were partially offset by a decrease in travel and trade show expenses due to restrictions imposed as a result of COVID-19.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Operating Income</w:t>
      </w:r>
    </w:p>
    <w:p>
      <w:pPr>
        <w:spacing w:after="0" w:line="18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Operating income increased $9.1 million, or 27%, to $43.0 million, or 10% of sales, for the nine months ended December 27, 2020, from $33.9 million, or 8% of sales, for the same prior year period due to the combined impact of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Interest expense decreased $0.9 million, to $1.1 million for the nine months ended December 27, 2020, from $2.0 million for the same period a year ago. Interest expense decreased due to lower borrowing rates compared to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8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income increased $ 1.0 million, to $1.3 million for the nine months ended December 27, 2020, from $0.3 million in the same period a year ago. This represents gains recorded on investments held for our non-qualified deferred compensation plan. The amount recorded as a gain was offset by a similar amount recorded as an increase to compensation expense within SG&amp;A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effective income tax rate for the nine months ended December 27, 2020 was 26.1%, compared to 26.6% in the same period of the prior year. The effective tax rate is impacted by projected levels of annual taxable income, permanent items, and state taxes.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was $8.0 million at December 27, 2020, an increase of $3.7 million as compared with the $4.3 million available as of March 29, 2020.</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Cash provided by operating activities was $26.6 million for the nine months ended December 27, 2020, compared to cash provided by operating activities of $ 45.0 million for the same period of the prior year. The year-over-year decrease in cash provided by operating activities was primarily driven by increases in inventory and customer receivables, offset by an increase in net income for the first nine months of fiscal 2021 compared to the same period a year ago. Increased customer demand in our Health and Nutrition segment resulted in a significant increase in on-hand inventory due to increased stocking levels to fill the increased demand and to offset longer lead times from our suppliers for many products.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because we receive the majority of barges during this period.</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Cash used in investing activities was $48.1 million for the nine months ended December 27, 2020, compared to $19.1 million for the same period of the prior year. In the nine months ended December 27, 2020, we acquired ADC for $25 million. Capital expenditures were $ 13.2 million for the nine months ended December 27, 2020, compared to $19.4 million in the same period of the prior year. In the first nine months of the current year, we purchased a manufacturing facility on 28 acres to allow further expansion and growth in both our Industrial and Water Treatment segments for $ 10 million, compared to the purchases of our previously leased corporate headquarters facility for $6.4 million and a Water Treatment facility for $0.8 million in the first nine months of the prior year.</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Cash provided by financing activities was $25.1 million for the nine months ended December 27, 2020, compared to $27.8 million of cash used in financing activities in the same period of the prior year. Included in financing activities in the first nine months of the current year were net debt proceeds of $36.0 million used in part for the acquisition of ADC, compared to net debt repayments of $ 17 million in the first nine months of the prior year. In addition, we repurchased $4.1 million of shares of our common stock in the first nine months of the current fiscal year, compared to $3.8 million in the same period in the prior year.</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Board has authorized the repurchase of up to 800,000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nine months of fiscal 2021, we repurchased 83,044 shares of common stock with an aggregate purchase price of $4.1 million. In the first nine months of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20" w:name="page21"/>
    <w:bookmarkEnd w:id="20"/>
    <w:p>
      <w:pPr>
        <w:ind w:right="480"/>
        <w:spacing w:after="0" w:line="261" w:lineRule="auto"/>
        <w:rPr>
          <w:sz w:val="20"/>
          <w:szCs w:val="20"/>
          <w:color w:val="auto"/>
        </w:rPr>
      </w:pPr>
      <w:r>
        <w:rPr>
          <w:rFonts w:ascii="Arial" w:cs="Arial" w:eastAsia="Arial" w:hAnsi="Arial"/>
          <w:sz w:val="18"/>
          <w:szCs w:val="18"/>
          <w:color w:val="auto"/>
        </w:rPr>
        <w:t>prior fiscal year, we repurchased 91,395 shares of common stock with an aggregate purchase price of $3.8 million. As of December 27, 2020, 275,753 shares remained available for purchase under the program</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nine months as selected by us, reset at the end of the selected interest period, or (b) 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December 27, 2020, the effective interest rate on our borrowings was 1.4%.</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December 27, 2020, the unamortized balance of these costs was $0.3 million, and is reflected as a reduction of debt on our balance sheet.</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December 27, 2020.</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20">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ended March 29, 2020</w:t>
        </w:r>
        <w:r>
          <w:rPr>
            <w:rFonts w:ascii="Arial" w:cs="Arial" w:eastAsia="Arial" w:hAnsi="Arial"/>
            <w:sz w:val="18"/>
            <w:szCs w:val="18"/>
            <w:color w:val="000000"/>
          </w:rPr>
          <w:t>.</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20">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46" w:right="4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$0.1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December 27, 2020.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20">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March 29, 2020</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has authorized the repurchase of up to 800,000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December 27, 2020:</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Total Number of</w:t>
            </w:r>
          </w:p>
        </w:tc>
        <w:tc>
          <w:tcPr>
            <w:tcW w:w="36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09/28/2020-10/25/2020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358,797</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10/26/2020-11/22/2020</w:t>
            </w:r>
          </w:p>
        </w:tc>
        <w:tc>
          <w:tcPr>
            <w:tcW w:w="12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83,044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83,044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11/23/2020-12/27/2020</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Total</w:t>
            </w:r>
          </w:p>
        </w:tc>
        <w:tc>
          <w:tcPr>
            <w:tcW w:w="2440" w:type="dxa"/>
            <w:vAlign w:val="bottom"/>
          </w:tcPr>
          <w:p>
            <w:pPr>
              <w:jc w:val="right"/>
              <w:ind w:right="1630"/>
              <w:spacing w:after="0"/>
              <w:rPr>
                <w:sz w:val="20"/>
                <w:szCs w:val="20"/>
                <w:color w:val="auto"/>
              </w:rPr>
            </w:pPr>
            <w:r>
              <w:rPr>
                <w:rFonts w:ascii="Arial" w:cs="Arial" w:eastAsia="Arial" w:hAnsi="Arial"/>
                <w:sz w:val="18"/>
                <w:szCs w:val="18"/>
                <w:color w:val="auto"/>
              </w:rPr>
              <w:t>83,044</w:t>
            </w:r>
          </w:p>
        </w:tc>
        <w:tc>
          <w:tcPr>
            <w:tcW w:w="2280" w:type="dxa"/>
            <w:vAlign w:val="bottom"/>
          </w:tcPr>
          <w:p>
            <w:pPr>
              <w:jc w:val="right"/>
              <w:spacing w:after="0"/>
              <w:rPr>
                <w:sz w:val="20"/>
                <w:szCs w:val="20"/>
                <w:color w:val="auto"/>
              </w:rPr>
            </w:pPr>
            <w:r>
              <w:rPr>
                <w:rFonts w:ascii="Arial" w:cs="Arial" w:eastAsia="Arial" w:hAnsi="Arial"/>
                <w:sz w:val="18"/>
                <w:szCs w:val="18"/>
                <w:color w:val="auto"/>
              </w:rPr>
              <w:t>83,044</w:t>
            </w:r>
          </w:p>
        </w:tc>
      </w:tr>
      <w:tr>
        <w:trPr>
          <w:trHeight w:val="81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5400" w:type="dxa"/>
            <w:vAlign w:val="bottom"/>
            <w:gridSpan w:val="2"/>
          </w:tcPr>
          <w:p>
            <w:pPr>
              <w:ind w:left="240"/>
              <w:spacing w:after="0"/>
              <w:rPr>
                <w:sz w:val="20"/>
                <w:szCs w:val="20"/>
                <w:color w:val="auto"/>
              </w:rPr>
            </w:pPr>
            <w:r>
              <w:rPr>
                <w:rFonts w:ascii="Arial" w:cs="Arial" w:eastAsia="Arial" w:hAnsi="Arial"/>
                <w:sz w:val="18"/>
                <w:szCs w:val="18"/>
                <w:color w:val="auto"/>
              </w:rPr>
              <w:t>DEFAULTS UPON SENIOR SECURITIES</w:t>
            </w:r>
          </w:p>
        </w:tc>
        <w:tc>
          <w:tcPr>
            <w:tcW w:w="2280" w:type="dxa"/>
            <w:vAlign w:val="bottom"/>
          </w:tcPr>
          <w:p>
            <w:pPr>
              <w:spacing w:after="0"/>
              <w:rPr>
                <w:sz w:val="24"/>
                <w:szCs w:val="24"/>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None.</w:t>
            </w:r>
          </w:p>
        </w:tc>
        <w:tc>
          <w:tcPr>
            <w:tcW w:w="2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296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24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7"/>
        </w:trPr>
        <w:tc>
          <w:tcPr>
            <w:tcW w:w="780" w:type="dxa"/>
            <w:vAlign w:val="bottom"/>
          </w:tcPr>
          <w:p>
            <w:pPr>
              <w:jc w:val="right"/>
              <w:ind w:right="52"/>
              <w:spacing w:after="0"/>
              <w:rPr>
                <w:sz w:val="20"/>
                <w:szCs w:val="20"/>
                <w:color w:val="auto"/>
              </w:rPr>
            </w:pPr>
            <w:r>
              <w:rPr>
                <w:rFonts w:ascii="Arial" w:cs="Arial" w:eastAsia="Arial" w:hAnsi="Arial"/>
                <w:sz w:val="18"/>
                <w:szCs w:val="18"/>
                <w:color w:val="auto"/>
                <w:w w:val="98"/>
              </w:rPr>
              <w:t>ITEM 6.</w:t>
            </w: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780" w:type="dxa"/>
            <w:vAlign w:val="bottom"/>
          </w:tcPr>
          <w:p>
            <w:pPr>
              <w:jc w:val="right"/>
              <w:spacing w:after="0"/>
              <w:rPr>
                <w:sz w:val="20"/>
                <w:szCs w:val="20"/>
                <w:color w:val="auto"/>
              </w:rPr>
            </w:pPr>
            <w:r>
              <w:rPr>
                <w:rFonts w:ascii="Arial" w:cs="Arial" w:eastAsia="Arial" w:hAnsi="Arial"/>
                <w:sz w:val="14"/>
                <w:szCs w:val="14"/>
                <w:color w:val="auto"/>
              </w:rPr>
              <w:t>Exhibit</w:t>
            </w:r>
          </w:p>
        </w:tc>
        <w:tc>
          <w:tcPr>
            <w:tcW w:w="36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w w:val="99"/>
              </w:rPr>
              <w:t>Description</w:t>
            </w:r>
          </w:p>
        </w:tc>
        <w:tc>
          <w:tcPr>
            <w:tcW w:w="3660" w:type="dxa"/>
            <w:vAlign w:val="bottom"/>
          </w:tcPr>
          <w:p>
            <w:pPr>
              <w:spacing w:after="0"/>
              <w:rPr>
                <w:sz w:val="24"/>
                <w:szCs w:val="24"/>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4"/>
                <w:szCs w:val="14"/>
                <w:color w:val="auto"/>
              </w:rPr>
              <w:t>Method of Filing</w:t>
            </w:r>
          </w:p>
        </w:tc>
      </w:tr>
      <w:tr>
        <w:trPr>
          <w:trHeight w:val="20"/>
        </w:trPr>
        <w:tc>
          <w:tcPr>
            <w:tcW w:w="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7980" w:type="dxa"/>
            <w:vAlign w:val="bottom"/>
            <w:gridSpan w:val="3"/>
          </w:tcPr>
          <w:p>
            <w:pPr>
              <w:ind w:left="60"/>
              <w:spacing w:after="0"/>
              <w:rPr>
                <w:rFonts w:ascii="Arial" w:cs="Arial" w:eastAsia="Arial" w:hAnsi="Arial"/>
                <w:sz w:val="18"/>
                <w:szCs w:val="18"/>
                <w:color w:val="0000FF"/>
              </w:rPr>
            </w:pPr>
            <w:hyperlink r:id="rId46">
              <w:r>
                <w:rPr>
                  <w:rFonts w:ascii="Arial" w:cs="Arial" w:eastAsia="Arial" w:hAnsi="Arial"/>
                  <w:sz w:val="18"/>
                  <w:szCs w:val="18"/>
                  <w:u w:val="single" w:color="auto"/>
                  <w:color w:val="0000FF"/>
                </w:rPr>
                <w:t>Amended and Restated Articles of Incorporation.</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rPr>
              <w:t>Incorporated by Reference</w:t>
            </w:r>
          </w:p>
        </w:tc>
      </w:tr>
      <w:tr>
        <w:trPr>
          <w:trHeight w:val="229"/>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7980" w:type="dxa"/>
            <w:vAlign w:val="bottom"/>
            <w:gridSpan w:val="3"/>
          </w:tcPr>
          <w:p>
            <w:pPr>
              <w:ind w:left="60"/>
              <w:spacing w:after="0"/>
              <w:rPr>
                <w:rFonts w:ascii="Arial" w:cs="Arial" w:eastAsia="Arial" w:hAnsi="Arial"/>
                <w:sz w:val="18"/>
                <w:szCs w:val="18"/>
                <w:color w:val="0000FF"/>
              </w:rPr>
            </w:pPr>
            <w:hyperlink r:id="rId47">
              <w:r>
                <w:rPr>
                  <w:rFonts w:ascii="Arial" w:cs="Arial" w:eastAsia="Arial" w:hAnsi="Arial"/>
                  <w:sz w:val="18"/>
                  <w:szCs w:val="18"/>
                  <w:u w:val="single" w:color="auto"/>
                  <w:color w:val="0000FF"/>
                </w:rPr>
                <w:t>Amended and Restated By-Laws.</w:t>
              </w:r>
              <w:r>
                <w:rPr>
                  <w:rFonts w:ascii="Arial" w:cs="Arial" w:eastAsia="Arial" w:hAnsi="Arial"/>
                  <w:sz w:val="18"/>
                  <w:szCs w:val="18"/>
                  <w:color w:val="0000FF"/>
                </w:rPr>
                <w:t xml:space="preserve"> </w:t>
              </w:r>
            </w:hyperlink>
            <w:r>
              <w:rPr>
                <w:rFonts w:ascii="Arial" w:cs="Arial" w:eastAsia="Arial" w:hAnsi="Arial"/>
                <w:sz w:val="18"/>
                <w:szCs w:val="18"/>
                <w:color w:val="000000"/>
              </w:rPr>
              <w:t>(2)</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rPr>
              <w:t>Incorporated by Reference</w:t>
            </w:r>
          </w:p>
        </w:tc>
      </w:tr>
      <w:tr>
        <w:trPr>
          <w:trHeight w:val="229"/>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31.1</w:t>
            </w:r>
          </w:p>
        </w:tc>
        <w:tc>
          <w:tcPr>
            <w:tcW w:w="7980" w:type="dxa"/>
            <w:vAlign w:val="bottom"/>
            <w:gridSpan w:val="3"/>
          </w:tcPr>
          <w:p>
            <w:pPr>
              <w:ind w:left="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Certification by Chief Executive Officer pursuant to Rule 13a-14(a) of the Exchange Act.</w:t>
              </w:r>
            </w:hyperlink>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30"/>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7980" w:type="dxa"/>
            <w:vAlign w:val="bottom"/>
            <w:gridSpan w:val="3"/>
          </w:tcPr>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Certification by Chief Financial Officer pursuant to Rule 13a-14(a) of the Exchange Act.</w:t>
              </w:r>
            </w:hyperlink>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29"/>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7980" w:type="dxa"/>
            <w:vAlign w:val="bottom"/>
            <w:gridSpan w:val="3"/>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Section 1350 Certification by Chief Executive Officer.</w:t>
              </w:r>
            </w:hyperlink>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30"/>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32.2</w:t>
            </w:r>
          </w:p>
        </w:tc>
        <w:tc>
          <w:tcPr>
            <w:tcW w:w="7980" w:type="dxa"/>
            <w:vAlign w:val="bottom"/>
            <w:gridSpan w:val="3"/>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Section 1350 Certification by Chief Financial Officer.</w:t>
              </w:r>
            </w:hyperlink>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188"/>
        </w:trPr>
        <w:tc>
          <w:tcPr>
            <w:tcW w:w="7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101</w:t>
            </w:r>
          </w:p>
        </w:tc>
        <w:tc>
          <w:tcPr>
            <w:tcW w:w="7980" w:type="dxa"/>
            <w:vAlign w:val="bottom"/>
            <w:gridSpan w:val="3"/>
          </w:tcPr>
          <w:p>
            <w:pPr>
              <w:ind w:left="60"/>
              <w:spacing w:after="0" w:line="189" w:lineRule="exact"/>
              <w:rPr>
                <w:sz w:val="20"/>
                <w:szCs w:val="20"/>
                <w:color w:val="auto"/>
              </w:rPr>
            </w:pPr>
            <w:r>
              <w:rPr>
                <w:rFonts w:ascii="Arial" w:cs="Arial" w:eastAsia="Arial" w:hAnsi="Arial"/>
                <w:sz w:val="18"/>
                <w:szCs w:val="18"/>
                <w:color w:val="auto"/>
              </w:rPr>
              <w:t>Financial statements from the Quarterly Report on Form 10-Q of Hawkins, Inc. for the period</w:t>
            </w:r>
          </w:p>
        </w:tc>
        <w:tc>
          <w:tcPr>
            <w:tcW w:w="2280" w:type="dxa"/>
            <w:vAlign w:val="bottom"/>
            <w:gridSpan w:val="3"/>
          </w:tcPr>
          <w:p>
            <w:pPr>
              <w:jc w:val="center"/>
              <w:ind w:left="52"/>
              <w:spacing w:after="0" w:line="189" w:lineRule="exact"/>
              <w:rPr>
                <w:sz w:val="20"/>
                <w:szCs w:val="20"/>
                <w:color w:val="auto"/>
              </w:rPr>
            </w:pPr>
            <w:r>
              <w:rPr>
                <w:rFonts w:ascii="Arial" w:cs="Arial" w:eastAsia="Arial" w:hAnsi="Arial"/>
                <w:sz w:val="18"/>
                <w:szCs w:val="18"/>
                <w:color w:val="auto"/>
                <w:w w:val="99"/>
              </w:rPr>
              <w:t>Filed Electronically</w:t>
            </w:r>
          </w:p>
        </w:tc>
      </w:tr>
      <w:tr>
        <w:trPr>
          <w:trHeight w:val="176"/>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ended December 27, 2020 filed with the SEC on January 28, 2021 formatted in Inline Extensible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Business Reporting Language (iXBRL); (i) the Condensed Consolidated Balance Sheets at</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December 27, 2020 and March 29, 2020, (ii) the Condensed Consolidated Statements of Income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for the three and nine months ended December 27, 2020 and December 29, 2019, (iii) the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Condensed Consolidated Statements of Comprehensive Income for the three and nine months</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ended December 27, 2020 and December 29, 2019, (iv) the Condensed Consolidated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Statements of Shareholder's Equity for the three and nine months ended December 27, 2020 and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December 29, 2019, (v) the Condensed Consolidated Statements of Cash Flows for the nine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79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months ended December 27, 2020 and December 29, 2019, and (vi) Notes to Condensed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780" w:type="dxa"/>
            <w:vAlign w:val="bottom"/>
          </w:tcPr>
          <w:p>
            <w:pPr>
              <w:spacing w:after="0"/>
              <w:rPr>
                <w:sz w:val="18"/>
                <w:szCs w:val="18"/>
                <w:color w:val="auto"/>
              </w:rPr>
            </w:pPr>
          </w:p>
        </w:tc>
        <w:tc>
          <w:tcPr>
            <w:tcW w:w="7980" w:type="dxa"/>
            <w:vAlign w:val="bottom"/>
            <w:gridSpan w:val="3"/>
          </w:tcPr>
          <w:p>
            <w:pPr>
              <w:ind w:left="60"/>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7980" w:type="dxa"/>
            <w:vAlign w:val="bottom"/>
            <w:gridSpan w:val="3"/>
          </w:tcPr>
          <w:p>
            <w:pPr>
              <w:ind w:left="6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93" w:lineRule="exact"/>
        <w:rPr>
          <w:sz w:val="20"/>
          <w:szCs w:val="20"/>
          <w:color w:val="auto"/>
        </w:rPr>
      </w:pPr>
    </w:p>
    <w:p>
      <w:pPr>
        <w:ind w:left="580" w:right="220" w:hanging="329"/>
        <w:spacing w:after="0" w:line="250"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ind w:left="580" w:hanging="329"/>
        <w:spacing w:after="0" w:line="261"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516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Jeffrey P. Oldenkamp</w:t>
            </w:r>
          </w:p>
        </w:tc>
      </w:tr>
      <w:tr>
        <w:trPr>
          <w:trHeight w:val="223"/>
        </w:trPr>
        <w:tc>
          <w:tcPr>
            <w:tcW w:w="8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8"/>
        </w:trPr>
        <w:tc>
          <w:tcPr>
            <w:tcW w:w="82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Arial" w:cs="Arial" w:eastAsia="Arial" w:hAnsi="Arial"/>
                <w:sz w:val="18"/>
                <w:szCs w:val="18"/>
                <w:color w:val="auto"/>
                <w:w w:val="99"/>
              </w:rPr>
              <w:t>(On behalf of the registrant and as principal financial and</w:t>
            </w:r>
          </w:p>
        </w:tc>
      </w:tr>
      <w:tr>
        <w:trPr>
          <w:trHeight w:val="217"/>
        </w:trPr>
        <w:tc>
          <w:tcPr>
            <w:tcW w:w="8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accounting officer)</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2021</w:t>
      </w:r>
    </w:p>
    <w:p>
      <w:pPr>
        <w:sectPr>
          <w:pgSz w:w="11900" w:h="16838" w:orient="portrait"/>
          <w:cols w:equalWidth="0" w:num="1">
            <w:col w:w="11120"/>
          </w:cols>
          <w:pgMar w:left="320" w:top="886" w:right="4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2021</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6350</wp:posOffset>
            </wp:positionV>
            <wp:extent cx="3420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42074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2021</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26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886"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27, 2020,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88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2021</w:t>
      </w:r>
    </w:p>
    <w:p>
      <w:pPr>
        <w:sectPr>
          <w:pgSz w:w="11900" w:h="16838" w:orient="portrait"/>
          <w:cols w:equalWidth="0" w:num="1">
            <w:col w:w="11240"/>
          </w:cols>
          <w:pgMar w:left="320" w:top="88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27, 2020,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75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20" Type="http://schemas.openxmlformats.org/officeDocument/2006/relationships/hyperlink" Target="http://www.sec.gov/ix?doc=/Archives/edgar/data/46250/000004625020000027/hwkn-20200329.htm#i98eec1cdab1140d282c9345f8e4167eb_58" TargetMode="External"/><Relationship Id="rId46" Type="http://schemas.openxmlformats.org/officeDocument/2006/relationships/hyperlink" Target="http://www.sec.gov/Archives/edgar/data/46250/000089710110001532/hawkins103608_ex3-1.htm" TargetMode="External"/><Relationship Id="rId47"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2021-01-28T15:15:27Z</dcterms:created>
  <dcterms:modified xsi:type="dcterms:W3CDTF">2021-01-28T15:15:27Z</dcterms:modified>
</cp:coreProperties>
</file>