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29"/>
                <w:szCs w:val="29"/>
                <w:b w:val="1"/>
                <w:bCs w:val="1"/>
                <w:color w:val="auto"/>
                <w:w w:val="97"/>
              </w:rPr>
              <w:t>UNITED STATES</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w w:val="99"/>
              </w:rPr>
              <w:t>WASHINGTON, D.C. 20549</w:t>
            </w: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Borders>
              <w:bottom w:val="single" w:sz="8" w:color="auto"/>
            </w:tcBorders>
          </w:tcPr>
          <w:p>
            <w:pPr>
              <w:jc w:val="center"/>
              <w:ind w:left="594"/>
              <w:spacing w:after="0" w:line="331" w:lineRule="exact"/>
              <w:rPr>
                <w:sz w:val="20"/>
                <w:szCs w:val="20"/>
                <w:color w:val="auto"/>
              </w:rPr>
            </w:pPr>
            <w:r>
              <w:rPr>
                <w:rFonts w:ascii="Arial" w:cs="Arial" w:eastAsia="Arial" w:hAnsi="Arial"/>
                <w:sz w:val="29"/>
                <w:szCs w:val="29"/>
                <w:b w:val="1"/>
                <w:bCs w:val="1"/>
                <w:color w:val="auto"/>
                <w:w w:val="98"/>
              </w:rPr>
              <w:t>FORM 10-Q</w:t>
            </w:r>
          </w:p>
        </w:tc>
        <w:tc>
          <w:tcPr>
            <w:tcW w:w="72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1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18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8"/>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320" w:type="dxa"/>
            <w:vAlign w:val="bottom"/>
            <w:gridSpan w:val="3"/>
          </w:tcPr>
          <w:p>
            <w:pPr>
              <w:jc w:val="center"/>
              <w:ind w:right="192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38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rPr>
              <w:t>For the quarterly period ended June 28, 2020</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1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18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54"/>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2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239"/>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rPr>
              <w:t>Commission file number 0-7647</w:t>
            </w: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32"/>
                <w:szCs w:val="32"/>
                <w:b w:val="1"/>
                <w:bCs w:val="1"/>
                <w:color w:val="auto"/>
              </w:rPr>
              <w:t>HAWKINS, INC.</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jc w:val="center"/>
              <w:ind w:right="3134"/>
              <w:spacing w:after="0"/>
              <w:rPr>
                <w:sz w:val="20"/>
                <w:szCs w:val="20"/>
                <w:color w:val="auto"/>
              </w:rPr>
            </w:pPr>
            <w:r>
              <w:rPr>
                <w:rFonts w:ascii="Arial" w:cs="Arial" w:eastAsia="Arial" w:hAnsi="Arial"/>
                <w:sz w:val="18"/>
                <w:szCs w:val="18"/>
                <w:b w:val="1"/>
                <w:bCs w:val="1"/>
                <w:color w:val="auto"/>
                <w:w w:val="98"/>
              </w:rPr>
              <w:t>Minnesota</w:t>
            </w:r>
          </w:p>
        </w:tc>
        <w:tc>
          <w:tcPr>
            <w:tcW w:w="358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8"/>
                <w:szCs w:val="18"/>
                <w:b w:val="1"/>
                <w:bCs w:val="1"/>
                <w:color w:val="auto"/>
                <w:w w:val="99"/>
              </w:rPr>
              <w:t>41-0771293</w:t>
            </w: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80" w:type="dxa"/>
            <w:vAlign w:val="bottom"/>
            <w:gridSpan w:val="2"/>
          </w:tcPr>
          <w:p>
            <w:pPr>
              <w:jc w:val="center"/>
              <w:ind w:right="3134"/>
              <w:spacing w:after="0"/>
              <w:rPr>
                <w:sz w:val="20"/>
                <w:szCs w:val="20"/>
                <w:color w:val="auto"/>
              </w:rPr>
            </w:pPr>
            <w:r>
              <w:rPr>
                <w:rFonts w:ascii="Arial" w:cs="Arial" w:eastAsia="Arial" w:hAnsi="Arial"/>
                <w:sz w:val="14"/>
                <w:szCs w:val="14"/>
                <w:b w:val="1"/>
                <w:bCs w:val="1"/>
                <w:color w:val="auto"/>
              </w:rPr>
              <w:t>(State or other jurisdiction of</w:t>
            </w:r>
          </w:p>
        </w:tc>
        <w:tc>
          <w:tcPr>
            <w:tcW w:w="358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80" w:type="dxa"/>
            <w:vAlign w:val="bottom"/>
            <w:gridSpan w:val="2"/>
          </w:tcPr>
          <w:p>
            <w:pPr>
              <w:jc w:val="center"/>
              <w:ind w:right="3134"/>
              <w:spacing w:after="0"/>
              <w:rPr>
                <w:sz w:val="20"/>
                <w:szCs w:val="20"/>
                <w:color w:val="auto"/>
              </w:rPr>
            </w:pPr>
            <w:r>
              <w:rPr>
                <w:rFonts w:ascii="Arial" w:cs="Arial" w:eastAsia="Arial" w:hAnsi="Arial"/>
                <w:sz w:val="14"/>
                <w:szCs w:val="14"/>
                <w:b w:val="1"/>
                <w:bCs w:val="1"/>
                <w:color w:val="auto"/>
              </w:rPr>
              <w:t>incorporation or organization)</w:t>
            </w:r>
          </w:p>
        </w:tc>
        <w:tc>
          <w:tcPr>
            <w:tcW w:w="358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rPr>
              <w:t>Identification No.)</w:t>
            </w:r>
          </w:p>
        </w:tc>
      </w:tr>
      <w:tr>
        <w:trPr>
          <w:trHeight w:val="5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80" w:type="dxa"/>
            <w:vAlign w:val="bottom"/>
            <w:gridSpan w:val="2"/>
          </w:tcPr>
          <w:p>
            <w:pPr>
              <w:jc w:val="center"/>
              <w:ind w:right="1834"/>
              <w:spacing w:after="0"/>
              <w:rPr>
                <w:sz w:val="20"/>
                <w:szCs w:val="20"/>
                <w:color w:val="auto"/>
              </w:rPr>
            </w:pPr>
            <w:r>
              <w:rPr>
                <w:rFonts w:ascii="Arial" w:cs="Arial" w:eastAsia="Arial" w:hAnsi="Arial"/>
                <w:sz w:val="18"/>
                <w:szCs w:val="18"/>
                <w:b w:val="1"/>
                <w:bCs w:val="1"/>
                <w:color w:val="auto"/>
                <w:w w:val="99"/>
              </w:rPr>
              <w:t>2381 Rosegate, Roseville, Minnesota</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80" w:type="dxa"/>
            <w:vAlign w:val="bottom"/>
            <w:gridSpan w:val="2"/>
          </w:tcPr>
          <w:p>
            <w:pPr>
              <w:jc w:val="center"/>
              <w:ind w:right="1814"/>
              <w:spacing w:after="0"/>
              <w:rPr>
                <w:sz w:val="20"/>
                <w:szCs w:val="20"/>
                <w:color w:val="auto"/>
              </w:rPr>
            </w:pPr>
            <w:r>
              <w:rPr>
                <w:rFonts w:ascii="Arial" w:cs="Arial" w:eastAsia="Arial" w:hAnsi="Arial"/>
                <w:sz w:val="14"/>
                <w:szCs w:val="14"/>
                <w:b w:val="1"/>
                <w:bCs w:val="1"/>
                <w:color w:val="auto"/>
              </w:rPr>
              <w:t>(Address of principal executive offices)</w:t>
            </w:r>
          </w:p>
        </w:tc>
        <w:tc>
          <w:tcPr>
            <w:tcW w:w="358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rPr>
              <w:t>(Zip code)</w:t>
            </w:r>
          </w:p>
        </w:tc>
      </w:tr>
      <w:tr>
        <w:trPr>
          <w:trHeight w:val="5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80" w:type="dxa"/>
            <w:vAlign w:val="bottom"/>
            <w:gridSpan w:val="2"/>
          </w:tcPr>
          <w:p>
            <w:pPr>
              <w:jc w:val="center"/>
              <w:ind w:left="2348"/>
              <w:spacing w:after="0"/>
              <w:rPr>
                <w:sz w:val="20"/>
                <w:szCs w:val="20"/>
                <w:color w:val="auto"/>
              </w:rPr>
            </w:pPr>
            <w:r>
              <w:rPr>
                <w:rFonts w:ascii="Arial" w:cs="Arial" w:eastAsia="Arial" w:hAnsi="Arial"/>
                <w:sz w:val="18"/>
                <w:szCs w:val="18"/>
                <w:b w:val="1"/>
                <w:bCs w:val="1"/>
                <w:color w:val="auto"/>
              </w:rPr>
              <w:t>(612) 331-6910</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7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2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r>
    </w:tbl>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20" w:type="dxa"/>
        <w:tblCellMar>
          <w:top w:w="0" w:type="dxa"/>
          <w:left w:w="0" w:type="dxa"/>
          <w:bottom w:w="0" w:type="dxa"/>
          <w:right w:w="0" w:type="dxa"/>
        </w:tblCellMar>
      </w:tblPr>
      <w:tr>
        <w:trPr>
          <w:trHeight w:val="228"/>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3"/>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300" w:type="dxa"/>
            <w:vAlign w:val="bottom"/>
          </w:tcPr>
          <w:p>
            <w:pPr>
              <w:jc w:val="center"/>
              <w:spacing w:after="0"/>
              <w:rPr>
                <w:sz w:val="20"/>
                <w:szCs w:val="20"/>
                <w:color w:val="auto"/>
              </w:rPr>
            </w:pPr>
            <w:r>
              <w:rPr>
                <w:rFonts w:ascii="Arial" w:cs="Arial" w:eastAsia="Arial" w:hAnsi="Arial"/>
                <w:sz w:val="16"/>
                <w:szCs w:val="16"/>
                <w:color w:val="auto"/>
              </w:rPr>
              <w:t>HWKN</w:t>
            </w:r>
          </w:p>
        </w:tc>
        <w:tc>
          <w:tcPr>
            <w:tcW w:w="4500" w:type="dxa"/>
            <w:vAlign w:val="bottom"/>
          </w:tcPr>
          <w:p>
            <w:pPr>
              <w:jc w:val="center"/>
              <w:ind w:right="79"/>
              <w:spacing w:after="0"/>
              <w:rPr>
                <w:sz w:val="20"/>
                <w:szCs w:val="20"/>
                <w:color w:val="auto"/>
              </w:rPr>
            </w:pPr>
            <w:r>
              <w:rPr>
                <w:rFonts w:ascii="Arial" w:cs="Arial" w:eastAsia="Arial" w:hAnsi="Arial"/>
                <w:sz w:val="16"/>
                <w:szCs w:val="16"/>
                <w:color w:val="auto"/>
              </w:rPr>
              <w:t>Nasdaq Stock Market LLC</w:t>
            </w:r>
          </w:p>
        </w:tc>
      </w:tr>
    </w:tbl>
    <w:p>
      <w:pPr>
        <w:spacing w:after="0" w:line="181"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9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16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18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2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8" w:lineRule="exact"/>
        <w:rPr>
          <w:sz w:val="24"/>
          <w:szCs w:val="24"/>
          <w:color w:val="auto"/>
        </w:rPr>
      </w:pPr>
    </w:p>
    <w:p>
      <w:pPr>
        <w:ind w:left="2680"/>
        <w:spacing w:after="0"/>
        <w:tabs>
          <w:tab w:leader="none" w:pos="6560" w:val="left"/>
        </w:tabs>
        <w:rPr>
          <w:sz w:val="20"/>
          <w:szCs w:val="20"/>
          <w:color w:val="auto"/>
        </w:rPr>
      </w:pPr>
      <w:r>
        <w:rPr>
          <w:rFonts w:ascii="Arial" w:cs="Arial" w:eastAsia="Arial" w:hAnsi="Arial"/>
          <w:sz w:val="14"/>
          <w:szCs w:val="14"/>
          <w:color w:val="auto"/>
        </w:rPr>
        <w:t>CLASS</w:t>
      </w:r>
      <w:r>
        <w:rPr>
          <w:sz w:val="20"/>
          <w:szCs w:val="20"/>
          <w:color w:val="auto"/>
        </w:rPr>
        <w:tab/>
      </w:r>
      <w:r>
        <w:rPr>
          <w:rFonts w:ascii="Arial" w:cs="Arial" w:eastAsia="Arial" w:hAnsi="Arial"/>
          <w:sz w:val="14"/>
          <w:szCs w:val="14"/>
          <w:color w:val="auto"/>
        </w:rPr>
        <w:t>Shares Outstanding at July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5940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p>
      <w:pPr>
        <w:spacing w:after="0" w:line="63" w:lineRule="exact"/>
        <w:rPr>
          <w:sz w:val="24"/>
          <w:szCs w:val="24"/>
          <w:color w:val="auto"/>
        </w:rPr>
      </w:pPr>
    </w:p>
    <w:p>
      <w:pPr>
        <w:ind w:left="1280"/>
        <w:spacing w:after="0"/>
        <w:tabs>
          <w:tab w:leader="none" w:pos="7280" w:val="left"/>
        </w:tabs>
        <w:rPr>
          <w:sz w:val="20"/>
          <w:szCs w:val="20"/>
          <w:color w:val="auto"/>
        </w:rPr>
      </w:pPr>
      <w:r>
        <w:rPr>
          <w:rFonts w:ascii="Arial" w:cs="Arial" w:eastAsia="Arial" w:hAnsi="Arial"/>
          <w:sz w:val="18"/>
          <w:szCs w:val="18"/>
          <w:color w:val="auto"/>
        </w:rPr>
        <w:t>Common Stock, par value $.05 per share</w:t>
      </w:r>
      <w:r>
        <w:rPr>
          <w:sz w:val="20"/>
          <w:szCs w:val="20"/>
          <w:color w:val="auto"/>
        </w:rPr>
        <w:tab/>
      </w:r>
      <w:r>
        <w:rPr>
          <w:rFonts w:ascii="Arial" w:cs="Arial" w:eastAsia="Arial" w:hAnsi="Arial"/>
          <w:sz w:val="17"/>
          <w:szCs w:val="17"/>
          <w:color w:val="auto"/>
        </w:rPr>
        <w:t>10,664,763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left="-79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left="-799"/>
        <w:spacing w:after="0"/>
        <w:rPr>
          <w:sz w:val="20"/>
          <w:szCs w:val="20"/>
          <w:color w:val="auto"/>
        </w:rPr>
      </w:pPr>
      <w:r>
        <w:rPr>
          <w:rFonts w:ascii="Arial" w:cs="Arial" w:eastAsia="Arial" w:hAnsi="Arial"/>
          <w:sz w:val="18"/>
          <w:szCs w:val="18"/>
          <w:b w:val="1"/>
          <w:bCs w:val="1"/>
          <w:color w:val="auto"/>
        </w:rPr>
        <w:t>INDEX TO FORM 10-Q</w:t>
      </w:r>
    </w:p>
    <w:p>
      <w:pPr>
        <w:spacing w:after="0" w:line="298"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p>
      <w:pPr>
        <w:spacing w:after="0" w:line="126"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p>
      <w:pPr>
        <w:spacing w:after="0" w:line="104" w:lineRule="exact"/>
        <w:rPr>
          <w:sz w:val="20"/>
          <w:szCs w:val="20"/>
          <w:color w:val="auto"/>
        </w:rPr>
      </w:pPr>
    </w:p>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Balance Sheets – June 28</w:t>
        </w:r>
        <w:r>
          <w:rPr>
            <w:rFonts w:ascii="Arial" w:cs="Arial" w:eastAsia="Arial" w:hAnsi="Arial"/>
            <w:sz w:val="18"/>
            <w:szCs w:val="18"/>
            <w:color w:val="0000FF"/>
          </w:rPr>
          <w:t>, 20</w:t>
        </w:r>
        <w:r>
          <w:rPr>
            <w:rFonts w:ascii="Arial" w:cs="Arial" w:eastAsia="Arial" w:hAnsi="Arial"/>
            <w:sz w:val="18"/>
            <w:szCs w:val="18"/>
            <w:u w:val="single" w:color="auto"/>
            <w:color w:val="0000FF"/>
          </w:rPr>
          <w:t>20 and March 29</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w:t>
        </w:r>
      </w:hyperlink>
    </w:p>
    <w:p>
      <w:pPr>
        <w:spacing w:after="0" w:line="77" w:lineRule="exact"/>
        <w:rPr>
          <w:sz w:val="20"/>
          <w:szCs w:val="20"/>
          <w:color w:val="auto"/>
        </w:rPr>
      </w:pPr>
    </w:p>
    <w:p>
      <w:pPr>
        <w:ind w:right="840"/>
        <w:spacing w:after="0" w:line="227" w:lineRule="auto"/>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 – Three Months Ended June 28, 2020 and</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June 30, 2019</w:t>
        </w:r>
      </w:hyperlink>
    </w:p>
    <w:p>
      <w:pPr>
        <w:spacing w:after="0" w:line="67" w:lineRule="exact"/>
        <w:rPr>
          <w:sz w:val="20"/>
          <w:szCs w:val="20"/>
          <w:color w:val="auto"/>
        </w:rPr>
      </w:pPr>
    </w:p>
    <w:p>
      <w:pPr>
        <w:ind w:right="620"/>
        <w:spacing w:after="0" w:line="227" w:lineRule="auto"/>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Statements of Comprehensive Income – Three Months Ended June</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28</w:t>
        </w:r>
        <w:r>
          <w:rPr>
            <w:rFonts w:ascii="Arial" w:cs="Arial" w:eastAsia="Arial" w:hAnsi="Arial"/>
            <w:sz w:val="18"/>
            <w:szCs w:val="18"/>
            <w:color w:val="0000FF"/>
          </w:rPr>
          <w:t>, 20</w:t>
        </w:r>
        <w:r>
          <w:rPr>
            <w:rFonts w:ascii="Arial" w:cs="Arial" w:eastAsia="Arial" w:hAnsi="Arial"/>
            <w:sz w:val="18"/>
            <w:szCs w:val="18"/>
            <w:u w:val="single" w:color="auto"/>
            <w:color w:val="0000FF"/>
          </w:rPr>
          <w:t>20 and June 30, 2019</w:t>
        </w:r>
      </w:hyperlink>
    </w:p>
    <w:p>
      <w:pPr>
        <w:spacing w:after="0" w:line="67" w:lineRule="exact"/>
        <w:rPr>
          <w:sz w:val="20"/>
          <w:szCs w:val="20"/>
          <w:color w:val="auto"/>
        </w:rPr>
      </w:pPr>
    </w:p>
    <w:p>
      <w:pPr>
        <w:ind w:right="560"/>
        <w:spacing w:after="0" w:line="227"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Shareholder’s Equity – Three Months Ended June 28,</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2020 and June 30, 2019</w:t>
        </w:r>
      </w:hyperlink>
    </w:p>
    <w:p>
      <w:pPr>
        <w:spacing w:after="0" w:line="67" w:lineRule="exact"/>
        <w:rPr>
          <w:sz w:val="20"/>
          <w:szCs w:val="20"/>
          <w:color w:val="auto"/>
        </w:rPr>
      </w:pPr>
    </w:p>
    <w:p>
      <w:pPr>
        <w:ind w:right="840"/>
        <w:spacing w:after="0" w:line="227"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 Three Months Ended June 28</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w:t>
        </w:r>
      </w:hyperlink>
      <w:r>
        <w:rPr>
          <w:rFonts w:ascii="Arial" w:cs="Arial" w:eastAsia="Arial" w:hAnsi="Arial"/>
          <w:sz w:val="18"/>
          <w:szCs w:val="18"/>
          <w:color w:val="0000FF"/>
        </w:rPr>
        <w:t xml:space="preserve"> </w:t>
      </w:r>
      <w:hyperlink w:anchor="page6">
        <w:r>
          <w:rPr>
            <w:rFonts w:ascii="Arial" w:cs="Arial" w:eastAsia="Arial" w:hAnsi="Arial"/>
            <w:sz w:val="18"/>
            <w:szCs w:val="18"/>
            <w:u w:val="single" w:color="auto"/>
            <w:color w:val="0000FF"/>
          </w:rPr>
          <w:t>and June 30, 2019</w:t>
        </w:r>
      </w:hyperlink>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p>
      <w:pPr>
        <w:spacing w:after="0" w:line="77" w:lineRule="exact"/>
        <w:rPr>
          <w:sz w:val="20"/>
          <w:szCs w:val="20"/>
          <w:color w:val="auto"/>
        </w:rPr>
      </w:pPr>
    </w:p>
    <w:p>
      <w:pPr>
        <w:ind w:right="1000"/>
        <w:spacing w:after="0" w:line="351" w:lineRule="auto"/>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19">
        <w:r>
          <w:rPr>
            <w:rFonts w:ascii="Arial" w:cs="Arial" w:eastAsia="Arial" w:hAnsi="Arial"/>
            <w:sz w:val="18"/>
            <w:szCs w:val="18"/>
            <w:u w:val="single" w:color="auto"/>
            <w:color w:val="0000FF"/>
          </w:rPr>
          <w:t>Quantitative and Qualitative Disclosures about Market Risk</w:t>
        </w:r>
      </w:hyperlink>
      <w:r>
        <w:rPr>
          <w:rFonts w:ascii="Arial" w:cs="Arial" w:eastAsia="Arial" w:hAnsi="Arial"/>
          <w:sz w:val="18"/>
          <w:szCs w:val="18"/>
          <w:u w:val="single" w:color="auto"/>
          <w:color w:val="0000FF"/>
        </w:rPr>
        <w:t xml:space="preserve"> </w:t>
      </w:r>
      <w:hyperlink w:anchor="page20">
        <w:r>
          <w:rPr>
            <w:rFonts w:ascii="Arial" w:cs="Arial" w:eastAsia="Arial" w:hAnsi="Arial"/>
            <w:sz w:val="18"/>
            <w:szCs w:val="18"/>
            <w:u w:val="single" w:color="auto"/>
            <w:color w:val="0000FF"/>
          </w:rPr>
          <w:t>Controls and Procedures</w:t>
        </w:r>
      </w:hyperlink>
    </w:p>
    <w:p>
      <w:pPr>
        <w:spacing w:after="0" w:line="1" w:lineRule="exact"/>
        <w:rPr>
          <w:rFonts w:ascii="Arial" w:cs="Arial" w:eastAsia="Arial" w:hAnsi="Arial"/>
          <w:sz w:val="18"/>
          <w:szCs w:val="18"/>
          <w:u w:val="single" w:color="auto"/>
          <w:color w:val="0000FF"/>
        </w:rPr>
      </w:pPr>
    </w:p>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OTHER INFORMATION</w:t>
        </w:r>
      </w:hyperlink>
    </w:p>
    <w:p>
      <w:pPr>
        <w:spacing w:after="0" w:line="12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Legal Proceedings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Risk Factors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Unregistered Sales of Equity Securities and Use of Proceeds</w:t>
        </w:r>
      </w:hyperlink>
    </w:p>
    <w:p>
      <w:pPr>
        <w:spacing w:after="0" w:line="13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Defaults Upon Senior Securities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Mine Safety Disclosures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Other Information</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Exhibits</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ind w:left="442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7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4"/>
          <w:szCs w:val="14"/>
          <w:b w:val="1"/>
          <w:bCs w:val="1"/>
          <w:color w:val="auto"/>
        </w:rPr>
        <w:t>Page</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9"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77"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13</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18</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18</w:t>
        </w:r>
      </w:hyperlink>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p>
      <w:pPr>
        <w:sectPr>
          <w:pgSz w:w="11900" w:h="16838" w:orient="portrait"/>
          <w:cols w:equalWidth="0" w:num="3">
            <w:col w:w="680" w:space="480"/>
            <w:col w:w="8080" w:space="720"/>
            <w:col w:w="360"/>
          </w:cols>
          <w:pgMar w:left="340" w:top="886" w:right="1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28,</w:t>
            </w:r>
          </w:p>
        </w:tc>
        <w:tc>
          <w:tcPr>
            <w:tcW w:w="1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29,</w:t>
            </w:r>
          </w:p>
        </w:tc>
      </w:tr>
      <w:tr>
        <w:trPr>
          <w:trHeight w:val="228"/>
        </w:trPr>
        <w:tc>
          <w:tcPr>
            <w:tcW w:w="8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4,277</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Trade receivables — less allowance for doubtful accounts: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6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$530 as of June 28, 2020 and $784 as of March 29, 2020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69,453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67,391</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63,389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54,436</w:t>
            </w: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3,053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4,927</w:t>
            </w:r>
          </w:p>
        </w:tc>
      </w:tr>
      <w:tr>
        <w:trPr>
          <w:trHeight w:val="227"/>
        </w:trPr>
        <w:tc>
          <w:tcPr>
            <w:tcW w:w="860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140,405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131,031</w:t>
            </w: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271,990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267,221</w:t>
            </w:r>
          </w:p>
        </w:tc>
      </w:tr>
      <w:tr>
        <w:trPr>
          <w:trHeight w:val="236"/>
        </w:trPr>
        <w:tc>
          <w:tcPr>
            <w:tcW w:w="86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144,929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140,877</w:t>
            </w:r>
          </w:p>
        </w:tc>
      </w:tr>
      <w:tr>
        <w:trPr>
          <w:trHeight w:val="243"/>
        </w:trPr>
        <w:tc>
          <w:tcPr>
            <w:tcW w:w="8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property, plant, and equipment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127,061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126,344</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Right-of-use assets</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9,090</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58,440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58,440</w:t>
            </w: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59,384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60,653</w:t>
            </w:r>
          </w:p>
        </w:tc>
      </w:tr>
      <w:tr>
        <w:trPr>
          <w:trHeight w:val="237"/>
        </w:trPr>
        <w:tc>
          <w:tcPr>
            <w:tcW w:w="86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3,770</w:t>
            </w:r>
          </w:p>
        </w:tc>
      </w:tr>
      <w:tr>
        <w:trPr>
          <w:trHeight w:val="243"/>
        </w:trPr>
        <w:tc>
          <w:tcPr>
            <w:tcW w:w="8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131,996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131,953</w:t>
            </w:r>
          </w:p>
        </w:tc>
      </w:tr>
      <w:tr>
        <w:trPr>
          <w:trHeight w:val="230"/>
        </w:trPr>
        <w:tc>
          <w:tcPr>
            <w:tcW w:w="860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399,462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389,328</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 trade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31,069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34,129</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Accrued payroll and employee benefits</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13,538</w:t>
            </w: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9,907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9,907</w:t>
            </w: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Short-term lease liability</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1,523</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Container deposits</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1,376</w:t>
            </w: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1,654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1,688</w:t>
            </w:r>
          </w:p>
        </w:tc>
      </w:tr>
      <w:tr>
        <w:trPr>
          <w:trHeight w:val="227"/>
        </w:trPr>
        <w:tc>
          <w:tcPr>
            <w:tcW w:w="860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56,681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62,220</w:t>
            </w: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55,775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49,751</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7,306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7,649</w:t>
            </w: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4,978</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25,102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25,106</w:t>
            </w: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6,277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6,140</w:t>
            </w:r>
          </w:p>
        </w:tc>
      </w:tr>
      <w:tr>
        <w:trPr>
          <w:trHeight w:val="227"/>
        </w:trPr>
        <w:tc>
          <w:tcPr>
            <w:tcW w:w="860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156,033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155,844</w:t>
            </w:r>
          </w:p>
        </w:tc>
      </w:tr>
      <w:tr>
        <w:trPr>
          <w:trHeight w:val="25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8"/>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authorized: 30,000,000 shares of $0.05 par value; 10,515,835 and 10,512,229 shares issued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and outstanding as of June 28, 2020 and March 29, 2020, respectively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526</w:t>
            </w:r>
          </w:p>
        </w:tc>
      </w:tr>
      <w:tr>
        <w:trPr>
          <w:trHeight w:val="233"/>
        </w:trPr>
        <w:tc>
          <w:tcPr>
            <w:tcW w:w="860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50,736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50,090</w:t>
            </w:r>
          </w:p>
        </w:tc>
      </w:tr>
      <w:tr>
        <w:trPr>
          <w:trHeight w:val="253"/>
        </w:trPr>
        <w:tc>
          <w:tcPr>
            <w:tcW w:w="8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192,256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182,947</w:t>
            </w:r>
          </w:p>
        </w:tc>
      </w:tr>
      <w:tr>
        <w:trPr>
          <w:trHeight w:val="236"/>
        </w:trPr>
        <w:tc>
          <w:tcPr>
            <w:tcW w:w="86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r>
      <w:tr>
        <w:trPr>
          <w:trHeight w:val="243"/>
        </w:trPr>
        <w:tc>
          <w:tcPr>
            <w:tcW w:w="8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243,429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233,484</w:t>
            </w:r>
          </w:p>
        </w:tc>
      </w:tr>
      <w:tr>
        <w:trPr>
          <w:trHeight w:val="230"/>
        </w:trPr>
        <w:tc>
          <w:tcPr>
            <w:tcW w:w="8600" w:type="dxa"/>
            <w:vAlign w:val="bottom"/>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399,462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389,328</w:t>
            </w:r>
          </w:p>
        </w:tc>
      </w:tr>
      <w:tr>
        <w:trPr>
          <w:trHeight w:val="27"/>
        </w:trPr>
        <w:tc>
          <w:tcPr>
            <w:tcW w:w="8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31750</wp:posOffset>
            </wp:positionV>
            <wp:extent cx="1731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5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143,172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147,336</w:t>
            </w:r>
          </w:p>
        </w:tc>
      </w:tr>
      <w:tr>
        <w:trPr>
          <w:trHeight w:val="25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(112,196)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(118,539)</w:t>
            </w: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30,976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28,797</w:t>
            </w:r>
          </w:p>
        </w:tc>
      </w:tr>
      <w:tr>
        <w:trPr>
          <w:trHeight w:val="25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(15,038)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(14,836)</w:t>
            </w:r>
          </w:p>
        </w:tc>
      </w:tr>
      <w:tr>
        <w:trPr>
          <w:trHeight w:val="25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15,938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13,961</w:t>
            </w: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6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13,315</w:t>
            </w:r>
          </w:p>
        </w:tc>
      </w:tr>
      <w:tr>
        <w:trPr>
          <w:trHeight w:val="26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(4,247)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(3,508)</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11,788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9,807</w:t>
            </w:r>
          </w:p>
        </w:tc>
      </w:tr>
      <w:tr>
        <w:trPr>
          <w:trHeight w:val="21"/>
        </w:trPr>
        <w:tc>
          <w:tcPr>
            <w:tcW w:w="8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8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10,515,728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10,604,306</w:t>
            </w:r>
          </w:p>
        </w:tc>
      </w:tr>
      <w:tr>
        <w:trPr>
          <w:trHeight w:val="26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10,642,673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10,665,709</w:t>
            </w:r>
          </w:p>
        </w:tc>
      </w:tr>
      <w:tr>
        <w:trPr>
          <w:trHeight w:val="270"/>
        </w:trPr>
        <w:tc>
          <w:tcPr>
            <w:tcW w:w="8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0.92</w:t>
            </w: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0.92</w:t>
            </w:r>
          </w:p>
        </w:tc>
      </w:tr>
      <w:tr>
        <w:trPr>
          <w:trHeight w:val="277"/>
        </w:trPr>
        <w:tc>
          <w:tcPr>
            <w:tcW w:w="8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0.2325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0.2300</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5"/>
                <w:szCs w:val="15"/>
                <w:color w:val="auto"/>
              </w:rPr>
            </w:pPr>
          </w:p>
        </w:tc>
        <w:tc>
          <w:tcPr>
            <w:tcW w:w="1080" w:type="dxa"/>
            <w:vAlign w:val="bottom"/>
          </w:tcPr>
          <w:p>
            <w:pPr>
              <w:jc w:val="right"/>
              <w:ind w:right="297"/>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5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11,788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9,807</w:t>
            </w:r>
          </w:p>
        </w:tc>
      </w:tr>
      <w:tr>
        <w:trPr>
          <w:trHeight w:val="250"/>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swap</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(179)</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9,628</w:t>
            </w:r>
          </w:p>
        </w:tc>
      </w:tr>
      <w:tr>
        <w:trPr>
          <w:trHeight w:val="27"/>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right="4740"/>
        <w:spacing w:after="0" w:line="228"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4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0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tcPr>
          <w:p>
            <w:pPr>
              <w:jc w:val="center"/>
              <w:ind w:right="21"/>
              <w:spacing w:after="0" w:line="14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1060" w:type="dxa"/>
            <w:vAlign w:val="bottom"/>
          </w:tcPr>
          <w:p>
            <w:pPr>
              <w:jc w:val="center"/>
              <w:ind w:right="2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29, 2020</w:t>
            </w:r>
          </w:p>
        </w:tc>
        <w:tc>
          <w:tcPr>
            <w:tcW w:w="10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10,512,229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50,090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182,947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declared and paid</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3"/>
        </w:trPr>
        <w:tc>
          <w:tcPr>
            <w:tcW w:w="376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5,263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3"/>
        </w:trPr>
        <w:tc>
          <w:tcPr>
            <w:tcW w:w="3760" w:type="dxa"/>
            <w:vAlign w:val="bottom"/>
          </w:tcPr>
          <w:p>
            <w:pPr>
              <w:ind w:left="34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11,788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BALANCE — June 28, 2020</w:t>
            </w: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10,515,835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50,736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192,256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243,429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4"/>
                <w:szCs w:val="24"/>
                <w:color w:val="auto"/>
              </w:rPr>
            </w:pPr>
          </w:p>
        </w:tc>
        <w:tc>
          <w:tcPr>
            <w:tcW w:w="24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0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tcPr>
          <w:p>
            <w:pPr>
              <w:jc w:val="center"/>
              <w:ind w:right="21"/>
              <w:spacing w:after="0" w:line="14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1060" w:type="dxa"/>
            <w:vAlign w:val="bottom"/>
          </w:tcPr>
          <w:p>
            <w:pPr>
              <w:jc w:val="center"/>
              <w:ind w:right="2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31, 2019</w:t>
            </w:r>
          </w:p>
        </w:tc>
        <w:tc>
          <w:tcPr>
            <w:tcW w:w="10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10,592,450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52,609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164,405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declared and paid</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33"/>
        </w:trPr>
        <w:tc>
          <w:tcPr>
            <w:tcW w:w="376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27,620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3"/>
        </w:trPr>
        <w:tc>
          <w:tcPr>
            <w:tcW w:w="376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(47,136)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9,807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10,563,774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50,974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171,752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223,392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w:t>
            </w:r>
          </w:p>
        </w:tc>
        <w:tc>
          <w:tcPr>
            <w:tcW w:w="260" w:type="dxa"/>
            <w:vAlign w:val="bottom"/>
          </w:tcPr>
          <w:p>
            <w:pPr>
              <w:spacing w:after="0"/>
              <w:rPr>
                <w:sz w:val="17"/>
                <w:szCs w:val="17"/>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w:t>
            </w:r>
          </w:p>
        </w:tc>
      </w:tr>
      <w:tr>
        <w:trPr>
          <w:trHeight w:val="228"/>
        </w:trPr>
        <w:tc>
          <w:tcPr>
            <w:tcW w:w="7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74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11,788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9,807</w:t>
            </w:r>
          </w:p>
        </w:tc>
      </w:tr>
      <w:tr>
        <w:trPr>
          <w:trHeight w:val="25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Reconciliation to cash flows: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48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5,484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5,353</w:t>
            </w:r>
          </w:p>
        </w:tc>
      </w:tr>
      <w:tr>
        <w:trPr>
          <w:trHeight w:val="253"/>
        </w:trPr>
        <w:tc>
          <w:tcPr>
            <w:tcW w:w="7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515</w:t>
            </w:r>
          </w:p>
        </w:tc>
      </w:tr>
      <w:tr>
        <w:trPr>
          <w:trHeight w:val="233"/>
        </w:trPr>
        <w:tc>
          <w:tcPr>
            <w:tcW w:w="7480" w:type="dxa"/>
            <w:vAlign w:val="bottom"/>
          </w:tcPr>
          <w:p>
            <w:pPr>
              <w:ind w:left="660"/>
              <w:spacing w:after="0"/>
              <w:rPr>
                <w:sz w:val="20"/>
                <w:szCs w:val="20"/>
                <w:color w:val="auto"/>
              </w:rPr>
            </w:pPr>
            <w:r>
              <w:rPr>
                <w:rFonts w:ascii="Arial" w:cs="Arial" w:eastAsia="Arial" w:hAnsi="Arial"/>
                <w:sz w:val="16"/>
                <w:szCs w:val="16"/>
                <w:color w:val="auto"/>
              </w:rPr>
              <w:t>Gain on deferred compensation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53"/>
        </w:trPr>
        <w:tc>
          <w:tcPr>
            <w:tcW w:w="7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Stock compensation expense</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509</w:t>
            </w:r>
          </w:p>
        </w:tc>
      </w:tr>
      <w:tr>
        <w:trPr>
          <w:trHeight w:val="233"/>
        </w:trPr>
        <w:tc>
          <w:tcPr>
            <w:tcW w:w="7480" w:type="dxa"/>
            <w:vAlign w:val="bottom"/>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29</w:t>
            </w:r>
          </w:p>
        </w:tc>
      </w:tr>
      <w:tr>
        <w:trPr>
          <w:trHeight w:val="253"/>
        </w:trPr>
        <w:tc>
          <w:tcPr>
            <w:tcW w:w="7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Changes in operating accounts providing (using) cash:</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480" w:type="dxa"/>
            <w:vAlign w:val="bottom"/>
          </w:tcPr>
          <w:p>
            <w:pPr>
              <w:ind w:left="1100"/>
              <w:spacing w:after="0"/>
              <w:rPr>
                <w:sz w:val="20"/>
                <w:szCs w:val="20"/>
                <w:color w:val="auto"/>
              </w:rPr>
            </w:pPr>
            <w:r>
              <w:rPr>
                <w:rFonts w:ascii="Arial" w:cs="Arial" w:eastAsia="Arial" w:hAnsi="Arial"/>
                <w:sz w:val="16"/>
                <w:szCs w:val="16"/>
                <w:color w:val="auto"/>
              </w:rPr>
              <w:t>Trade receivables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(5,044)</w:t>
            </w:r>
          </w:p>
        </w:tc>
      </w:tr>
      <w:tr>
        <w:trPr>
          <w:trHeight w:val="253"/>
        </w:trPr>
        <w:tc>
          <w:tcPr>
            <w:tcW w:w="74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1,789</w:t>
            </w:r>
          </w:p>
        </w:tc>
      </w:tr>
      <w:tr>
        <w:trPr>
          <w:trHeight w:val="233"/>
        </w:trPr>
        <w:tc>
          <w:tcPr>
            <w:tcW w:w="7480" w:type="dxa"/>
            <w:vAlign w:val="bottom"/>
          </w:tcPr>
          <w:p>
            <w:pPr>
              <w:ind w:left="110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2,742</w:t>
            </w:r>
          </w:p>
        </w:tc>
      </w:tr>
      <w:tr>
        <w:trPr>
          <w:trHeight w:val="253"/>
        </w:trPr>
        <w:tc>
          <w:tcPr>
            <w:tcW w:w="74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(7,667)</w:t>
            </w:r>
          </w:p>
        </w:tc>
      </w:tr>
      <w:tr>
        <w:trPr>
          <w:trHeight w:val="233"/>
        </w:trPr>
        <w:tc>
          <w:tcPr>
            <w:tcW w:w="7480" w:type="dxa"/>
            <w:vAlign w:val="bottom"/>
          </w:tcPr>
          <w:p>
            <w:pPr>
              <w:ind w:left="110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53"/>
        </w:trPr>
        <w:tc>
          <w:tcPr>
            <w:tcW w:w="74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4,263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3,510</w:t>
            </w:r>
          </w:p>
        </w:tc>
      </w:tr>
      <w:tr>
        <w:trPr>
          <w:trHeight w:val="236"/>
        </w:trPr>
        <w:tc>
          <w:tcPr>
            <w:tcW w:w="74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r>
      <w:tr>
        <w:trPr>
          <w:trHeight w:val="243"/>
        </w:trPr>
        <w:tc>
          <w:tcPr>
            <w:tcW w:w="74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10,110</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w:t>
            </w:r>
          </w:p>
        </w:tc>
      </w:tr>
      <w:tr>
        <w:trPr>
          <w:trHeight w:val="237"/>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w:t>
            </w:r>
          </w:p>
        </w:tc>
      </w:tr>
      <w:tr>
        <w:trPr>
          <w:trHeight w:val="243"/>
        </w:trPr>
        <w:tc>
          <w:tcPr>
            <w:tcW w:w="74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(9,096)</w:t>
            </w: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declared and paid</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233"/>
        </w:trPr>
        <w:tc>
          <w:tcPr>
            <w:tcW w:w="7480" w:type="dxa"/>
            <w:vAlign w:val="bottom"/>
          </w:tcPr>
          <w:p>
            <w:pPr>
              <w:ind w:left="340"/>
              <w:spacing w:after="0"/>
              <w:rPr>
                <w:sz w:val="20"/>
                <w:szCs w:val="20"/>
                <w:color w:val="auto"/>
              </w:rPr>
            </w:pPr>
            <w:r>
              <w:rPr>
                <w:rFonts w:ascii="Arial" w:cs="Arial" w:eastAsia="Arial" w:hAnsi="Arial"/>
                <w:sz w:val="16"/>
                <w:szCs w:val="16"/>
                <w:color w:val="auto"/>
              </w:rPr>
              <w:t>Shares surrendered for payroll taxes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5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repurchased</w:t>
            </w: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r>
      <w:tr>
        <w:trPr>
          <w:trHeight w:val="237"/>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proceeds from revolver borrowings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74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3,467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r>
      <w:tr>
        <w:trPr>
          <w:trHeight w:val="227"/>
        </w:trPr>
        <w:tc>
          <w:tcPr>
            <w:tcW w:w="74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(3,592)</w:t>
            </w:r>
          </w:p>
        </w:tc>
      </w:tr>
      <w:tr>
        <w:trPr>
          <w:trHeight w:val="25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4,277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9,199</w:t>
            </w:r>
          </w:p>
        </w:tc>
      </w:tr>
      <w:tr>
        <w:trPr>
          <w:trHeight w:val="230"/>
        </w:trPr>
        <w:tc>
          <w:tcPr>
            <w:tcW w:w="74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4,510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5,607</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7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3"/>
        </w:trPr>
        <w:tc>
          <w:tcPr>
            <w:tcW w:w="748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756</w:t>
            </w:r>
          </w:p>
        </w:tc>
      </w:tr>
      <w:tr>
        <w:trPr>
          <w:trHeight w:val="223"/>
        </w:trPr>
        <w:tc>
          <w:tcPr>
            <w:tcW w:w="7480" w:type="dxa"/>
            <w:vAlign w:val="bottom"/>
          </w:tcPr>
          <w:p>
            <w:pPr>
              <w:ind w:left="34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410</w:t>
            </w:r>
          </w:p>
        </w:tc>
      </w:tr>
    </w:tbl>
    <w:p>
      <w:pPr>
        <w:spacing w:after="0" w:line="18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886"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1">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three months ended June 28, 2020 are not necessarily indicative of the results that may be expected for the full year.</w:t>
      </w:r>
    </w:p>
    <w:p>
      <w:pPr>
        <w:spacing w:after="0" w:line="23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References to fiscal 2019 refer to the fiscal year ended March 31, 2019, references to fiscal 2020 refer to the fiscal year ended March 29, 2020 and references to fiscal 2021 refer to the fiscal year ending March 28, 2021.</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ind w:right="18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21">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previously filed with the SEC. There has been no significant change in our accounting policies since the end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On March 30, 2020, we adopted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The amendments in this update replaced the incurred loss impairment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in previous GAAP with a methodology that reflects expected credit losses on instruments within its scope, including trade receivables. This update is intended to provide financial statement users with more decision-useful information about the expected credit losses. Our adoption of this ASU impacted our method for calculating and estimating our allowance for doubtful accounts but did not have a material impact to our financial position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tables disaggregate external customer net sales by major revenue stream for the three months ended June 28,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41"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Three months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28575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ind w:left="20" w:right="860"/>
        <w:spacing w:after="0" w:line="249"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Water</w:t>
            </w:r>
          </w:p>
        </w:tc>
        <w:tc>
          <w:tcPr>
            <w:tcW w:w="16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60" w:type="dxa"/>
            <w:vAlign w:val="bottom"/>
          </w:tcPr>
          <w:p>
            <w:pPr>
              <w:spacing w:after="0"/>
              <w:rPr>
                <w:sz w:val="21"/>
                <w:szCs w:val="21"/>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43"/>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25,945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38,644</w:t>
            </w:r>
          </w:p>
        </w:tc>
      </w:tr>
      <w:tr>
        <w:trPr>
          <w:trHeight w:val="257"/>
        </w:trPr>
        <w:tc>
          <w:tcPr>
            <w:tcW w:w="20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61,842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103,446</w:t>
            </w:r>
          </w:p>
        </w:tc>
      </w:tr>
      <w:tr>
        <w:trPr>
          <w:trHeight w:val="263"/>
        </w:trPr>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1,082</w:t>
            </w:r>
          </w:p>
        </w:tc>
      </w:tr>
      <w:tr>
        <w:trPr>
          <w:trHeight w:val="250"/>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71,502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39,714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31,956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143,172</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-702310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-368300</wp:posOffset>
            </wp:positionV>
            <wp:extent cx="71062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860" w:space="720"/>
            <w:col w:w="5660"/>
          </w:cols>
          <w:pgMar w:left="320" w:top="6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Water</w:t>
            </w:r>
          </w:p>
        </w:tc>
        <w:tc>
          <w:tcPr>
            <w:tcW w:w="16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60" w:type="dxa"/>
            <w:vAlign w:val="bottom"/>
          </w:tcPr>
          <w:p>
            <w:pPr>
              <w:spacing w:after="0"/>
              <w:rPr>
                <w:sz w:val="21"/>
                <w:szCs w:val="21"/>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56"/>
        </w:trPr>
        <w:tc>
          <w:tcPr>
            <w:tcW w:w="5580" w:type="dxa"/>
            <w:vAlign w:val="bottom"/>
            <w:tcBorders>
              <w:top w:val="single" w:sz="8" w:color="CCEEFF"/>
            </w:tcBorders>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24,605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44,326</w:t>
            </w:r>
          </w:p>
        </w:tc>
      </w:tr>
      <w:tr>
        <w:trPr>
          <w:trHeight w:val="257"/>
        </w:trPr>
        <w:tc>
          <w:tcPr>
            <w:tcW w:w="55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(2)</w:t>
            </w:r>
          </w:p>
        </w:tc>
        <w:tc>
          <w:tcPr>
            <w:tcW w:w="20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59,471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38,150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101,765</w:t>
            </w:r>
          </w:p>
        </w:tc>
      </w:tr>
      <w:tr>
        <w:trPr>
          <w:trHeight w:val="25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1,245</w:t>
            </w: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color w:val="auto"/>
              </w:rPr>
              <w:t>Total external customer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75,325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43,252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147,336</w:t>
            </w:r>
          </w:p>
        </w:tc>
      </w:tr>
      <w:tr>
        <w:trPr>
          <w:trHeight w:val="21"/>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left="660" w:right="60" w:hanging="328"/>
        <w:spacing w:after="0" w:line="24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140" w:hanging="328"/>
        <w:spacing w:after="0" w:line="253"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 revenues accordingly.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7"/>
        </w:trPr>
        <w:tc>
          <w:tcPr>
            <w:tcW w:w="7880" w:type="dxa"/>
            <w:vAlign w:val="bottom"/>
          </w:tcPr>
          <w:p>
            <w:pPr>
              <w:spacing w:after="0"/>
              <w:rPr>
                <w:sz w:val="24"/>
                <w:szCs w:val="24"/>
                <w:color w:val="auto"/>
              </w:rPr>
            </w:pPr>
          </w:p>
        </w:tc>
        <w:tc>
          <w:tcPr>
            <w:tcW w:w="32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07"/>
        </w:trPr>
        <w:tc>
          <w:tcPr>
            <w:tcW w:w="7880" w:type="dxa"/>
            <w:vAlign w:val="bottom"/>
          </w:tcPr>
          <w:p>
            <w:pPr>
              <w:spacing w:after="0"/>
              <w:rPr>
                <w:sz w:val="17"/>
                <w:szCs w:val="17"/>
                <w:color w:val="auto"/>
              </w:rPr>
            </w:pPr>
          </w:p>
        </w:tc>
        <w:tc>
          <w:tcPr>
            <w:tcW w:w="168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28,</w:t>
            </w:r>
          </w:p>
        </w:tc>
        <w:tc>
          <w:tcPr>
            <w:tcW w:w="158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46"/>
        </w:trPr>
        <w:tc>
          <w:tcPr>
            <w:tcW w:w="78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5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10,515,728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10,604,306</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126,945</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61,403</w:t>
            </w:r>
          </w:p>
        </w:tc>
      </w:tr>
      <w:tr>
        <w:trPr>
          <w:trHeight w:val="28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10,642,673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10,665,709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an interest rate swap agreement to manage the risk associated with a portion of our variable-rate long -term debt. We do not utilize derivative instruments for speculative purposes. The interest rate swap involves the exchange of fixed-rate and variable-rate payments without the exchange of the underlying notional amount on which the interest payments are calculated. The $ 20 million swap agreement will terminate on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three months ended June 28, 2020, we recorded a nominal amount in other comprehensive loss related to unrealized losses (net of tax) on the cash flow hedge described above. For the three months ended June 30, 2019, we recorded $0.2 million in other comprehensive loss related to unrealized losses (net of tax) on the cash flow hedge. Included in other current liabilities on our condensed consolidated balance sheet was $0.1 million as of June 28, 2020 and March 29, 2020. Unrealized gains and losses will be reflected in net income when the related cash flows or hedged transactions occur and offset the related performance of the hedged item.</w:t>
      </w:r>
    </w:p>
    <w:p>
      <w:pPr>
        <w:spacing w:after="0" w:line="23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21" w:lineRule="exact"/>
        <w:rPr>
          <w:sz w:val="20"/>
          <w:szCs w:val="20"/>
          <w:color w:val="auto"/>
        </w:rPr>
      </w:pPr>
    </w:p>
    <w:p>
      <w:pPr>
        <w:ind w:left="1180"/>
        <w:spacing w:after="0"/>
        <w:tabs>
          <w:tab w:leader="none" w:pos="20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50" w:lineRule="exact"/>
        <w:rPr>
          <w:sz w:val="20"/>
          <w:szCs w:val="20"/>
          <w:color w:val="auto"/>
        </w:rPr>
      </w:pPr>
    </w:p>
    <w:p>
      <w:pPr>
        <w:ind w:left="2100" w:right="360" w:hanging="908"/>
        <w:spacing w:after="0"/>
        <w:tabs>
          <w:tab w:leader="none" w:pos="208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41" w:lineRule="exact"/>
        <w:rPr>
          <w:sz w:val="20"/>
          <w:szCs w:val="20"/>
          <w:color w:val="auto"/>
        </w:rPr>
      </w:pPr>
    </w:p>
    <w:p>
      <w:pPr>
        <w:ind w:left="2100" w:right="420" w:hanging="908"/>
        <w:spacing w:after="0"/>
        <w:tabs>
          <w:tab w:leader="none" w:pos="208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As of June 28, 2020, the assets held in a deferred compensation retirement plan are classified as other long-term assets on our balance sheet, with the portion of the plan assets expected to be paid within twelve months classified as current assets and the interest rate swap is classified as other current liabilities on our balance sheet. The fair value of the interest rate swap is determined by the respective counterparties based on interest rate changes. Interest rate swaps are valued based on observable interest rate yield curves for similar instruments. The deferred compensation plan</w:t>
      </w:r>
    </w:p>
    <w:p>
      <w:pPr>
        <w:sectPr>
          <w:pgSz w:w="11900" w:h="16838" w:orient="portrait"/>
          <w:cols w:equalWidth="0" w:num="1">
            <w:col w:w="11240"/>
          </w:cols>
          <w:pgMar w:left="320" w:top="625" w:right="339" w:bottom="144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type w:val="continuous"/>
        </w:sectPr>
      </w:pPr>
    </w:p>
    <w:bookmarkStart w:id="10" w:name="page11"/>
    <w:bookmarkEnd w:id="10"/>
    <w:p>
      <w:pPr>
        <w:ind w:right="140"/>
        <w:spacing w:after="0" w:line="256" w:lineRule="auto"/>
        <w:rPr>
          <w:sz w:val="20"/>
          <w:szCs w:val="20"/>
          <w:color w:val="auto"/>
        </w:rPr>
      </w:pPr>
      <w:r>
        <w:rPr>
          <w:rFonts w:ascii="Arial" w:cs="Arial" w:eastAsia="Arial" w:hAnsi="Arial"/>
          <w:sz w:val="18"/>
          <w:szCs w:val="18"/>
          <w:color w:val="auto"/>
        </w:rPr>
        <w:t>assets relate to contributions made to a non -qualified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4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June 28, 2020 and March 29,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28, 2020</w:t>
            </w:r>
          </w:p>
        </w:tc>
        <w:tc>
          <w:tcPr>
            <w:tcW w:w="1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March 29, 2020</w:t>
            </w:r>
          </w:p>
        </w:tc>
      </w:tr>
      <w:tr>
        <w:trPr>
          <w:trHeight w:val="24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0"/>
        </w:trPr>
        <w:tc>
          <w:tcPr>
            <w:tcW w:w="472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840" w:type="dxa"/>
            <w:vAlign w:val="bottom"/>
          </w:tcPr>
          <w:p>
            <w:pPr>
              <w:ind w:left="1760"/>
              <w:spacing w:after="0"/>
              <w:rPr>
                <w:sz w:val="20"/>
                <w:szCs w:val="20"/>
                <w:color w:val="auto"/>
              </w:rPr>
            </w:pPr>
            <w:r>
              <w:rPr>
                <w:rFonts w:ascii="Arial" w:cs="Arial" w:eastAsia="Arial" w:hAnsi="Arial"/>
                <w:sz w:val="18"/>
                <w:szCs w:val="18"/>
                <w:color w:val="auto"/>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3,564</w:t>
            </w:r>
          </w:p>
        </w:tc>
      </w:tr>
      <w:tr>
        <w:trPr>
          <w:trHeight w:val="277"/>
        </w:trPr>
        <w:tc>
          <w:tcPr>
            <w:tcW w:w="47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28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Assets Held for Sale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fiscal 2021, management determined that an office building that was previously held for sale no longer met the criteria to be classified as such. As a result, the $0.9 million net book value was reclassified out of “Prepaid expenses and other current assets” and is now classified as held and used within Property, Plant and Equipment on our balance sheet.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Inventories at June 28, 2020 and March 29, 2020 consisted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1"/>
        </w:trPr>
        <w:tc>
          <w:tcPr>
            <w:tcW w:w="7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28,</w:t>
            </w:r>
          </w:p>
        </w:tc>
        <w:tc>
          <w:tcPr>
            <w:tcW w:w="260" w:type="dxa"/>
            <w:vAlign w:val="bottom"/>
          </w:tcPr>
          <w:p>
            <w:pPr>
              <w:spacing w:after="0"/>
              <w:rPr>
                <w:sz w:val="22"/>
                <w:szCs w:val="22"/>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29,</w:t>
            </w:r>
          </w:p>
        </w:tc>
      </w:tr>
      <w:tr>
        <w:trPr>
          <w:trHeight w:val="24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5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69,116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60,090</w:t>
            </w:r>
          </w:p>
        </w:tc>
      </w:tr>
      <w:tr>
        <w:trPr>
          <w:trHeight w:val="25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(5,654)</w:t>
            </w:r>
          </w:p>
        </w:tc>
      </w:tr>
      <w:tr>
        <w:trPr>
          <w:trHeight w:val="27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63,389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54,436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$46.7 million at June 28, 2020 and $43.3 million at March 29, 2020.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carrying amount of goodwill was $58.4 million as of June 28, 2020 and March 29, 2020, of which $44.9 million was related to our Health and Nutrition segment, $7.0 million was related to our Water Treatment segment, and $6.5 million was related to our Industrial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June 28, 2020 and March 29, 2020 is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28, 2020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75"/>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Net</w:t>
            </w:r>
          </w:p>
        </w:tc>
      </w:tr>
      <w:tr>
        <w:trPr>
          <w:trHeight w:val="24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50"/>
        </w:trPr>
        <w:tc>
          <w:tcPr>
            <w:tcW w:w="362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(22,523)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55,860</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(21,400)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56,983</w:t>
            </w:r>
          </w:p>
        </w:tc>
      </w:tr>
      <w:tr>
        <w:trPr>
          <w:trHeight w:val="263"/>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6,045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2,273</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2,405</w:t>
            </w:r>
          </w:p>
        </w:tc>
      </w:tr>
      <w:tr>
        <w:trPr>
          <w:trHeight w:val="250"/>
        </w:trPr>
        <w:tc>
          <w:tcPr>
            <w:tcW w:w="3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38</w:t>
            </w:r>
          </w:p>
        </w:tc>
      </w:tr>
      <w:tr>
        <w:trPr>
          <w:trHeight w:val="25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88,076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(29,919)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58,157</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88,076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(28,650)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59,426</w:t>
            </w: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1,227</w:t>
            </w:r>
          </w:p>
        </w:tc>
      </w:tr>
      <w:tr>
        <w:trPr>
          <w:trHeight w:val="27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89,303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(29,919)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59,384</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89,303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(28,650)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60,653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r>
              <w:rPr>
                <w:rFonts w:ascii="Arial" w:cs="Arial" w:eastAsia="Arial" w:hAnsi="Arial"/>
                <w:sz w:val="18"/>
                <w:szCs w:val="18"/>
                <w:b w:val="1"/>
                <w:bCs w:val="1"/>
                <w:color w:val="auto"/>
              </w:rPr>
              <w:t>Note 9 – Debt</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Debt at June 28, 2020 and March 29, 2020 consisted of the following:</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5"/>
        </w:trPr>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28,</w:t>
            </w:r>
          </w:p>
        </w:tc>
        <w:tc>
          <w:tcPr>
            <w:tcW w:w="24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29,</w:t>
            </w:r>
          </w:p>
        </w:tc>
      </w:tr>
      <w:tr>
        <w:trPr>
          <w:trHeight w:val="246"/>
        </w:trPr>
        <w:tc>
          <w:tcPr>
            <w:tcW w:w="78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66,000</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60,000</w:t>
            </w:r>
          </w:p>
        </w:tc>
      </w:tr>
      <w:tr>
        <w:trPr>
          <w:trHeight w:val="257"/>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50"/>
        </w:trPr>
        <w:tc>
          <w:tcPr>
            <w:tcW w:w="7800" w:type="dxa"/>
            <w:vAlign w:val="bottom"/>
          </w:tcPr>
          <w:p>
            <w:pPr>
              <w:ind w:left="120"/>
              <w:spacing w:after="0"/>
              <w:rPr>
                <w:sz w:val="20"/>
                <w:szCs w:val="20"/>
                <w:color w:val="auto"/>
              </w:rPr>
            </w:pPr>
            <w:r>
              <w:rPr>
                <w:rFonts w:ascii="Arial" w:cs="Arial" w:eastAsia="Arial" w:hAnsi="Arial"/>
                <w:sz w:val="18"/>
                <w:szCs w:val="18"/>
                <w:color w:val="auto"/>
              </w:rPr>
              <w:t>Total debt, net of debt issuance costs</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65,682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59,658</w:t>
            </w:r>
          </w:p>
        </w:tc>
      </w:tr>
      <w:tr>
        <w:trPr>
          <w:trHeight w:val="257"/>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(9,907)</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(9,907)</w:t>
            </w:r>
          </w:p>
        </w:tc>
      </w:tr>
      <w:tr>
        <w:trPr>
          <w:trHeight w:val="256"/>
        </w:trPr>
        <w:tc>
          <w:tcPr>
            <w:tcW w:w="78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55,775</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49,751</w:t>
            </w:r>
          </w:p>
        </w:tc>
      </w:tr>
      <w:tr>
        <w:trPr>
          <w:trHeight w:val="21"/>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74"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color w:val="auto"/>
        </w:rPr>
        <w:t>income tax jurisdictions. Our effective tax rate for the three months ended June 28, 2020 was 26.5% and was 26.3% for the three months ended June 30, 2019. The effective tax rate is impacted by projected levels of annual taxable income, permanent items, and state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June 28, 2020,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24 years, some of which include options to extend the lease for up to 10 years.</w:t>
      </w:r>
    </w:p>
    <w:p>
      <w:pPr>
        <w:spacing w:after="0" w:line="22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June 28, 2020, our operating lease components with initial or remaining terms in excess of one year were classified on the condensed consolidated balance sheet within right of use assets, short-term lease liability and long-term lease liability.</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Expense for leases less than 12 months for the three months ended June 28, 2020 was not material. Total lease expense was $0.7 million for the three months ended June 28, 2020 and June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00" w:type="dxa"/>
            <w:vAlign w:val="bottom"/>
          </w:tcPr>
          <w:p>
            <w:pPr>
              <w:spacing w:after="0"/>
              <w:rPr>
                <w:sz w:val="19"/>
                <w:szCs w:val="19"/>
                <w:color w:val="auto"/>
              </w:rPr>
            </w:pPr>
          </w:p>
        </w:tc>
        <w:tc>
          <w:tcPr>
            <w:tcW w:w="228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June 28, 2020</w:t>
            </w:r>
          </w:p>
        </w:tc>
      </w:tr>
      <w:tr>
        <w:trPr>
          <w:trHeight w:val="243"/>
        </w:trPr>
        <w:tc>
          <w:tcPr>
            <w:tcW w:w="8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7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250"/>
        </w:trPr>
        <w:tc>
          <w:tcPr>
            <w:tcW w:w="8900" w:type="dxa"/>
            <w:vAlign w:val="bottom"/>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w:t>
            </w:r>
          </w:p>
        </w:tc>
        <w:tc>
          <w:tcPr>
            <w:tcW w:w="300" w:type="dxa"/>
            <w:vAlign w:val="bottom"/>
          </w:tcPr>
          <w:p>
            <w:pPr>
              <w:spacing w:after="0"/>
              <w:rPr>
                <w:sz w:val="21"/>
                <w:szCs w:val="21"/>
                <w:color w:val="auto"/>
              </w:rPr>
            </w:pPr>
          </w:p>
        </w:tc>
      </w:tr>
      <w:tr>
        <w:trPr>
          <w:trHeight w:val="263"/>
        </w:trPr>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discount rate</w:t>
            </w: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300" w:type="dxa"/>
            <w:vAlign w:val="bottom"/>
          </w:tcPr>
          <w:p>
            <w:pPr>
              <w:spacing w:after="0"/>
              <w:rPr>
                <w:sz w:val="22"/>
                <w:szCs w:val="22"/>
                <w:color w:val="auto"/>
              </w:rPr>
            </w:pPr>
          </w:p>
        </w:tc>
      </w:tr>
      <w:tr>
        <w:trPr>
          <w:trHeight w:val="810"/>
        </w:trPr>
        <w:tc>
          <w:tcPr>
            <w:tcW w:w="8900" w:type="dxa"/>
            <w:vAlign w:val="bottom"/>
          </w:tcPr>
          <w:p>
            <w:pPr>
              <w:spacing w:after="0"/>
              <w:rPr>
                <w:sz w:val="20"/>
                <w:szCs w:val="20"/>
                <w:color w:val="auto"/>
              </w:rPr>
            </w:pPr>
            <w:r>
              <w:rPr>
                <w:rFonts w:ascii="Arial" w:cs="Arial" w:eastAsia="Arial" w:hAnsi="Arial"/>
                <w:sz w:val="18"/>
                <w:szCs w:val="18"/>
                <w:color w:val="auto"/>
              </w:rPr>
              <w:t>Maturities of lease liabilities as of June 28, 2020 were as follows:</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4"/>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Operating Leases</w:t>
            </w:r>
          </w:p>
        </w:tc>
      </w:tr>
      <w:tr>
        <w:trPr>
          <w:trHeight w:val="25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2021</w:t>
            </w: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r>
      <w:tr>
        <w:trPr>
          <w:trHeight w:val="250"/>
        </w:trPr>
        <w:tc>
          <w:tcPr>
            <w:tcW w:w="89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1,547</w:t>
            </w:r>
          </w:p>
        </w:tc>
      </w:tr>
      <w:tr>
        <w:trPr>
          <w:trHeight w:val="26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w:t>
            </w:r>
          </w:p>
        </w:tc>
      </w:tr>
      <w:tr>
        <w:trPr>
          <w:trHeight w:val="250"/>
        </w:trPr>
        <w:tc>
          <w:tcPr>
            <w:tcW w:w="89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1,119</w:t>
            </w:r>
          </w:p>
        </w:tc>
      </w:tr>
      <w:tr>
        <w:trPr>
          <w:trHeight w:val="26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w:t>
            </w:r>
          </w:p>
        </w:tc>
      </w:tr>
      <w:tr>
        <w:trPr>
          <w:trHeight w:val="25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3,838</w:t>
            </w:r>
          </w:p>
        </w:tc>
      </w:tr>
      <w:tr>
        <w:trPr>
          <w:trHeight w:val="25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10,654</w:t>
            </w:r>
          </w:p>
        </w:tc>
      </w:tr>
      <w:tr>
        <w:trPr>
          <w:trHeight w:val="25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7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7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8,799</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2021 and fiscal 2020.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62,385 shares in the aggregate for fiscal 2021.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28, 2020:</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Average Grant</w:t>
            </w:r>
          </w:p>
        </w:tc>
      </w:tr>
      <w:tr>
        <w:trPr>
          <w:trHeight w:val="228"/>
        </w:trPr>
        <w:tc>
          <w:tcPr>
            <w:tcW w:w="7860" w:type="dxa"/>
            <w:vAlign w:val="bottom"/>
          </w:tcPr>
          <w:p>
            <w:pPr>
              <w:spacing w:after="0"/>
              <w:rPr>
                <w:sz w:val="19"/>
                <w:szCs w:val="19"/>
                <w:color w:val="auto"/>
              </w:rPr>
            </w:pPr>
          </w:p>
        </w:tc>
        <w:tc>
          <w:tcPr>
            <w:tcW w:w="142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9"/>
                <w:szCs w:val="19"/>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rPr>
              <w:t>Date Fair Value</w:t>
            </w:r>
          </w:p>
        </w:tc>
      </w:tr>
      <w:tr>
        <w:trPr>
          <w:trHeight w:val="257"/>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74,515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34.27</w:t>
            </w:r>
          </w:p>
        </w:tc>
      </w:tr>
      <w:tr>
        <w:trPr>
          <w:trHeight w:val="250"/>
        </w:trPr>
        <w:tc>
          <w:tcPr>
            <w:tcW w:w="78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64,813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37.37</w:t>
            </w:r>
          </w:p>
        </w:tc>
      </w:tr>
      <w:tr>
        <w:trPr>
          <w:trHeight w:val="263"/>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31.35</w:t>
            </w: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134,065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35.88</w:t>
            </w:r>
          </w:p>
        </w:tc>
      </w:tr>
      <w:tr>
        <w:trPr>
          <w:trHeight w:val="27"/>
        </w:trPr>
        <w:tc>
          <w:tcPr>
            <w:tcW w:w="7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recorded compensation expense related to performance share units and restricted stock of $0.5 million for the three months ended June 28, 2020 and $0.3 million the three months ended June 30, 2019. Substantially all of the compensation expense was recorded in selling, general and administrative expenses in the condensed consolidated statements of income.</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retainers, each director who is not an executive officer receives an annual grant of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their service on our Board. The restricted stock awards are expensed over the requisite vesting period, which is one year from the date of issuance, based on the market value on the date of grant. As of June 28, 2020, there were 8,008 shares of restricted stock with a grant date fair value of $43.67 outstanding under this program. Compensation expense for both the three months ended June 28, 2020 and June 30, 2019 related to restricted stock awards to the Board was $0.1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Board has authorized the repurchase of up to 800,000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June 28, 2020, no shares were repurchased. During the three months ended June 30, 2019, we repurchased 47,136 shares at an aggregate purchase price of $1.8 million. As of June 28, 2020, 358,797 shares remained available to be repurchased under the share repurchase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Litigation, Commitments and Contingencies</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There are no material pending legal proceedings, other than ordinary routine litigation incidental to the business, to which we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our subsidiaries are a party or of which any of our property is the subject. Legal fees associated with such matters are expensed as incurred.</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During fiscal 2018, we recorded a liability of $0.6 million related to estimated remediation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existing trichloroethylene contamination at our Minneapolis facility. The liability was decreased to $0.1 million as of June 28, 2020 and March 29, 2020, to reflect payments made and management’s revised expectations related to the cost of this environmental remediation. The liability is not discounted as management expects to incur these expenses within the next twelve months.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74" w:lineRule="exact"/>
        <w:rPr>
          <w:sz w:val="20"/>
          <w:szCs w:val="20"/>
          <w:color w:val="auto"/>
        </w:rPr>
      </w:pPr>
    </w:p>
    <w:p>
      <w:pPr>
        <w:ind w:right="12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21">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March 29, 2020</w:t>
        </w:r>
        <w:r>
          <w:rPr>
            <w:rFonts w:ascii="Arial" w:cs="Arial" w:eastAsia="Arial" w:hAnsi="Arial"/>
            <w:sz w:val="18"/>
            <w:szCs w:val="18"/>
            <w:color w:val="000000"/>
          </w:rPr>
          <w:t>.</w:t>
        </w:r>
      </w:hyperlink>
    </w:p>
    <w:p>
      <w:pPr>
        <w:sectPr>
          <w:pgSz w:w="11900" w:h="16838" w:orient="portrait"/>
          <w:cols w:equalWidth="0" w:num="1">
            <w:col w:w="11220"/>
          </w:cols>
          <w:pgMar w:left="320" w:top="603" w:right="35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type w:val="continuous"/>
        </w:sectPr>
      </w:pPr>
    </w:p>
    <w:bookmarkStart w:id="13" w:name="page14"/>
    <w:bookmarkEnd w:id="13"/>
    <w:p>
      <w:pPr>
        <w:ind w:right="20"/>
        <w:spacing w:after="0" w:line="252"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4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28, 2020:</w:t>
            </w:r>
          </w:p>
        </w:tc>
        <w:tc>
          <w:tcPr>
            <w:tcW w:w="1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50"/>
        </w:trPr>
        <w:tc>
          <w:tcPr>
            <w:tcW w:w="556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71,502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39,714</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143,172</w:t>
            </w:r>
          </w:p>
        </w:tc>
      </w:tr>
      <w:tr>
        <w:trPr>
          <w:trHeight w:val="263"/>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11,339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30,976</w:t>
            </w:r>
          </w:p>
        </w:tc>
      </w:tr>
      <w:tr>
        <w:trPr>
          <w:trHeight w:val="250"/>
        </w:trPr>
        <w:tc>
          <w:tcPr>
            <w:tcW w:w="55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5,293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15,038</w:t>
            </w:r>
          </w:p>
        </w:tc>
      </w:tr>
      <w:tr>
        <w:trPr>
          <w:trHeight w:val="263"/>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6,046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15,938</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75,325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43,252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147,336</w:t>
            </w:r>
          </w:p>
        </w:tc>
      </w:tr>
      <w:tr>
        <w:trPr>
          <w:trHeight w:val="250"/>
        </w:trPr>
        <w:tc>
          <w:tcPr>
            <w:tcW w:w="55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12,091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28,797</w:t>
            </w:r>
          </w:p>
        </w:tc>
      </w:tr>
      <w:tr>
        <w:trPr>
          <w:trHeight w:val="263"/>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4,988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14,836</w:t>
            </w: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7,103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13,961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three months ended June 28,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28, 2020, we acquired substantially all the assets of American Development Corporation of Tennessee, Inc. (“ADC”) for $ 25 million under the terms of an asset purchase agreement among us, ADC and the ADC shareholders. ADC is a water treatment chemical distribution company focused largely in Tennessee, Georgia and Kentucky. The results of operations and the assets, including the goodwill associated with this acquisition, will be included as part of our Water Treatment segment from the date of acquisition forward. The purchase accounting for this acquisition has not yet been completed.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347" w:lineRule="exact"/>
        <w:rPr>
          <w:sz w:val="20"/>
          <w:szCs w:val="20"/>
          <w:color w:val="auto"/>
        </w:rPr>
      </w:pPr>
    </w:p>
    <w:p>
      <w:pPr>
        <w:ind w:right="1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three months ended June 28, 2020 as compared to the similar period ended June 30, 2019. This discussion should be read in conjunction with the condensed consolidated financial statements and notes to condensed consolidated financial statements included in this quarterly report on Form 10-Q and Item 8 of our </w:t>
      </w:r>
      <w:hyperlink r:id="rId21">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pandemic caused by COVID-19 has resulted in federal, state and local governments around the world implementing stringent measures to help control the spread of the virus, including quarantines, “shelter in place” and “stay at home” orders, travel restrictions or bans, business curtailments, school closures, and other protective measures. While some areas of the country have begun to open up and ease these restrictions, many still have these restrictions in place or are implementing or contemplating new restrictions. Restrictions will likely remain in place for some time. Financial markets have been volatile in 2020, primarily due to uncertainty with respect to the severity and duration of the pandemic.</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All of our manufacturing facilities qualify as essential operations (or the equivalent) under applicable federal and state orders. As a result, all of our manufacturing sites and facilities have continued to operate and are doing so safely, with no significant impact to output levels. We are enforcing social distancing and enhanced health, safety and sanitization measures in accordance with guidelines from the Center for Disease Control. We have also implemented necessary procedures and support to enable a significant portion of our office personnel to work remotely.</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this public health crisis, we remain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 Our manufacturing sites have continued to operate during the COVID-19 pandemic, with no significant impact to manufacturing.</w:t>
      </w:r>
    </w:p>
    <w:p>
      <w:pPr>
        <w:spacing w:after="0" w:line="23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ended the first quarter of fiscal 2021 with a leverage ratio below 1.0x, net debt of $61.5 million and significant amounts available for borrowing under our Revolving Loan Facility.</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COVID-19 pandemic has created tremendous uncertainty in the economy. The financial impact to our company has been mixed, as sales to certain end-markets such as food, bottled bleach and health and nutrition have benefited our reporting segments, while decreased sales to other end-markets such as ethanol, pools and resorts have negatively impacted them. As uncertainty continues with this pandemic, we expect mixed results to continue for the foreseeable future. We will continue to be cautious in our capital expenditures and investments, and delay investments where deemed appropriate, while still investing for the future by opening new Water Treatment branches and making capital investments to drive higher margin business. With our current debt levels and available borrowings, we believe we are well-positioned to weather a continued economic downturn.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5" w:name="page16"/>
    <w:bookmarkEnd w:id="15"/>
    <w:p>
      <w:pPr>
        <w:ind w:right="26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30"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Three Months Ended</w:t>
      </w:r>
    </w:p>
    <w:p>
      <w:pPr>
        <w:spacing w:after="0" w:line="3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6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June 28, 2020</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Sales</w:t>
            </w: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Gross profit</w:t>
            </w:r>
          </w:p>
        </w:tc>
        <w:tc>
          <w:tcPr>
            <w:tcW w:w="138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Operating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27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0"/>
        <w:spacing w:after="0" w:line="451" w:lineRule="auto"/>
        <w:rPr>
          <w:sz w:val="20"/>
          <w:szCs w:val="20"/>
          <w:color w:val="auto"/>
        </w:rPr>
      </w:pPr>
      <w:r>
        <w:rPr>
          <w:rFonts w:ascii="Arial" w:cs="Arial" w:eastAsia="Arial" w:hAnsi="Arial"/>
          <w:sz w:val="18"/>
          <w:szCs w:val="18"/>
          <w:b w:val="1"/>
          <w:bCs w:val="1"/>
          <w:i w:val="1"/>
          <w:iCs w:val="1"/>
          <w:color w:val="auto"/>
        </w:rPr>
        <w:t xml:space="preserve">Three Months Ended June 28, 2020 Compared to Three Months Ended June 30, 2019 </w:t>
      </w:r>
      <w:r>
        <w:rPr>
          <w:rFonts w:ascii="Arial" w:cs="Arial" w:eastAsia="Arial" w:hAnsi="Arial"/>
          <w:sz w:val="18"/>
          <w:szCs w:val="18"/>
          <w:i w:val="1"/>
          <w:iCs w:val="1"/>
          <w:color w:val="auto"/>
        </w:rPr>
        <w:t>Sales</w:t>
      </w:r>
    </w:p>
    <w:p>
      <w:pPr>
        <w:ind w:right="80"/>
        <w:spacing w:after="0" w:line="261" w:lineRule="auto"/>
        <w:rPr>
          <w:sz w:val="20"/>
          <w:szCs w:val="20"/>
          <w:color w:val="auto"/>
        </w:rPr>
      </w:pPr>
      <w:r>
        <w:rPr>
          <w:rFonts w:ascii="Arial" w:cs="Arial" w:eastAsia="Arial" w:hAnsi="Arial"/>
          <w:sz w:val="18"/>
          <w:szCs w:val="18"/>
          <w:color w:val="auto"/>
        </w:rPr>
        <w:t>Sales were $143.2 million for the current quarter, a decrease of $4.1 million, or 2.8%, from sales of $147.3 million for the same period a year ago.</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$ 3.8 million, or 5.1%, to $71.5 million for the current quarter, as compared to $75.3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the prior year. Sales of bulk commodity products in the Industrial segment were approximately 12% of sales dollars in the current quarter and 20% in the same period of the prior year. The decrease in sales dollars from the prior year was driven primarily by a temporary increase in sales in the first quarter last year attributable to heavy rains and flooding along the Mississippi River, which increased demand from certain customers in that quarter. Sales also decreased in the current quarter as a result of weak economic conditions in the ethanol industry, which decreased sales of products into that industry. The decrease was somewhat offset by increased sales of certain of our manufactured, blended and re-packaged products, largely our bottled bleach products as a result of increased demand due to COVID-19, as well as increased sales of certain pharmaceutical, food ingredients and agricultural products.</w:t>
      </w:r>
    </w:p>
    <w:p>
      <w:pPr>
        <w:spacing w:after="0" w:line="131"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decreased $3.6 million, or 8.2%, to $39.7 million for the current quarter,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$ 43.3 million for the same period of the prior year. Sales of bulk commodity products in the Water Treatment segment were approximately 10% of sales dollars for the current quarter and 11% a year ago. The decrease in sales dollars was driven by decreased volumes sold in the current quarter due, in part, to customers filling up their tanks in March as a result of supply concerns resulting from COVID-19, which decreased their needs in the current quarter, as well as reduced sales to certain end-markets as a result of COVID-19.</w:t>
      </w:r>
    </w:p>
    <w:p>
      <w:pPr>
        <w:spacing w:after="0" w:line="11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increased $3.2 million, or 11.1%, to $32.0 million for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as compared to $28.8 million for the same period of the prior year. The increase in sales was driven by increased sales of both our manufactured and specialty distributed products, partially as a result of increased demand resulting from COVID-19.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Gross profit increased $ 2.2 million to $31.0 million, or 21.6% of sales, for the current quarter, from $28.8 million, or 19.5% of sales, for the same period of the prior year. During the current and prior year quarters, the LIFO reserve had a nominal impact on gross profit.</w:t>
      </w:r>
    </w:p>
    <w:p>
      <w:pPr>
        <w:spacing w:after="0" w:line="12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$1.6 million to $12.5 million, or 17.4% of sales, for the current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from $10.9 million, or 14.5% of sales, for the same period of the prior year. During the current and prior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ind w:right="360"/>
        <w:spacing w:after="0" w:line="246" w:lineRule="auto"/>
        <w:rPr>
          <w:sz w:val="20"/>
          <w:szCs w:val="20"/>
          <w:color w:val="auto"/>
        </w:rPr>
      </w:pPr>
      <w:r>
        <w:rPr>
          <w:rFonts w:ascii="Arial" w:cs="Arial" w:eastAsia="Arial" w:hAnsi="Arial"/>
          <w:sz w:val="18"/>
          <w:szCs w:val="18"/>
          <w:color w:val="auto"/>
        </w:rPr>
        <w:t>quarters, the LIFO reserve had a nominal impact on gross profit. Industrial segment gross profit increased due to a favorable product mix shift to more sales of our manufactured, blended and re-packaged products.</w:t>
      </w:r>
    </w:p>
    <w:p>
      <w:pPr>
        <w:spacing w:after="0" w:line="1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decreased $0.8 million to $11.3 million, or 28.6% of sales,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from $12.1 million, or 28.0% of sales, for the same period of the prior year. During the current and prior year quarters, the LIFO reserve had a nominal impact on gross profit. Gross profit decreased as a result of decreased sales.</w:t>
      </w:r>
    </w:p>
    <w:p>
      <w:pPr>
        <w:spacing w:after="0" w:line="12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$1.4 million to $ 7.2 million, or 22.5%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from $5.8 million, or 20.1% of sales, for the same period of the prior year. The increase in gross profit was a result of higher sales compared to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color w:val="auto"/>
        </w:rPr>
        <w:t>Selling, general and administrative (“SG&amp;A”) expenses increased $0.2 million to $15.0 million, or 10.5% of sales, for the current quarter, compared to $ 14.8 million, or 10.1% of sales, for the same period of the prior year. The increase includes a year-over-year increase in compensation expense of $0.4 million related to our non-qualified deferred compensation plan, which is offset by other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Operating income increased $1.9 million to $15.9 million, or 11.1% of sales, for the current quarter, from $14.0 million, or 9.4% of sales, for the same period of the prior year due to the combined impact of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Interest expense decreased $0.4 million to $0.4 million for the current quarter, from $0.8 million for the same period of the prior year. Interest expense decreased due to lower outstanding borrowings and lower borrowing rates compared to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8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Other income increased $0.4 million to $ 0.5 million recorded for the current quarter, compared to $0.1 million in the same period of the prior year. This represents gains recorded on investments held for our non-qualified deferred compensation plan. The amount recorded as a gain was offset by the same amount recorded as an increase to compensation expense within SG&amp;A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effective income tax rate was 26.5% for the current quarter, compared to 26.3% in the same period of the prior year. The effective tax rate is impacted by projected levels of annual taxable income, permanent items, and state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was $4.5 million at June 28, 2020, an increase of $0.2 million as compared with the $4.3 million available as of March 29, 2020.</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Cash provided by operating activities was $1.6 million for the three months ended June 28, 2020, compared to cash provided by operating activities of $10.1 million for the same period of the prior year. The year-over-year decrease in cash provided by operating activities was primarily driven by an increase in inventory and decreased payables, partially offset by an increase in customer receivables and improvement in net income for the first three months of fiscal 2020 compared to the same period a year ago. Due to the nature of our operations, which includes purchases of large quantities of bulk chemicals, timing of purchases can result in significant changes in working capital investment and the resulting operating cash flow. Due to flooding in the first quarter of the prior year, we were not able to receive any barges of bulk chemicals into inventory and as a result our inventory levels were unusually low at that time. Typically, our cash requirements increase during the period from April through November as caustic soda inventory levels increase because we receive the majority of barges during this period.</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used in investing activities was $4.8 million for the three months ended June 28, 2020, compared to $ 9.1 million for the same period of the prior year. Capital expenditures were $4.8 million for the three months ended June 28, 2020, compared to $9.2 million in the same period of the prior year. In the first three months of the prior year, we purchased our previously leased corporate headquarters facility for $6.4 million, which was partially offset by increased investments in facility improvements and new and replacement equipment during the first three months of the current year.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7" w:name="page18"/>
    <w:bookmarkEnd w:id="17"/>
    <w:p>
      <w:pPr>
        <w:ind w:right="120"/>
        <w:spacing w:after="0" w:line="253" w:lineRule="auto"/>
        <w:rPr>
          <w:sz w:val="20"/>
          <w:szCs w:val="20"/>
          <w:color w:val="auto"/>
        </w:rPr>
      </w:pPr>
      <w:r>
        <w:rPr>
          <w:rFonts w:ascii="Arial" w:cs="Arial" w:eastAsia="Arial" w:hAnsi="Arial"/>
          <w:sz w:val="18"/>
          <w:szCs w:val="18"/>
          <w:color w:val="auto"/>
        </w:rPr>
        <w:t>Cash provided by financing activities was $3.5 million for the three months ended June 28, 2020, compared to $4.6 million of cash used in financing activities in the same period of the prior year. Included in financing activities in the first three months of the current year were net debt proceeds of $6.0 million, compared to no borrowings in the first three months of the prior year, as our working capital needs were lower at that time because we did not receive any barges of bulk chemicals into inventory in that quarter. In addition, we repurchased no shares of our common stock in the first quarter of the current fiscal year, compared to $1.8 million in the same quarter in the prior year.</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Board has authorized the repurchase of up to 800,000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three months of fiscal 2021, we did not repurchase any shares of common stock. In the first three months of the prior fiscal year, we repurchased 47,136 shares of common stock with an aggregate purchase price of $1.8 million. As of June 28, 2020, 358,797 shares remained available for purchase under the program</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June 28, 2020, the effective interest rate on our borrowing was 1.5%.</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22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June 28, 2020, the unamortized balance of these costs was $0.3 million, and is reflected as a reduction of debt on our balance sheet.</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June 28, 2020.</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21">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ended March 29, 2020</w:t>
        </w:r>
        <w:r>
          <w:rPr>
            <w:rFonts w:ascii="Arial" w:cs="Arial" w:eastAsia="Arial" w:hAnsi="Arial"/>
            <w:sz w:val="18"/>
            <w:szCs w:val="18"/>
            <w:color w:val="000000"/>
          </w:rPr>
          <w:t>.</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3"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21">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year ended March 29, 2020</w:t>
        </w:r>
        <w:r>
          <w:rPr>
            <w:rFonts w:ascii="Arial" w:cs="Arial" w:eastAsia="Arial" w:hAnsi="Arial"/>
            <w:sz w:val="18"/>
            <w:szCs w:val="18"/>
            <w:color w:val="000000"/>
          </w:rPr>
          <w:t>. We caution you not to place undue reliance on these forward-looking statements, which reflect our</w:t>
        </w:r>
      </w:hyperlink>
      <w:r>
        <w:rPr>
          <w:rFonts w:ascii="Arial" w:cs="Arial" w:eastAsia="Arial" w:hAnsi="Arial"/>
          <w:sz w:val="18"/>
          <w:szCs w:val="18"/>
          <w:color w:val="0000FF"/>
        </w:rPr>
        <w:t xml:space="preserve"> </w:t>
      </w:r>
      <w:r>
        <w:rPr>
          <w:rFonts w:ascii="Arial" w:cs="Arial" w:eastAsia="Arial" w:hAnsi="Arial"/>
          <w:sz w:val="18"/>
          <w:szCs w:val="18"/>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$0.1 million. We have in place an interest rate swap that converts a portion of our variable-rate debt into a fixed-rate obligation. The swap agreement began September 1, 2017 and will end on December 23, 2020. The notional amount of the swap agreement is currently $20 million through its end date.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June 28, 2020.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21">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March 29, 2020</w:t>
        </w:r>
        <w:r>
          <w:rPr>
            <w:rFonts w:ascii="Arial" w:cs="Arial" w:eastAsia="Arial" w:hAnsi="Arial"/>
            <w:sz w:val="18"/>
            <w:szCs w:val="18"/>
            <w:color w:val="000000"/>
          </w:rPr>
          <w:t>.</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has authorized the repurchase of up to 800,000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June 28, 2020:</w:t>
      </w:r>
    </w:p>
    <w:p>
      <w:pPr>
        <w:spacing w:after="0" w:line="26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3"/>
              <w:spacing w:after="0"/>
              <w:rPr>
                <w:sz w:val="20"/>
                <w:szCs w:val="20"/>
                <w:color w:val="auto"/>
              </w:rPr>
            </w:pPr>
            <w:r>
              <w:rPr>
                <w:rFonts w:ascii="Arial" w:cs="Arial" w:eastAsia="Arial" w:hAnsi="Arial"/>
                <w:sz w:val="16"/>
                <w:szCs w:val="16"/>
                <w:b w:val="1"/>
                <w:bCs w:val="1"/>
                <w:color w:val="auto"/>
              </w:rPr>
              <w:t>Total Number of</w:t>
            </w:r>
          </w:p>
        </w:tc>
        <w:tc>
          <w:tcPr>
            <w:tcW w:w="36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Purchased under Plans or</w:t>
            </w:r>
          </w:p>
        </w:tc>
      </w:tr>
      <w:tr>
        <w:trPr>
          <w:trHeight w:val="22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03/30/2020-04/26/2020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1,657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22"/>
                <w:szCs w:val="22"/>
                <w:color w:val="auto"/>
              </w:rPr>
            </w:pPr>
          </w:p>
        </w:tc>
        <w:tc>
          <w:tcPr>
            <w:tcW w:w="196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358,797</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04/27/2020-05/24/2020</w:t>
            </w:r>
          </w:p>
        </w:tc>
        <w:tc>
          <w:tcPr>
            <w:tcW w:w="10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tcPr>
          <w:p>
            <w:pPr>
              <w:ind w:left="16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99"/>
              <w:spacing w:after="0"/>
              <w:rPr>
                <w:sz w:val="20"/>
                <w:szCs w:val="20"/>
                <w:color w:val="auto"/>
              </w:rPr>
            </w:pPr>
            <w:r>
              <w:rPr>
                <w:rFonts w:ascii="Arial" w:cs="Arial" w:eastAsia="Arial" w:hAnsi="Arial"/>
                <w:sz w:val="18"/>
                <w:szCs w:val="18"/>
                <w:color w:val="auto"/>
              </w:rPr>
              <w:t>358,797</w:t>
            </w: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05/25/2020-06/28/2020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358,797</w:t>
            </w:r>
          </w:p>
        </w:tc>
      </w:tr>
      <w:tr>
        <w:trPr>
          <w:trHeight w:val="243"/>
        </w:trPr>
        <w:tc>
          <w:tcPr>
            <w:tcW w:w="26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1,657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ind w:left="1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r>
    </w:tbl>
    <w:p>
      <w:pPr>
        <w:spacing w:after="0" w:line="121"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represent shares that were surrendered to us by stock plan participants in order to satisfy minimum</w:t>
      </w:r>
    </w:p>
    <w:p>
      <w:pPr>
        <w:spacing w:after="0" w:line="9"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withholding tax obligations related to the vesting of restricted stock awards and are not shares purchased under the Board authorization described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6. EXHIBITS</w:t>
      </w:r>
    </w:p>
    <w:p>
      <w:pPr>
        <w:spacing w:after="0" w:line="312" w:lineRule="exact"/>
        <w:rPr>
          <w:sz w:val="20"/>
          <w:szCs w:val="20"/>
          <w:color w:val="auto"/>
        </w:rPr>
      </w:pPr>
    </w:p>
    <w:p>
      <w:pPr>
        <w:ind w:left="260"/>
        <w:spacing w:after="0"/>
        <w:tabs>
          <w:tab w:leader="none" w:pos="436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36" w:lineRule="exact"/>
        <w:rPr>
          <w:sz w:val="20"/>
          <w:szCs w:val="20"/>
          <w:color w:val="auto"/>
        </w:rPr>
      </w:pPr>
    </w:p>
    <w:p>
      <w:pPr>
        <w:ind w:left="30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40">
        <w:r>
          <w:rPr>
            <w:rFonts w:ascii="Arial" w:cs="Arial" w:eastAsia="Arial" w:hAnsi="Arial"/>
            <w:sz w:val="17"/>
            <w:szCs w:val="17"/>
            <w:u w:val="single" w:color="auto"/>
            <w:color w:val="0000FF"/>
          </w:rPr>
          <w:t xml:space="preserve">Amended and Restated Articles of Incorporation. </w:t>
        </w:r>
      </w:hyperlink>
      <w:r>
        <w:rPr>
          <w:rFonts w:ascii="Arial" w:cs="Arial" w:eastAsia="Arial" w:hAnsi="Arial"/>
          <w:sz w:val="17"/>
          <w:szCs w:val="17"/>
          <w:color w:val="000000"/>
        </w:rPr>
        <w:t>(1)</w:t>
      </w:r>
    </w:p>
    <w:p>
      <w:pPr>
        <w:spacing w:after="0" w:line="50" w:lineRule="exact"/>
        <w:rPr>
          <w:sz w:val="20"/>
          <w:szCs w:val="20"/>
          <w:color w:val="auto"/>
        </w:rPr>
      </w:pPr>
    </w:p>
    <w:p>
      <w:pPr>
        <w:ind w:left="30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41">
        <w:r>
          <w:rPr>
            <w:rFonts w:ascii="Arial" w:cs="Arial" w:eastAsia="Arial" w:hAnsi="Arial"/>
            <w:sz w:val="17"/>
            <w:szCs w:val="17"/>
            <w:u w:val="single" w:color="auto"/>
            <w:color w:val="0000FF"/>
          </w:rPr>
          <w:t xml:space="preserve">Amended and Restated By-Laws. </w:t>
        </w:r>
      </w:hyperlink>
      <w:r>
        <w:rPr>
          <w:rFonts w:ascii="Arial" w:cs="Arial" w:eastAsia="Arial" w:hAnsi="Arial"/>
          <w:sz w:val="17"/>
          <w:szCs w:val="17"/>
          <w:color w:val="000000"/>
        </w:rPr>
        <w:t>(2)</w:t>
      </w:r>
    </w:p>
    <w:p>
      <w:pPr>
        <w:spacing w:after="0" w:line="50" w:lineRule="exact"/>
        <w:rPr>
          <w:sz w:val="20"/>
          <w:szCs w:val="20"/>
          <w:color w:val="auto"/>
        </w:rPr>
      </w:pPr>
    </w:p>
    <w:p>
      <w:pPr>
        <w:ind w:left="20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24">
        <w:r>
          <w:rPr>
            <w:rFonts w:ascii="Arial" w:cs="Arial" w:eastAsia="Arial" w:hAnsi="Arial"/>
            <w:sz w:val="17"/>
            <w:szCs w:val="17"/>
            <w:u w:val="single" w:color="auto"/>
            <w:color w:val="0000FF"/>
          </w:rPr>
          <w:t>Certification by Chief Executive Officer pursuant to Rule 13a-14(a) of the Exchange Act.</w:t>
        </w:r>
      </w:hyperlink>
    </w:p>
    <w:p>
      <w:pPr>
        <w:spacing w:after="0" w:line="50" w:lineRule="exact"/>
        <w:rPr>
          <w:sz w:val="20"/>
          <w:szCs w:val="20"/>
          <w:color w:val="auto"/>
        </w:rPr>
      </w:pPr>
    </w:p>
    <w:p>
      <w:pPr>
        <w:ind w:left="20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25">
        <w:r>
          <w:rPr>
            <w:rFonts w:ascii="Arial" w:cs="Arial" w:eastAsia="Arial" w:hAnsi="Arial"/>
            <w:sz w:val="17"/>
            <w:szCs w:val="17"/>
            <w:u w:val="single" w:color="auto"/>
            <w:color w:val="0000FF"/>
          </w:rPr>
          <w:t>Certification by Chief Financial Officer pursuant to Rule 13a-14(a) of the Exchange Act.</w:t>
        </w:r>
      </w:hyperlink>
    </w:p>
    <w:p>
      <w:pPr>
        <w:spacing w:after="0" w:line="50" w:lineRule="exact"/>
        <w:rPr>
          <w:sz w:val="20"/>
          <w:szCs w:val="20"/>
          <w:color w:val="auto"/>
        </w:rPr>
      </w:pPr>
    </w:p>
    <w:p>
      <w:pPr>
        <w:ind w:left="20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26">
        <w:r>
          <w:rPr>
            <w:rFonts w:ascii="Arial" w:cs="Arial" w:eastAsia="Arial" w:hAnsi="Arial"/>
            <w:sz w:val="17"/>
            <w:szCs w:val="17"/>
            <w:u w:val="single" w:color="auto"/>
            <w:color w:val="0000FF"/>
          </w:rPr>
          <w:t>Section 1350 Certification by Chief Executive Officer.</w:t>
        </w:r>
      </w:hyperlink>
    </w:p>
    <w:p>
      <w:pPr>
        <w:spacing w:after="0" w:line="50" w:lineRule="exact"/>
        <w:rPr>
          <w:sz w:val="20"/>
          <w:szCs w:val="20"/>
          <w:color w:val="auto"/>
        </w:rPr>
      </w:pPr>
    </w:p>
    <w:p>
      <w:pPr>
        <w:ind w:left="20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27">
        <w:r>
          <w:rPr>
            <w:rFonts w:ascii="Arial" w:cs="Arial" w:eastAsia="Arial" w:hAnsi="Arial"/>
            <w:sz w:val="17"/>
            <w:szCs w:val="17"/>
            <w:u w:val="single" w:color="auto"/>
            <w:color w:val="0000FF"/>
          </w:rPr>
          <w:t>Section 1350 Certification by Chief Financial Officer.</w:t>
        </w:r>
      </w:hyperlink>
    </w:p>
    <w:p>
      <w:pPr>
        <w:spacing w:after="0" w:line="63" w:lineRule="exact"/>
        <w:rPr>
          <w:sz w:val="20"/>
          <w:szCs w:val="20"/>
          <w:color w:val="auto"/>
        </w:rPr>
      </w:pPr>
    </w:p>
    <w:p>
      <w:pPr>
        <w:ind w:left="840" w:hanging="588"/>
        <w:spacing w:after="0" w:line="236"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Hawkins, Inc. for the period ended June 28, 2020 filed with the SEC on July 30, 2020 formatted in Inline Extensible Business Reporting Language (iXBRL); (i) the Condensed Consolidated Balance Sheets at June 28, 2020 and March 29, 2020, (ii) the Condensed Consolidated Statements of Income for the three months ended June 28, 2020 and June 30, 2019, (iii) the Condensed Consolidated Statements of Comprehensive Income for the three months ended June 28, 2020 and June 30, 2019, (iv) the Condensed Consolidated Statements of Shareholder's Equity for the three months ended June 28, 2020 and June 30, 2019, (v) the Condensed Consolidated Statements of Cash Flows for the three months ended June 28, 2020 and June 30, 2019, and (vi) Notes to Condensed Consolidated Financial Statements.</w:t>
      </w:r>
    </w:p>
    <w:p>
      <w:pPr>
        <w:spacing w:after="0" w:line="44"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200"/>
        <w:spacing w:after="0"/>
        <w:rPr>
          <w:sz w:val="20"/>
          <w:szCs w:val="20"/>
          <w:color w:val="auto"/>
        </w:rPr>
      </w:pPr>
      <w:r>
        <w:rPr>
          <w:rFonts w:ascii="Arial" w:cs="Arial" w:eastAsia="Arial" w:hAnsi="Arial"/>
          <w:sz w:val="14"/>
          <w:szCs w:val="14"/>
          <w:u w:val="single" w:color="auto"/>
          <w:color w:val="auto"/>
        </w:rPr>
        <w:t>Method of Filing</w:t>
      </w:r>
    </w:p>
    <w:p>
      <w:pPr>
        <w:spacing w:after="0" w:line="49" w:lineRule="exact"/>
        <w:rPr>
          <w:sz w:val="20"/>
          <w:szCs w:val="20"/>
          <w:color w:val="auto"/>
        </w:rPr>
      </w:pPr>
    </w:p>
    <w:p>
      <w:pPr>
        <w:jc w:val="center"/>
        <w:ind w:right="200"/>
        <w:spacing w:after="0" w:line="314" w:lineRule="auto"/>
        <w:rPr>
          <w:sz w:val="20"/>
          <w:szCs w:val="20"/>
          <w:color w:val="auto"/>
        </w:rPr>
      </w:pPr>
      <w:r>
        <w:rPr>
          <w:rFonts w:ascii="Arial" w:cs="Arial" w:eastAsia="Arial" w:hAnsi="Arial"/>
          <w:sz w:val="17"/>
          <w:szCs w:val="17"/>
          <w:color w:val="auto"/>
        </w:rPr>
        <w:t>Incorporated by Reference Incorporated by Reference Filed Electronically Filed Electronically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ectPr>
          <w:pgSz w:w="11900" w:h="16838" w:orient="portrait"/>
          <w:cols w:equalWidth="0" w:num="2">
            <w:col w:w="8560" w:space="360"/>
            <w:col w:w="2320"/>
          </w:cols>
          <w:pgMar w:left="320" w:top="90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80" w:right="220" w:hanging="329"/>
        <w:spacing w:after="0" w:line="250" w:lineRule="auto"/>
        <w:tabs>
          <w:tab w:leader="none" w:pos="59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ind w:left="580" w:hanging="329"/>
        <w:spacing w:after="0" w:line="261" w:lineRule="auto"/>
        <w:tabs>
          <w:tab w:leader="none" w:pos="59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HAWKINS, INC.</w:t>
      </w:r>
    </w:p>
    <w:p>
      <w:pPr>
        <w:spacing w:after="0" w:line="104" w:lineRule="exact"/>
        <w:rPr>
          <w:sz w:val="20"/>
          <w:szCs w:val="20"/>
          <w:color w:val="auto"/>
        </w:rPr>
      </w:pPr>
    </w:p>
    <w:p>
      <w:pPr>
        <w:ind w:left="51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282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Chief Financial Officer, and Treasurer</w:t>
      </w:r>
    </w:p>
    <w:p>
      <w:pPr>
        <w:spacing w:after="0" w:line="4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(On behalf of the registrant and as principal financial and</w:t>
      </w:r>
    </w:p>
    <w:p>
      <w:pPr>
        <w:ind w:left="7780"/>
        <w:spacing w:after="0"/>
        <w:rPr>
          <w:sz w:val="20"/>
          <w:szCs w:val="20"/>
          <w:color w:val="auto"/>
        </w:rPr>
      </w:pPr>
      <w:r>
        <w:rPr>
          <w:rFonts w:ascii="Arial" w:cs="Arial" w:eastAsia="Arial" w:hAnsi="Arial"/>
          <w:sz w:val="18"/>
          <w:szCs w:val="18"/>
          <w:color w:val="auto"/>
        </w:rPr>
        <w:t>accounting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2020</w:t>
      </w:r>
    </w:p>
    <w:p>
      <w:pPr>
        <w:sectPr>
          <w:pgSz w:w="11900" w:h="16838" w:orient="portrait"/>
          <w:cols w:equalWidth="0" w:num="1">
            <w:col w:w="11120"/>
          </w:cols>
          <w:pgMar w:left="320" w:top="886"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03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4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Patrick H. Hawkins</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5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17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88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28, 2020,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8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886"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28, 2020,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7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30, 2020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21" Type="http://schemas.openxmlformats.org/officeDocument/2006/relationships/hyperlink" Target="http://www.sec.gov/ix?doc=/Archives/edgar/data/46250/000004625020000027/hwkn-20200329.htm#i98eec1cdab1140d282c9345f8e4167eb_58" TargetMode="External"/><Relationship Id="rId40" Type="http://schemas.openxmlformats.org/officeDocument/2006/relationships/hyperlink" Target="http://www.sec.gov/Archives/edgar/data/46250/000089710110001532/hawkins103608_ex3-1.htm" TargetMode="External"/><Relationship Id="rId41"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2020-07-31T05:24:10Z</dcterms:created>
  <dcterms:modified xsi:type="dcterms:W3CDTF">2020-07-31T05:24:10Z</dcterms:modified>
</cp:coreProperties>
</file>