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tabs>
          <w:tab w:leader="none" w:pos="42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October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4" w:lineRule="exact"/>
        <w:rPr>
          <w:sz w:val="24"/>
          <w:szCs w:val="24"/>
          <w:color w:val="auto"/>
        </w:rPr>
      </w:pPr>
    </w:p>
    <w:tbl>
      <w:tblPr>
        <w:tblLayout w:type="fixed"/>
        <w:tblInd w:w="3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Minnesota</w:t>
            </w:r>
          </w:p>
        </w:tc>
        <w:tc>
          <w:tcPr>
            <w:tcW w:w="3560" w:type="dxa"/>
            <w:vAlign w:val="bottom"/>
            <w:tcBorders>
              <w:top w:val="single" w:sz="8" w:color="auto"/>
              <w:bottom w:val="single" w:sz="8" w:color="auto"/>
              <w:right w:val="single" w:sz="8" w:color="auto"/>
            </w:tcBorders>
          </w:tcPr>
          <w:p>
            <w:pPr>
              <w:jc w:val="right"/>
              <w:ind w:right="1381"/>
              <w:spacing w:after="0"/>
              <w:rPr>
                <w:sz w:val="20"/>
                <w:szCs w:val="20"/>
                <w:color w:val="auto"/>
              </w:rPr>
            </w:pPr>
            <w:r>
              <w:rPr>
                <w:rFonts w:ascii="Arial" w:cs="Arial" w:eastAsia="Arial" w:hAnsi="Arial"/>
                <w:sz w:val="22"/>
                <w:szCs w:val="22"/>
                <w:b w:val="1"/>
                <w:bCs w:val="1"/>
                <w:color w:val="auto"/>
              </w:rPr>
              <w:t>0-7647</w:t>
            </w:r>
          </w:p>
        </w:tc>
        <w:tc>
          <w:tcPr>
            <w:tcW w:w="3680" w:type="dxa"/>
            <w:vAlign w:val="bottom"/>
            <w:tcBorders>
              <w:top w:val="single" w:sz="8" w:color="auto"/>
              <w:bottom w:val="single" w:sz="8" w:color="auto"/>
              <w:right w:val="single" w:sz="8" w:color="auto"/>
            </w:tcBorders>
          </w:tcPr>
          <w:p>
            <w:pPr>
              <w:jc w:val="right"/>
              <w:ind w:right="1241"/>
              <w:spacing w:after="0"/>
              <w:rPr>
                <w:sz w:val="20"/>
                <w:szCs w:val="20"/>
                <w:color w:val="auto"/>
              </w:rPr>
            </w:pPr>
            <w:r>
              <w:rPr>
                <w:rFonts w:ascii="Arial" w:cs="Arial" w:eastAsia="Arial" w:hAnsi="Arial"/>
                <w:sz w:val="22"/>
                <w:szCs w:val="22"/>
                <w:b w:val="1"/>
                <w:bCs w:val="1"/>
                <w:color w:val="auto"/>
              </w:rPr>
              <w:t>41-0771293</w:t>
            </w:r>
          </w:p>
        </w:tc>
      </w:tr>
      <w:tr>
        <w:trPr>
          <w:trHeight w:val="195"/>
        </w:trPr>
        <w:tc>
          <w:tcPr>
            <w:tcW w:w="36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of Incorporation)</w:t>
            </w:r>
          </w:p>
        </w:tc>
        <w:tc>
          <w:tcPr>
            <w:tcW w:w="3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3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Borders>
              <w:left w:val="single" w:sz="8" w:color="auto"/>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237"/>
        </w:trPr>
        <w:tc>
          <w:tcPr>
            <w:tcW w:w="3600" w:type="dxa"/>
            <w:vAlign w:val="bottom"/>
            <w:tcBorders>
              <w:left w:val="single" w:sz="8" w:color="auto"/>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r>
      <w:tr>
        <w:trPr>
          <w:trHeight w:val="209"/>
        </w:trPr>
        <w:tc>
          <w:tcPr>
            <w:tcW w:w="360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87"/>
              </w:rPr>
              <w:t>3100 East Hennepin Avenue</w:t>
            </w:r>
          </w:p>
        </w:tc>
        <w:tc>
          <w:tcPr>
            <w:tcW w:w="356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r>
      <w:tr>
        <w:trPr>
          <w:trHeight w:val="271"/>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Minneapolis, MN</w:t>
            </w:r>
          </w:p>
        </w:tc>
        <w:tc>
          <w:tcPr>
            <w:tcW w:w="3560" w:type="dxa"/>
            <w:vAlign w:val="bottom"/>
            <w:tcBorders>
              <w:bottom w:val="single" w:sz="8" w:color="auto"/>
              <w:right w:val="single" w:sz="8" w:color="auto"/>
            </w:tcBorders>
          </w:tcPr>
          <w:p>
            <w:pPr>
              <w:spacing w:after="0"/>
              <w:rPr>
                <w:sz w:val="23"/>
                <w:szCs w:val="23"/>
                <w:color w:val="auto"/>
              </w:rPr>
            </w:pPr>
          </w:p>
        </w:tc>
        <w:tc>
          <w:tcPr>
            <w:tcW w:w="3680" w:type="dxa"/>
            <w:vAlign w:val="bottom"/>
            <w:tcBorders>
              <w:bottom w:val="single" w:sz="8" w:color="auto"/>
              <w:right w:val="single" w:sz="8" w:color="auto"/>
            </w:tcBorders>
          </w:tcPr>
          <w:p>
            <w:pPr>
              <w:jc w:val="right"/>
              <w:ind w:right="1481"/>
              <w:spacing w:after="0"/>
              <w:rPr>
                <w:sz w:val="20"/>
                <w:szCs w:val="20"/>
                <w:color w:val="auto"/>
              </w:rPr>
            </w:pPr>
            <w:r>
              <w:rPr>
                <w:rFonts w:ascii="Arial" w:cs="Arial" w:eastAsia="Arial" w:hAnsi="Arial"/>
                <w:sz w:val="22"/>
                <w:szCs w:val="22"/>
                <w:b w:val="1"/>
                <w:bCs w:val="1"/>
                <w:color w:val="auto"/>
              </w:rPr>
              <w:t>55413</w:t>
            </w:r>
          </w:p>
        </w:tc>
      </w:tr>
      <w:tr>
        <w:trPr>
          <w:trHeight w:val="230"/>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96"/>
        </w:trPr>
        <w:tc>
          <w:tcPr>
            <w:tcW w:w="7160" w:type="dxa"/>
            <w:vAlign w:val="bottom"/>
            <w:gridSpan w:val="2"/>
          </w:tcPr>
          <w:p>
            <w:pPr>
              <w:ind w:left="2240"/>
              <w:spacing w:after="0"/>
              <w:rPr>
                <w:sz w:val="20"/>
                <w:szCs w:val="20"/>
                <w:color w:val="auto"/>
              </w:rPr>
            </w:pPr>
            <w:r>
              <w:rPr>
                <w:rFonts w:ascii="Arial" w:cs="Arial" w:eastAsia="Arial" w:hAnsi="Arial"/>
                <w:sz w:val="22"/>
                <w:szCs w:val="22"/>
                <w:color w:val="auto"/>
                <w:w w:val="93"/>
              </w:rPr>
              <w:t>Registrant’s Telephone Number, Including Area Code</w:t>
            </w:r>
          </w:p>
        </w:tc>
        <w:tc>
          <w:tcPr>
            <w:tcW w:w="3680" w:type="dxa"/>
            <w:vAlign w:val="bottom"/>
          </w:tcPr>
          <w:p>
            <w:pPr>
              <w:jc w:val="right"/>
              <w:ind w:right="2161"/>
              <w:spacing w:after="0"/>
              <w:rPr>
                <w:sz w:val="20"/>
                <w:szCs w:val="20"/>
                <w:color w:val="auto"/>
              </w:rPr>
            </w:pPr>
            <w:r>
              <w:rPr>
                <w:rFonts w:ascii="Arial" w:cs="Arial" w:eastAsia="Arial" w:hAnsi="Arial"/>
                <w:sz w:val="22"/>
                <w:szCs w:val="22"/>
                <w:b w:val="1"/>
                <w:bCs w:val="1"/>
                <w:color w:val="auto"/>
                <w:w w:val="93"/>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firstLine="506"/>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308" w:lineRule="exact"/>
        <w:rPr>
          <w:sz w:val="24"/>
          <w:szCs w:val="24"/>
          <w:color w:val="auto"/>
        </w:rPr>
      </w:pPr>
    </w:p>
    <w:p>
      <w:pPr>
        <w:ind w:left="600" w:hanging="268"/>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00" w:hanging="268"/>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00" w:hanging="268"/>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00" w:hanging="268"/>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26, 2010, Hawkins, Inc. issued a press release announcing financial results for its fiscal 2011 second quarter ended September 30,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Registrant is furnished herewith as Exhibit 99 hereto and is incorporated herein by reference.</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6" w:lineRule="exact"/>
        <w:rPr>
          <w:sz w:val="20"/>
          <w:szCs w:val="20"/>
          <w:color w:val="auto"/>
        </w:rPr>
      </w:pPr>
    </w:p>
    <w:p>
      <w:pPr>
        <w:ind w:left="520" w:hanging="360"/>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20" w:right="138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October 26, 2010, announcing financial results of Hawkins, Inc. for its fiscal 2011 second quarter ended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5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22" w:lineRule="exact"/>
        <w:rPr>
          <w:sz w:val="20"/>
          <w:szCs w:val="20"/>
          <w:color w:val="auto"/>
        </w:rPr>
      </w:pPr>
    </w:p>
    <w:p>
      <w:pPr>
        <w:spacing w:after="0"/>
        <w:tabs>
          <w:tab w:leader="none" w:pos="7660" w:val="left"/>
          <w:tab w:leader="none" w:pos="8620" w:val="left"/>
        </w:tabs>
        <w:rPr>
          <w:sz w:val="20"/>
          <w:szCs w:val="20"/>
          <w:color w:val="auto"/>
        </w:rPr>
      </w:pPr>
      <w:r>
        <w:rPr>
          <w:rFonts w:ascii="Arial" w:cs="Arial" w:eastAsia="Arial" w:hAnsi="Arial"/>
          <w:sz w:val="18"/>
          <w:szCs w:val="18"/>
          <w:color w:val="auto"/>
        </w:rPr>
        <w:t>Date: October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14605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1924685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w w:val="96"/>
              </w:rPr>
              <w:t>Index to Exhibits</w:t>
            </w:r>
          </w:p>
        </w:tc>
        <w:tc>
          <w:tcPr>
            <w:tcW w:w="8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Exhibit</w:t>
            </w:r>
          </w:p>
        </w:tc>
        <w:tc>
          <w:tcPr>
            <w:tcW w:w="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9"/>
              </w:rPr>
              <w:t>No.</w:t>
            </w:r>
          </w:p>
        </w:tc>
        <w:tc>
          <w:tcPr>
            <w:tcW w:w="380" w:type="dxa"/>
            <w:vAlign w:val="bottom"/>
          </w:tcPr>
          <w:p>
            <w:pPr>
              <w:spacing w:after="0"/>
              <w:rPr>
                <w:sz w:val="20"/>
                <w:szCs w:val="20"/>
                <w:color w:val="auto"/>
              </w:rPr>
            </w:pPr>
          </w:p>
        </w:tc>
        <w:tc>
          <w:tcPr>
            <w:tcW w:w="8020" w:type="dxa"/>
            <w:vAlign w:val="bottom"/>
            <w:gridSpan w:val="2"/>
          </w:tcPr>
          <w:p>
            <w:pPr>
              <w:ind w:left="80"/>
              <w:spacing w:after="0"/>
              <w:rPr>
                <w:sz w:val="20"/>
                <w:szCs w:val="20"/>
                <w:color w:val="auto"/>
              </w:rPr>
            </w:pPr>
            <w:r>
              <w:rPr>
                <w:rFonts w:ascii="Arial" w:cs="Arial" w:eastAsia="Arial" w:hAnsi="Arial"/>
                <w:sz w:val="18"/>
                <w:szCs w:val="18"/>
                <w:color w:val="auto"/>
              </w:rPr>
              <w:t>Description</w:t>
            </w:r>
          </w:p>
        </w:tc>
        <w:tc>
          <w:tcPr>
            <w:tcW w:w="1980" w:type="dxa"/>
            <w:vAlign w:val="bottom"/>
          </w:tcPr>
          <w:p>
            <w:pPr>
              <w:jc w:val="center"/>
              <w:ind w:left="190"/>
              <w:spacing w:after="0"/>
              <w:rPr>
                <w:sz w:val="20"/>
                <w:szCs w:val="20"/>
                <w:color w:val="auto"/>
              </w:rPr>
            </w:pPr>
            <w:r>
              <w:rPr>
                <w:rFonts w:ascii="Arial" w:cs="Arial" w:eastAsia="Arial" w:hAnsi="Arial"/>
                <w:sz w:val="18"/>
                <w:szCs w:val="18"/>
                <w:color w:val="auto"/>
                <w:w w:val="95"/>
              </w:rPr>
              <w:t>Method of Filing</w:t>
            </w:r>
          </w:p>
        </w:tc>
        <w:tc>
          <w:tcPr>
            <w:tcW w:w="140" w:type="dxa"/>
            <w:vAlign w:val="bottom"/>
          </w:tcPr>
          <w:p>
            <w:pPr>
              <w:spacing w:after="0"/>
              <w:rPr>
                <w:sz w:val="20"/>
                <w:szCs w:val="20"/>
                <w:color w:val="auto"/>
              </w:rPr>
            </w:pPr>
          </w:p>
        </w:tc>
      </w:tr>
      <w:tr>
        <w:trPr>
          <w:trHeight w:val="27"/>
        </w:trPr>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94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99"/>
        </w:trPr>
        <w:tc>
          <w:tcPr>
            <w:tcW w:w="9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380" w:type="dxa"/>
            <w:vAlign w:val="bottom"/>
          </w:tcPr>
          <w:p>
            <w:pPr>
              <w:spacing w:after="0"/>
              <w:rPr>
                <w:sz w:val="24"/>
                <w:szCs w:val="24"/>
                <w:color w:val="auto"/>
              </w:rPr>
            </w:pPr>
          </w:p>
        </w:tc>
        <w:tc>
          <w:tcPr>
            <w:tcW w:w="8020" w:type="dxa"/>
            <w:vAlign w:val="bottom"/>
            <w:gridSpan w:val="2"/>
          </w:tcPr>
          <w:p>
            <w:pPr>
              <w:ind w:left="80"/>
              <w:spacing w:after="0"/>
              <w:rPr>
                <w:sz w:val="20"/>
                <w:szCs w:val="20"/>
                <w:color w:val="auto"/>
              </w:rPr>
            </w:pPr>
            <w:r>
              <w:rPr>
                <w:rFonts w:ascii="Arial" w:cs="Arial" w:eastAsia="Arial" w:hAnsi="Arial"/>
                <w:sz w:val="18"/>
                <w:szCs w:val="18"/>
                <w:color w:val="auto"/>
                <w:w w:val="96"/>
              </w:rPr>
              <w:t>Press Release, dated October 26, 2010, announcing financial results of Hawkins, Inc. for its fiscal 2011</w:t>
            </w:r>
          </w:p>
        </w:tc>
        <w:tc>
          <w:tcPr>
            <w:tcW w:w="1980" w:type="dxa"/>
            <w:vAlign w:val="bottom"/>
          </w:tcPr>
          <w:p>
            <w:pPr>
              <w:jc w:val="center"/>
              <w:ind w:left="190"/>
              <w:spacing w:after="0"/>
              <w:rPr>
                <w:sz w:val="20"/>
                <w:szCs w:val="20"/>
                <w:color w:val="auto"/>
              </w:rPr>
            </w:pPr>
            <w:r>
              <w:rPr>
                <w:rFonts w:ascii="Arial" w:cs="Arial" w:eastAsia="Arial" w:hAnsi="Arial"/>
                <w:sz w:val="18"/>
                <w:szCs w:val="18"/>
                <w:color w:val="auto"/>
                <w:w w:val="93"/>
              </w:rPr>
              <w:t>Electronic</w:t>
            </w:r>
          </w:p>
        </w:tc>
        <w:tc>
          <w:tcPr>
            <w:tcW w:w="1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20" w:type="dxa"/>
            <w:vAlign w:val="bottom"/>
            <w:gridSpan w:val="2"/>
          </w:tcPr>
          <w:p>
            <w:pPr>
              <w:ind w:left="80"/>
              <w:spacing w:after="0"/>
              <w:rPr>
                <w:sz w:val="20"/>
                <w:szCs w:val="20"/>
                <w:color w:val="auto"/>
              </w:rPr>
            </w:pPr>
            <w:r>
              <w:rPr>
                <w:rFonts w:ascii="Arial" w:cs="Arial" w:eastAsia="Arial" w:hAnsi="Arial"/>
                <w:sz w:val="18"/>
                <w:szCs w:val="18"/>
                <w:color w:val="auto"/>
              </w:rPr>
              <w:t>second quarter ended September 30, 2010.</w:t>
            </w:r>
          </w:p>
        </w:tc>
        <w:tc>
          <w:tcPr>
            <w:tcW w:w="1980" w:type="dxa"/>
            <w:vAlign w:val="bottom"/>
          </w:tcPr>
          <w:p>
            <w:pPr>
              <w:jc w:val="center"/>
              <w:ind w:left="210"/>
              <w:spacing w:after="0"/>
              <w:rPr>
                <w:sz w:val="20"/>
                <w:szCs w:val="20"/>
                <w:color w:val="auto"/>
              </w:rPr>
            </w:pPr>
            <w:r>
              <w:rPr>
                <w:rFonts w:ascii="Arial" w:cs="Arial" w:eastAsia="Arial" w:hAnsi="Arial"/>
                <w:sz w:val="18"/>
                <w:szCs w:val="18"/>
                <w:color w:val="auto"/>
                <w:w w:val="89"/>
              </w:rPr>
              <w:t>Transmission</w:t>
            </w:r>
          </w:p>
        </w:tc>
        <w:tc>
          <w:tcPr>
            <w:tcW w:w="140" w:type="dxa"/>
            <w:vAlign w:val="bottom"/>
          </w:tcPr>
          <w:p>
            <w:pPr>
              <w:spacing w:after="0"/>
              <w:rPr>
                <w:sz w:val="20"/>
                <w:szCs w:val="20"/>
                <w:color w:val="auto"/>
              </w:rPr>
            </w:pPr>
          </w:p>
        </w:tc>
      </w:tr>
      <w:tr>
        <w:trPr>
          <w:trHeight w:val="4021"/>
        </w:trPr>
        <w:tc>
          <w:tcPr>
            <w:tcW w:w="9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9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20" w:type="dxa"/>
            <w:vAlign w:val="bottom"/>
          </w:tcPr>
          <w:p>
            <w:pPr>
              <w:spacing w:after="0"/>
              <w:rPr>
                <w:sz w:val="20"/>
                <w:szCs w:val="20"/>
                <w:color w:val="auto"/>
              </w:rPr>
            </w:pPr>
            <w:r>
              <w:rPr>
                <w:rFonts w:ascii="Arial" w:cs="Arial" w:eastAsia="Arial" w:hAnsi="Arial"/>
                <w:sz w:val="25"/>
                <w:szCs w:val="25"/>
                <w:b w:val="1"/>
                <w:bCs w:val="1"/>
                <w:color w:val="auto"/>
              </w:rPr>
              <w:t>FOR IMMEDIATE RELEASE</w:t>
            </w:r>
          </w:p>
        </w:tc>
        <w:tc>
          <w:tcPr>
            <w:tcW w:w="5700" w:type="dxa"/>
            <w:vAlign w:val="bottom"/>
            <w:gridSpan w:val="3"/>
          </w:tcPr>
          <w:p>
            <w:pPr>
              <w:ind w:left="2360"/>
              <w:spacing w:after="0"/>
              <w:rPr>
                <w:sz w:val="20"/>
                <w:szCs w:val="20"/>
                <w:color w:val="auto"/>
              </w:rPr>
            </w:pPr>
            <w:r>
              <w:rPr>
                <w:rFonts w:ascii="Arial" w:cs="Arial" w:eastAsia="Arial" w:hAnsi="Arial"/>
                <w:sz w:val="18"/>
                <w:szCs w:val="18"/>
                <w:color w:val="auto"/>
              </w:rPr>
              <w:t>Contacts: John R. Hawkins</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5540" w:type="dxa"/>
            <w:vAlign w:val="bottom"/>
            <w:gridSpan w:val="2"/>
          </w:tcPr>
          <w:p>
            <w:pPr>
              <w:ind w:left="3140"/>
              <w:spacing w:after="0"/>
              <w:rPr>
                <w:sz w:val="20"/>
                <w:szCs w:val="20"/>
                <w:color w:val="auto"/>
              </w:rPr>
            </w:pPr>
            <w:r>
              <w:rPr>
                <w:rFonts w:ascii="Arial" w:cs="Arial" w:eastAsia="Arial" w:hAnsi="Arial"/>
                <w:sz w:val="18"/>
                <w:szCs w:val="18"/>
                <w:color w:val="auto"/>
              </w:rPr>
              <w:t>612/617-8532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720" w:type="dxa"/>
            <w:vAlign w:val="bottom"/>
            <w:vMerge w:val="restart"/>
          </w:tcPr>
          <w:p>
            <w:pPr>
              <w:spacing w:after="0"/>
              <w:rPr>
                <w:sz w:val="20"/>
                <w:szCs w:val="20"/>
                <w:color w:val="auto"/>
              </w:rPr>
            </w:pPr>
            <w:r>
              <w:rPr>
                <w:rFonts w:ascii="Arial" w:cs="Arial" w:eastAsia="Arial" w:hAnsi="Arial"/>
                <w:sz w:val="18"/>
                <w:szCs w:val="18"/>
                <w:color w:val="auto"/>
              </w:rPr>
              <w:t>October 26, 2010</w:t>
            </w:r>
          </w:p>
        </w:tc>
        <w:tc>
          <w:tcPr>
            <w:tcW w:w="3140" w:type="dxa"/>
            <w:vAlign w:val="bottom"/>
          </w:tcPr>
          <w:p>
            <w:pPr>
              <w:spacing w:after="0"/>
              <w:rPr>
                <w:sz w:val="16"/>
                <w:szCs w:val="16"/>
                <w:color w:val="auto"/>
              </w:rPr>
            </w:pPr>
          </w:p>
        </w:tc>
        <w:tc>
          <w:tcPr>
            <w:tcW w:w="2560" w:type="dxa"/>
            <w:vAlign w:val="bottom"/>
            <w:gridSpan w:val="2"/>
          </w:tcPr>
          <w:p>
            <w:pPr>
              <w:spacing w:after="0" w:line="190" w:lineRule="exact"/>
              <w:rPr>
                <w:sz w:val="20"/>
                <w:szCs w:val="20"/>
                <w:color w:val="auto"/>
              </w:rPr>
            </w:pPr>
            <w:r>
              <w:rPr>
                <w:rFonts w:ascii="Arial" w:cs="Arial" w:eastAsia="Arial" w:hAnsi="Arial"/>
                <w:sz w:val="18"/>
                <w:szCs w:val="18"/>
                <w:color w:val="auto"/>
                <w:w w:val="97"/>
              </w:rPr>
              <w:t>John.Hawkins@HawkinsInc.com</w:t>
            </w:r>
          </w:p>
        </w:tc>
        <w:tc>
          <w:tcPr>
            <w:tcW w:w="0" w:type="dxa"/>
            <w:vAlign w:val="bottom"/>
          </w:tcPr>
          <w:p>
            <w:pPr>
              <w:spacing w:after="0"/>
              <w:rPr>
                <w:sz w:val="1"/>
                <w:szCs w:val="1"/>
                <w:color w:val="auto"/>
              </w:rPr>
            </w:pPr>
          </w:p>
        </w:tc>
      </w:tr>
      <w:tr>
        <w:trPr>
          <w:trHeight w:val="155"/>
        </w:trPr>
        <w:tc>
          <w:tcPr>
            <w:tcW w:w="572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Hawkins, Inc.</w:t>
            </w:r>
          </w:p>
        </w:tc>
        <w:tc>
          <w:tcPr>
            <w:tcW w:w="3140" w:type="dxa"/>
            <w:vAlign w:val="bottom"/>
          </w:tcPr>
          <w:p>
            <w:pPr>
              <w:spacing w:after="0"/>
              <w:rPr>
                <w:sz w:val="18"/>
                <w:szCs w:val="18"/>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P. Pepski</w:t>
            </w:r>
          </w:p>
        </w:tc>
        <w:tc>
          <w:tcPr>
            <w:tcW w:w="0" w:type="dxa"/>
            <w:vAlign w:val="bottom"/>
          </w:tcPr>
          <w:p>
            <w:pPr>
              <w:spacing w:after="0"/>
              <w:rPr>
                <w:sz w:val="1"/>
                <w:szCs w:val="1"/>
                <w:color w:val="auto"/>
              </w:rPr>
            </w:pPr>
          </w:p>
        </w:tc>
      </w:tr>
      <w:tr>
        <w:trPr>
          <w:trHeight w:val="95"/>
        </w:trPr>
        <w:tc>
          <w:tcPr>
            <w:tcW w:w="5720" w:type="dxa"/>
            <w:vAlign w:val="bottom"/>
            <w:vMerge w:val="restart"/>
          </w:tcPr>
          <w:p>
            <w:pPr>
              <w:spacing w:after="0"/>
              <w:rPr>
                <w:sz w:val="20"/>
                <w:szCs w:val="20"/>
                <w:color w:val="auto"/>
              </w:rPr>
            </w:pPr>
            <w:r>
              <w:rPr>
                <w:rFonts w:ascii="Arial" w:cs="Arial" w:eastAsia="Arial" w:hAnsi="Arial"/>
                <w:sz w:val="18"/>
                <w:szCs w:val="18"/>
                <w:color w:val="auto"/>
              </w:rPr>
              <w:t>3100 East Hennepin Avenue</w:t>
            </w:r>
          </w:p>
        </w:tc>
        <w:tc>
          <w:tcPr>
            <w:tcW w:w="314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2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95"/>
        </w:trPr>
        <w:tc>
          <w:tcPr>
            <w:tcW w:w="5720" w:type="dxa"/>
            <w:vAlign w:val="bottom"/>
            <w:vMerge w:val="restart"/>
          </w:tcPr>
          <w:p>
            <w:pPr>
              <w:spacing w:after="0"/>
              <w:rPr>
                <w:sz w:val="20"/>
                <w:szCs w:val="20"/>
                <w:color w:val="auto"/>
              </w:rPr>
            </w:pPr>
            <w:r>
              <w:rPr>
                <w:rFonts w:ascii="Arial" w:cs="Arial" w:eastAsia="Arial" w:hAnsi="Arial"/>
                <w:sz w:val="18"/>
                <w:szCs w:val="18"/>
                <w:color w:val="auto"/>
              </w:rPr>
              <w:t>Minneapolis, MN 55413</w:t>
            </w:r>
          </w:p>
        </w:tc>
        <w:tc>
          <w:tcPr>
            <w:tcW w:w="314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5720" w:type="dxa"/>
            <w:vAlign w:val="bottom"/>
            <w:vMerge w:val="continue"/>
          </w:tcPr>
          <w:p>
            <w:pPr>
              <w:spacing w:after="0"/>
              <w:rPr>
                <w:sz w:val="11"/>
                <w:szCs w:val="11"/>
                <w:color w:val="auto"/>
              </w:rPr>
            </w:pPr>
          </w:p>
        </w:tc>
        <w:tc>
          <w:tcPr>
            <w:tcW w:w="5540" w:type="dxa"/>
            <w:vAlign w:val="bottom"/>
            <w:gridSpan w:val="2"/>
            <w:vMerge w:val="restart"/>
          </w:tcPr>
          <w:p>
            <w:pPr>
              <w:ind w:left="3140"/>
              <w:spacing w:after="0"/>
              <w:rPr>
                <w:sz w:val="20"/>
                <w:szCs w:val="20"/>
                <w:color w:val="auto"/>
              </w:rPr>
            </w:pPr>
            <w:r>
              <w:rPr>
                <w:rFonts w:ascii="Arial" w:cs="Arial" w:eastAsia="Arial" w:hAnsi="Arial"/>
                <w:sz w:val="18"/>
                <w:szCs w:val="18"/>
                <w:color w:val="auto"/>
              </w:rPr>
              <w:t>612/617-8571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5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5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Kathleen.Pepski@HawkinsInc.com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SECOND QUARTER, FIRST HALF FISCAL 2011 RESULTS</w:t>
      </w:r>
    </w:p>
    <w:p>
      <w:pPr>
        <w:spacing w:after="0" w:line="23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Minneapolis, MN, October 26, 2010 – Hawkins, Inc. (Nasdaq: HWKN) today announced second quarter and first half results for fiscal 2011. Sales of $70.4 million for the quarter ended September 30, 2010 represented an increase of 8.3% from $65.0 million in sales for the same period in the prior fiscal year. Net income for the second quarter of fiscal 2011 was $6.8 million, or $0.66 per share, fully diluted, compared to net income for the same period of fiscal 2010 of $6.7 million, or $0.65 per share, fully diluted.</w:t>
      </w:r>
    </w:p>
    <w:p>
      <w:pPr>
        <w:spacing w:after="0" w:line="214"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For the six months ended September 30, 2010, Hawkins reported sales of $145.1 million, net income of $14.2 million and diluted earnings per share of $1.37 as compared to sales of $138.6 million, net income of $12.7 million and diluted earnings per share of $1.24 for the same period a year ago.</w:t>
      </w:r>
    </w:p>
    <w:p>
      <w:pPr>
        <w:spacing w:after="0" w:line="17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Chief Executive Officer, John R. Hawkins, commented, “We are very pleased with the sales performance from both of our segments. While we recorded significant sales growth this quarter, we experienced less profit per unit on these sales due to competitive pricing pressures within our Industrial group and the absorption of higher infrastructure costs within our Water Treatment segment due to investments in that group to support its growth. In addition to the investments in the Water Treatment group, we continue to invest capital in the Industrial group to expand capacity, manufacturing capability and storage expansion projects to enhance customer service to our current customers and expand our product offerings to open up opportunities for new customers.”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ended September 30, 2010, Industrial segment sales increased $3.5 million, or 8.5%, to $44.9 million as compared to the same period in the prior year, with the increase primarily driven by increased sales of bulk chemicals. Water Treatment segment sales for the quarter ended September 30, 2010 were $25.5 million, an 8.1% increase over last year’s second quarter sales of $23.6 million. The increase was primarily due to increased sales of manufactured and specialty chemical products.</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Company-wide gross profit for quarter ended September 30, 2010 was $17.7 million, or 25.2% of sales, compared to $17.4 million, or 26.8% of sales, for the same period in fiscal 2010. Gross profit for the Industrial segment was $9.6 million, or 21.4% of sales, for the quarter ended September 30, 2010, as compared to $8.8 million, or 21.3% of sales, for the same period in fiscal 2010. The increase in gross profit dollars was attributable to increased sales, primarily of bulk chemicals, which was partially offset by decreases in profits due to competitive pricing pressure. Gross profit for the Water Treatment segment was $8.2 million, or 32.2% of sales, for the quarter ended September 30, 2010, as compared to $8.6 million, or 36.4 % of sales, for the same period in fiscal 2010. The decrease in gross profit dollars was primarily due to increased overhead costs from investments in new facilities and personnel within existing and new markets.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FOR FISCAL 2011</w:t>
      </w:r>
    </w:p>
    <w:p>
      <w:pPr>
        <w:spacing w:after="0" w:line="231" w:lineRule="auto"/>
        <w:rPr>
          <w:sz w:val="20"/>
          <w:szCs w:val="20"/>
          <w:color w:val="auto"/>
        </w:rPr>
      </w:pPr>
      <w:r>
        <w:rPr>
          <w:rFonts w:ascii="Arial" w:cs="Arial" w:eastAsia="Arial" w:hAnsi="Arial"/>
          <w:sz w:val="22"/>
          <w:szCs w:val="22"/>
          <w:color w:val="auto"/>
        </w:rPr>
        <w:t>October 26, 2010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Two.</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Gross profit for the six months ended September 30, 2010 was $36.2 million, or 24.9% of sales, as compared to $33.3 million, or 24.0% of sales for the same period in the prior fiscal year. Gross profit for the Industrial segment was $19.9 million, or 21.0% of sales, for the six months, compared to $17.3 million or 18.9% of sales in the same period a year ago. The increase in gross profit dollars was primarily attributable to increased sales of bulk chemicals, partially offset by decreases in profits due to competitive pricing pressures. Gross profit for the Water Treatment segment was $16.3 million, or 32.4% of sales, for the six months compared to $16.0 million, or 33.7% of sales, in the same period a year ago. The Water Treatment segment’s gross profit increase was primarily driven by increased sales of manufactured and specialty chemical products, which was largely offset by increa sed overhead costs from investments in new facilities and personnel within existing and new markets to support growth in this segment.</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expenses increased $0.2 million, or 3.7%, for the quarter and $0.6 million, or 4.3% for the six months, as compared to the same periods in the prior fiscal year. The increases were primarily a result of higher equity incentive plan costs.</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20 facilities in 11 states, the Company creates value for its customers through superb customer service and support, quality products and personalized applications.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03" w:right="27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HAWKINS, INC. REPORTS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FOR FISCAL 2011</w:t>
      </w:r>
    </w:p>
    <w:p>
      <w:pPr>
        <w:spacing w:after="0" w:line="231" w:lineRule="auto"/>
        <w:rPr>
          <w:sz w:val="20"/>
          <w:szCs w:val="20"/>
          <w:color w:val="auto"/>
        </w:rPr>
      </w:pPr>
      <w:r>
        <w:rPr>
          <w:rFonts w:ascii="Arial" w:cs="Arial" w:eastAsia="Arial" w:hAnsi="Arial"/>
          <w:sz w:val="22"/>
          <w:szCs w:val="22"/>
          <w:color w:val="auto"/>
        </w:rPr>
        <w:t>October 26, 2010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Three.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70,398</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64,976</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145,064</w:t>
            </w:r>
          </w:p>
        </w:tc>
        <w:tc>
          <w:tcPr>
            <w:tcW w:w="200" w:type="dxa"/>
            <w:vAlign w:val="bottom"/>
            <w:shd w:val="clear" w:color="auto" w:fill="D6F3E8"/>
          </w:tcPr>
          <w:p>
            <w:pPr>
              <w:spacing w:after="0"/>
              <w:rPr>
                <w:sz w:val="21"/>
                <w:szCs w:val="21"/>
                <w:color w:val="auto"/>
              </w:rPr>
            </w:pPr>
          </w:p>
        </w:tc>
        <w:tc>
          <w:tcPr>
            <w:tcW w:w="540" w:type="dxa"/>
            <w:vAlign w:val="bottom"/>
            <w:gridSpan w:val="2"/>
            <w:shd w:val="clear" w:color="auto" w:fill="D6F3E8"/>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138,562</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(52,656)</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(47,560)</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(108,874)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(105,290)</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17,742</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17,416</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36,190</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33,272</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(6,814)</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(6,568)</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(13,475)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(12,923)</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10,928</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10,848</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22,715</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20,349</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11,024</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10,928</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22,916</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20,438</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(4,192)</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(4,263)</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6,832</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6,665</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14,169</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6,832</w:t>
            </w:r>
          </w:p>
        </w:tc>
        <w:tc>
          <w:tcPr>
            <w:tcW w:w="360" w:type="dxa"/>
            <w:vAlign w:val="bottom"/>
            <w:tcBorders>
              <w:bottom w:val="single" w:sz="8" w:color="D6F3E8"/>
            </w:tcBorders>
            <w:shd w:val="clear" w:color="auto" w:fill="D6F3E8"/>
          </w:tcPr>
          <w:p>
            <w:pPr>
              <w:spacing w:after="0"/>
              <w:rPr>
                <w:sz w:val="22"/>
                <w:szCs w:val="22"/>
                <w:color w:val="auto"/>
              </w:rPr>
            </w:pPr>
          </w:p>
        </w:tc>
        <w:tc>
          <w:tcPr>
            <w:tcW w:w="340" w:type="dxa"/>
            <w:vAlign w:val="bottom"/>
            <w:tcBorders>
              <w:bottom w:val="single" w:sz="8" w:color="auto"/>
            </w:tcBorders>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6,665</w:t>
            </w:r>
          </w:p>
        </w:tc>
        <w:tc>
          <w:tcPr>
            <w:tcW w:w="320" w:type="dxa"/>
            <w:vAlign w:val="bottom"/>
            <w:tcBorders>
              <w:bottom w:val="single" w:sz="8" w:color="D6F3E8"/>
            </w:tcBorders>
            <w:shd w:val="clear" w:color="auto" w:fill="D6F3E8"/>
          </w:tcPr>
          <w:p>
            <w:pPr>
              <w:spacing w:after="0"/>
              <w:rPr>
                <w:sz w:val="22"/>
                <w:szCs w:val="22"/>
                <w:color w:val="auto"/>
              </w:rPr>
            </w:pPr>
          </w:p>
        </w:tc>
        <w:tc>
          <w:tcPr>
            <w:tcW w:w="280" w:type="dxa"/>
            <w:vAlign w:val="bottom"/>
            <w:tcBorders>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14,169</w:t>
            </w:r>
          </w:p>
        </w:tc>
        <w:tc>
          <w:tcPr>
            <w:tcW w:w="200" w:type="dxa"/>
            <w:vAlign w:val="bottom"/>
            <w:tcBorders>
              <w:bottom w:val="single" w:sz="8" w:color="D6F3E8"/>
            </w:tcBorders>
            <w:shd w:val="clear" w:color="auto" w:fill="D6F3E8"/>
          </w:tcPr>
          <w:p>
            <w:pPr>
              <w:spacing w:after="0"/>
              <w:rPr>
                <w:sz w:val="22"/>
                <w:szCs w:val="22"/>
                <w:color w:val="auto"/>
              </w:rPr>
            </w:pPr>
          </w:p>
        </w:tc>
        <w:tc>
          <w:tcPr>
            <w:tcW w:w="120" w:type="dxa"/>
            <w:vAlign w:val="bottom"/>
            <w:tcBorders>
              <w:bottom w:val="single" w:sz="8" w:color="D6F3E8"/>
            </w:tcBorders>
            <w:shd w:val="clear" w:color="auto" w:fill="D6F3E8"/>
          </w:tcPr>
          <w:p>
            <w:pPr>
              <w:spacing w:after="0"/>
              <w:rPr>
                <w:sz w:val="22"/>
                <w:szCs w:val="22"/>
                <w:color w:val="auto"/>
              </w:rPr>
            </w:pPr>
          </w:p>
        </w:tc>
        <w:tc>
          <w:tcPr>
            <w:tcW w:w="420" w:type="dxa"/>
            <w:vAlign w:val="bottom"/>
            <w:tcBorders>
              <w:bottom w:val="single" w:sz="8" w:color="auto"/>
            </w:tcBorders>
            <w:shd w:val="clear" w:color="auto" w:fill="D6F3E8"/>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5280" w:type="dxa"/>
            <w:vAlign w:val="bottom"/>
          </w:tcPr>
          <w:p>
            <w:pPr>
              <w:spacing w:after="0"/>
              <w:rPr>
                <w:sz w:val="20"/>
                <w:szCs w:val="20"/>
                <w:color w:val="auto"/>
              </w:rPr>
            </w:pPr>
            <w:r>
              <w:rPr>
                <w:rFonts w:ascii="Arial" w:cs="Arial" w:eastAsia="Arial" w:hAnsi="Arial"/>
                <w:sz w:val="18"/>
                <w:szCs w:val="18"/>
                <w:color w:val="auto"/>
              </w:rPr>
              <w:t>Weighted average number of shares outstanding-basic</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10,257,175</w:t>
            </w: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10,250,719</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10,255,297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10,248,577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60" w:type="dxa"/>
            <w:vAlign w:val="bottom"/>
            <w:shd w:val="clear" w:color="auto" w:fill="D6F3E8"/>
          </w:tcPr>
          <w:p>
            <w:pPr>
              <w:spacing w:after="0"/>
              <w:rPr>
                <w:sz w:val="24"/>
                <w:szCs w:val="24"/>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10,332,764</w:t>
            </w:r>
          </w:p>
        </w:tc>
        <w:tc>
          <w:tcPr>
            <w:tcW w:w="360" w:type="dxa"/>
            <w:vAlign w:val="bottom"/>
            <w:shd w:val="clear" w:color="auto" w:fill="D6F3E8"/>
          </w:tcPr>
          <w:p>
            <w:pPr>
              <w:spacing w:after="0"/>
              <w:rPr>
                <w:sz w:val="24"/>
                <w:szCs w:val="24"/>
                <w:color w:val="auto"/>
              </w:rPr>
            </w:pPr>
          </w:p>
        </w:tc>
        <w:tc>
          <w:tcPr>
            <w:tcW w:w="340" w:type="dxa"/>
            <w:vAlign w:val="bottom"/>
            <w:shd w:val="clear" w:color="auto" w:fill="D6F3E8"/>
          </w:tcPr>
          <w:p>
            <w:pPr>
              <w:spacing w:after="0"/>
              <w:rPr>
                <w:sz w:val="24"/>
                <w:szCs w:val="24"/>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99"/>
              </w:rPr>
              <w:t>10,280,252</w:t>
            </w:r>
          </w:p>
        </w:tc>
        <w:tc>
          <w:tcPr>
            <w:tcW w:w="280" w:type="dxa"/>
            <w:vAlign w:val="bottom"/>
            <w:shd w:val="clear" w:color="auto" w:fill="D6F3E8"/>
          </w:tcPr>
          <w:p>
            <w:pPr>
              <w:spacing w:after="0"/>
              <w:rPr>
                <w:sz w:val="24"/>
                <w:szCs w:val="24"/>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10,321,355</w:t>
            </w:r>
          </w:p>
        </w:tc>
        <w:tc>
          <w:tcPr>
            <w:tcW w:w="120" w:type="dxa"/>
            <w:vAlign w:val="bottom"/>
            <w:shd w:val="clear" w:color="auto" w:fill="D6F3E8"/>
          </w:tcPr>
          <w:p>
            <w:pPr>
              <w:spacing w:after="0"/>
              <w:rPr>
                <w:sz w:val="24"/>
                <w:szCs w:val="24"/>
                <w:color w:val="auto"/>
              </w:rPr>
            </w:pPr>
          </w:p>
        </w:tc>
        <w:tc>
          <w:tcPr>
            <w:tcW w:w="420" w:type="dxa"/>
            <w:vAlign w:val="bottom"/>
            <w:shd w:val="clear" w:color="auto" w:fill="D6F3E8"/>
          </w:tcPr>
          <w:p>
            <w:pPr>
              <w:spacing w:after="0"/>
              <w:rPr>
                <w:sz w:val="24"/>
                <w:szCs w:val="24"/>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0"/>
              </w:rPr>
              <w:t>10,274,443</w:t>
            </w:r>
          </w:p>
        </w:tc>
        <w:tc>
          <w:tcPr>
            <w:tcW w:w="0" w:type="dxa"/>
            <w:vAlign w:val="bottom"/>
          </w:tcPr>
          <w:p>
            <w:pPr>
              <w:spacing w:after="0"/>
              <w:rPr>
                <w:sz w:val="1"/>
                <w:szCs w:val="1"/>
                <w:color w:val="auto"/>
              </w:rPr>
            </w:pPr>
          </w:p>
        </w:tc>
      </w:tr>
      <w:tr>
        <w:trPr>
          <w:trHeight w:val="467"/>
        </w:trPr>
        <w:tc>
          <w:tcPr>
            <w:tcW w:w="528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D6F3E8"/>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D6F3E8"/>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D6F3E8"/>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0.67</w:t>
            </w:r>
          </w:p>
        </w:tc>
        <w:tc>
          <w:tcPr>
            <w:tcW w:w="360" w:type="dxa"/>
            <w:vAlign w:val="bottom"/>
          </w:tcPr>
          <w:p>
            <w:pPr>
              <w:spacing w:after="0"/>
              <w:rPr>
                <w:sz w:val="21"/>
                <w:szCs w:val="21"/>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0.65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Earnings per share from discontinued operations</w:t>
            </w:r>
          </w:p>
        </w:tc>
        <w:tc>
          <w:tcPr>
            <w:tcW w:w="26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5280" w:type="dxa"/>
            <w:vAlign w:val="bottom"/>
            <w:tcBorders>
              <w:top w:val="single" w:sz="8" w:color="D6F3E8"/>
            </w:tcBorders>
          </w:tcPr>
          <w:p>
            <w:pPr>
              <w:ind w:left="18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360" w:type="dxa"/>
            <w:vAlign w:val="bottom"/>
            <w:tcBorders>
              <w:top w:val="single" w:sz="8" w:color="D6F3E8"/>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Borders>
              <w:top w:val="single" w:sz="8" w:color="D6F3E8"/>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D6F3E8"/>
            </w:tcBorders>
          </w:tcPr>
          <w:p>
            <w:pPr>
              <w:spacing w:after="0"/>
              <w:rPr>
                <w:sz w:val="18"/>
                <w:szCs w:val="18"/>
                <w:color w:val="auto"/>
              </w:rPr>
            </w:pPr>
          </w:p>
        </w:tc>
        <w:tc>
          <w:tcPr>
            <w:tcW w:w="120" w:type="dxa"/>
            <w:vAlign w:val="bottom"/>
            <w:tcBorders>
              <w:top w:val="single" w:sz="8" w:color="D6F3E8"/>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from continuing operations</w:t>
            </w:r>
          </w:p>
        </w:tc>
        <w:tc>
          <w:tcPr>
            <w:tcW w:w="260" w:type="dxa"/>
            <w:vAlign w:val="bottom"/>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0.66</w:t>
            </w:r>
          </w:p>
        </w:tc>
        <w:tc>
          <w:tcPr>
            <w:tcW w:w="36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1.37</w:t>
            </w:r>
          </w:p>
        </w:tc>
        <w:tc>
          <w:tcPr>
            <w:tcW w:w="540" w:type="dxa"/>
            <w:vAlign w:val="bottom"/>
            <w:gridSpan w:val="2"/>
            <w:shd w:val="clear" w:color="auto" w:fill="D6F3E8"/>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Earnings per share from discontinued operations</w:t>
            </w:r>
          </w:p>
        </w:tc>
        <w:tc>
          <w:tcPr>
            <w:tcW w:w="26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top w:val="single" w:sz="8" w:color="auto"/>
              <w:bottom w:val="single" w:sz="8" w:color="auto"/>
            </w:tcBorders>
            <w:shd w:val="clear" w:color="auto" w:fill="D6F3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0.66</w:t>
            </w:r>
          </w:p>
        </w:tc>
        <w:tc>
          <w:tcPr>
            <w:tcW w:w="360" w:type="dxa"/>
            <w:vAlign w:val="bottom"/>
            <w:tcBorders>
              <w:bottom w:val="single" w:sz="8" w:color="D6F3E8"/>
            </w:tcBorders>
            <w:shd w:val="clear" w:color="auto" w:fill="D6F3E8"/>
          </w:tcPr>
          <w:p>
            <w:pPr>
              <w:spacing w:after="0"/>
              <w:rPr>
                <w:sz w:val="21"/>
                <w:szCs w:val="21"/>
                <w:color w:val="auto"/>
              </w:rPr>
            </w:pPr>
          </w:p>
        </w:tc>
        <w:tc>
          <w:tcPr>
            <w:tcW w:w="340" w:type="dxa"/>
            <w:vAlign w:val="bottom"/>
            <w:tcBorders>
              <w:top w:val="single" w:sz="8" w:color="auto"/>
              <w:bottom w:val="single" w:sz="8" w:color="auto"/>
            </w:tcBorders>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D6F3E8"/>
            </w:tcBorders>
            <w:shd w:val="clear" w:color="auto" w:fill="D6F3E8"/>
          </w:tcPr>
          <w:p>
            <w:pPr>
              <w:spacing w:after="0"/>
              <w:rPr>
                <w:sz w:val="21"/>
                <w:szCs w:val="21"/>
                <w:color w:val="auto"/>
              </w:rPr>
            </w:pPr>
          </w:p>
        </w:tc>
        <w:tc>
          <w:tcPr>
            <w:tcW w:w="420" w:type="dxa"/>
            <w:vAlign w:val="bottom"/>
            <w:tcBorders>
              <w:top w:val="single" w:sz="8" w:color="auto"/>
              <w:bottom w:val="single" w:sz="8" w:color="auto"/>
            </w:tcBorders>
            <w:shd w:val="clear" w:color="auto" w:fill="D6F3E8"/>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2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2019-12-10T00:53:19Z</dcterms:created>
  <dcterms:modified xsi:type="dcterms:W3CDTF">2019-12-10T00:53:19Z</dcterms:modified>
</cp:coreProperties>
</file>