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032024_080427.xml.htm"/>
      <w:bookmarkStart w:id="1" w:name="ksform404032024_0804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Grahek Drew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OF OPERATIONS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00"/>
        <w:gridCol w:w="771"/>
        <w:gridCol w:w="598"/>
        <w:gridCol w:w="342"/>
        <w:gridCol w:w="824"/>
        <w:gridCol w:w="437"/>
        <w:gridCol w:w="744"/>
        <w:gridCol w:w="1479"/>
        <w:gridCol w:w="97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3,976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74.62</w:t>
            </w:r>
            <w:r>
              <w:rPr/>
              <w:t xml:space="preserve"> 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27,799.4269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738.5772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24.7989 shares acquired June 2023-March 2024 pursuant to the Issuer's dividend reinvestment plan and 321 shares acquired June-December 2023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53076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3248</Characters>
  <CharactersWithSpaces>3775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