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820" w:right="120" w:hanging="812"/>
        <w:spacing w:after="0" w:line="256" w:lineRule="auto"/>
        <w:tabs>
          <w:tab w:leader="none" w:pos="8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2004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820" w:right="100" w:hanging="812"/>
        <w:spacing w:after="0" w:line="256" w:lineRule="auto"/>
        <w:tabs>
          <w:tab w:leader="none" w:pos="8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40"/>
          </w:cols>
          <w:pgMar w:left="240" w:top="585" w:right="219" w:bottom="0" w:gutter="0" w:footer="0" w:header="0"/>
        </w:sectPr>
      </w:pPr>
    </w:p>
    <w:p>
      <w:pPr>
        <w:spacing w:after="0" w:line="172" w:lineRule="exact"/>
        <w:rPr>
          <w:sz w:val="24"/>
          <w:szCs w:val="24"/>
          <w:color w:val="auto"/>
        </w:rPr>
      </w:pPr>
    </w:p>
    <w:p>
      <w:pPr>
        <w:ind w:left="36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080" w:space="720"/>
            <w:col w:w="4640"/>
          </w:cols>
          <w:pgMar w:left="240" w:top="585" w:right="219" w:bottom="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0-7647</w:t>
      </w:r>
    </w:p>
    <w:p>
      <w:pPr>
        <w:sectPr>
          <w:pgSz w:w="11900" w:h="16838" w:orient="portrait"/>
          <w:cols w:equalWidth="0" w:num="1">
            <w:col w:w="11440"/>
          </w:cols>
          <w:pgMar w:left="240" w:top="585" w:right="219" w:bottom="0" w:gutter="0" w:footer="0" w:header="0"/>
          <w:type w:val="continuous"/>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40"/>
          </w:cols>
          <w:pgMar w:left="240" w:top="585" w:right="219" w:bottom="0" w:gutter="0" w:footer="0" w:header="0"/>
          <w:type w:val="continuous"/>
        </w:sectPr>
      </w:pPr>
    </w:p>
    <w:p>
      <w:pPr>
        <w:spacing w:after="0" w:line="228"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ind w:left="170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6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41-0771293</w:t>
      </w:r>
    </w:p>
    <w:p>
      <w:pPr>
        <w:spacing w:after="0" w:line="27" w:lineRule="exact"/>
        <w:rPr>
          <w:sz w:val="24"/>
          <w:szCs w:val="24"/>
          <w:color w:val="auto"/>
        </w:rPr>
      </w:pPr>
    </w:p>
    <w:p>
      <w:pPr>
        <w:jc w:val="center"/>
        <w:ind w:right="156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540" w:space="720"/>
            <w:col w:w="4180"/>
          </w:cols>
          <w:pgMar w:left="240" w:top="585" w:right="219" w:bottom="0" w:gutter="0" w:footer="0" w:header="0"/>
          <w:type w:val="continuous"/>
        </w:sectPr>
      </w:pP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(612) 331-6910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50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jc w:val="center"/>
        <w:spacing w:after="0" w:line="207" w:lineRule="exact"/>
        <w:tabs>
          <w:tab w:leader="none" w:pos="200" w:val="left"/>
          <w:tab w:leader="none" w:pos="160" w:val="left"/>
          <w:tab w:leader="none" w:pos="160" w:val="left"/>
        </w:tabs>
        <w:rPr>
          <w:sz w:val="20"/>
          <w:szCs w:val="20"/>
          <w:color w:val="auto"/>
        </w:rPr>
      </w:pPr>
      <w:r>
        <w:rPr>
          <w:rFonts w:ascii="Arial" w:cs="Arial" w:eastAsia="Arial" w:hAnsi="Arial"/>
          <w:sz w:val="18"/>
          <w:szCs w:val="18"/>
          <w:color w:val="auto"/>
        </w:rPr>
        <w:t>YES</w:t>
        <w:tab/>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Arial" w:cs="Arial" w:eastAsia="Arial" w:hAnsi="Arial"/>
          <w:sz w:val="17"/>
          <w:szCs w:val="17"/>
          <w:color w:val="auto"/>
        </w:rPr>
        <w:t>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93" w:lineRule="exact"/>
        <w:rPr>
          <w:sz w:val="24"/>
          <w:szCs w:val="24"/>
          <w:color w:val="auto"/>
        </w:rPr>
      </w:pPr>
    </w:p>
    <w:p>
      <w:pPr>
        <w:jc w:val="center"/>
        <w:spacing w:after="0" w:line="207" w:lineRule="exact"/>
        <w:tabs>
          <w:tab w:leader="none" w:pos="200" w:val="left"/>
          <w:tab w:leader="none" w:pos="160" w:val="left"/>
          <w:tab w:leader="none" w:pos="160" w:val="left"/>
        </w:tabs>
        <w:rPr>
          <w:sz w:val="20"/>
          <w:szCs w:val="20"/>
          <w:color w:val="auto"/>
        </w:rPr>
      </w:pPr>
      <w:r>
        <w:rPr>
          <w:rFonts w:ascii="Arial" w:cs="Arial" w:eastAsia="Arial" w:hAnsi="Arial"/>
          <w:sz w:val="18"/>
          <w:szCs w:val="18"/>
          <w:color w:val="auto"/>
        </w:rPr>
        <w:t>YES</w:t>
        <w:tab/>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Arial" w:cs="Arial" w:eastAsia="Arial" w:hAnsi="Arial"/>
          <w:sz w:val="17"/>
          <w:szCs w:val="17"/>
          <w:color w:val="auto"/>
        </w:rPr>
        <w:t>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CLASS</w:t>
            </w:r>
          </w:p>
        </w:tc>
        <w:tc>
          <w:tcPr>
            <w:tcW w:w="5580" w:type="dxa"/>
            <w:vAlign w:val="bottom"/>
          </w:tcPr>
          <w:p>
            <w:pPr>
              <w:jc w:val="center"/>
              <w:spacing w:after="0"/>
              <w:rPr>
                <w:sz w:val="20"/>
                <w:szCs w:val="20"/>
                <w:color w:val="auto"/>
              </w:rPr>
            </w:pPr>
            <w:r>
              <w:rPr>
                <w:rFonts w:ascii="Arial" w:cs="Arial" w:eastAsia="Arial" w:hAnsi="Arial"/>
                <w:sz w:val="14"/>
                <w:szCs w:val="14"/>
                <w:b w:val="1"/>
                <w:bCs w:val="1"/>
                <w:color w:val="auto"/>
                <w:w w:val="99"/>
              </w:rPr>
              <w:t>OUTSTANDING AT AUGUST 9, 2004</w:t>
            </w:r>
          </w:p>
        </w:tc>
        <w:tc>
          <w:tcPr>
            <w:tcW w:w="20" w:type="dxa"/>
            <w:vAlign w:val="bottom"/>
          </w:tcPr>
          <w:p>
            <w:pPr>
              <w:spacing w:after="0"/>
              <w:rPr>
                <w:sz w:val="14"/>
                <w:szCs w:val="14"/>
                <w:color w:val="auto"/>
              </w:rPr>
            </w:pPr>
          </w:p>
        </w:tc>
      </w:tr>
      <w:tr>
        <w:trPr>
          <w:trHeight w:val="224"/>
        </w:trPr>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$.05 per share</w:t>
            </w:r>
          </w:p>
        </w:tc>
        <w:tc>
          <w:tcPr>
            <w:tcW w:w="240" w:type="dxa"/>
            <w:vAlign w:val="bottom"/>
          </w:tcPr>
          <w:p>
            <w:pPr>
              <w:spacing w:after="0"/>
              <w:rPr>
                <w:sz w:val="19"/>
                <w:szCs w:val="19"/>
                <w:color w:val="auto"/>
              </w:rPr>
            </w:pPr>
          </w:p>
        </w:tc>
        <w:tc>
          <w:tcPr>
            <w:tcW w:w="5580" w:type="dxa"/>
            <w:vAlign w:val="bottom"/>
            <w:tcBorders>
              <w:top w:val="single" w:sz="8" w:color="auto"/>
            </w:tcBorders>
          </w:tcPr>
          <w:p>
            <w:pPr>
              <w:jc w:val="right"/>
              <w:ind w:right="2299"/>
              <w:spacing w:after="0"/>
              <w:rPr>
                <w:sz w:val="20"/>
                <w:szCs w:val="20"/>
                <w:color w:val="auto"/>
              </w:rPr>
            </w:pPr>
            <w:r>
              <w:rPr>
                <w:rFonts w:ascii="Arial" w:cs="Arial" w:eastAsia="Arial" w:hAnsi="Arial"/>
                <w:sz w:val="18"/>
                <w:szCs w:val="18"/>
                <w:color w:val="auto"/>
              </w:rPr>
              <w:t>10,216,688</w:t>
            </w:r>
          </w:p>
        </w:tc>
        <w:tc>
          <w:tcPr>
            <w:tcW w:w="20" w:type="dxa"/>
            <w:vAlign w:val="bottom"/>
          </w:tcPr>
          <w:p>
            <w:pPr>
              <w:spacing w:after="0"/>
              <w:rPr>
                <w:sz w:val="19"/>
                <w:szCs w:val="19"/>
                <w:color w:val="auto"/>
              </w:rPr>
            </w:pPr>
          </w:p>
        </w:tc>
      </w:tr>
      <w:tr>
        <w:trPr>
          <w:trHeight w:val="236"/>
        </w:trPr>
        <w:tc>
          <w:tcPr>
            <w:tcW w:w="5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88"/>
        </w:trPr>
        <w:tc>
          <w:tcPr>
            <w:tcW w:w="56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5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21"/>
        </w:trPr>
        <w:tc>
          <w:tcPr>
            <w:tcW w:w="56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55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207" w:lineRule="exact"/>
        <w:rPr>
          <w:sz w:val="24"/>
          <w:szCs w:val="24"/>
          <w:color w:val="auto"/>
        </w:rPr>
      </w:pPr>
    </w:p>
    <w:p>
      <w:pPr>
        <w:spacing w:after="0"/>
        <w:tabs>
          <w:tab w:leader="none" w:pos="1320" w:val="left"/>
        </w:tabs>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2">
        <w:r>
          <w:rPr>
            <w:rFonts w:ascii="Arial" w:cs="Arial" w:eastAsia="Arial" w:hAnsi="Arial"/>
            <w:sz w:val="18"/>
            <w:szCs w:val="18"/>
            <w:b w:val="1"/>
            <w:bCs w:val="1"/>
            <w:u w:val="single" w:color="auto"/>
            <w:color w:val="0000EE"/>
          </w:rPr>
          <w:t>FINANCIAL INFORMATION</w:t>
        </w:r>
      </w:hyperlink>
    </w:p>
    <w:p>
      <w:pPr>
        <w:spacing w:after="0" w:line="229" w:lineRule="exact"/>
        <w:rPr>
          <w:sz w:val="20"/>
          <w:szCs w:val="20"/>
          <w:color w:val="auto"/>
        </w:rPr>
      </w:pPr>
    </w:p>
    <w:p>
      <w:pPr>
        <w:spacing w:after="0"/>
        <w:tabs>
          <w:tab w:leader="none" w:pos="1320" w:val="left"/>
        </w:tabs>
        <w:rPr>
          <w:rFonts w:ascii="Arial" w:cs="Arial" w:eastAsia="Arial" w:hAnsi="Arial"/>
          <w:sz w:val="16"/>
          <w:szCs w:val="16"/>
          <w:u w:val="single" w:color="auto"/>
          <w:color w:val="0000EE"/>
        </w:rPr>
      </w:pPr>
      <w:hyperlink w:anchor="page2">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2">
        <w:r>
          <w:rPr>
            <w:rFonts w:ascii="Arial" w:cs="Arial" w:eastAsia="Arial" w:hAnsi="Arial"/>
            <w:sz w:val="16"/>
            <w:szCs w:val="16"/>
            <w:u w:val="single" w:color="auto"/>
            <w:color w:val="0000EE"/>
          </w:rPr>
          <w:t>Financial Statements:</w:t>
        </w:r>
      </w:hyperlink>
    </w:p>
    <w:p>
      <w:pPr>
        <w:spacing w:after="0" w:line="225" w:lineRule="exact"/>
        <w:rPr>
          <w:sz w:val="20"/>
          <w:szCs w:val="20"/>
          <w:color w:val="auto"/>
        </w:rPr>
      </w:pPr>
    </w:p>
    <w:p>
      <w:pPr>
        <w:ind w:left="1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Balance Sheets – June 30, 2004 and March 28, 2004</w:t>
        </w:r>
      </w:hyperlink>
    </w:p>
    <w:p>
      <w:pPr>
        <w:spacing w:after="0" w:line="225" w:lineRule="exact"/>
        <w:rPr>
          <w:sz w:val="20"/>
          <w:szCs w:val="20"/>
          <w:color w:val="auto"/>
        </w:rPr>
      </w:pPr>
    </w:p>
    <w:p>
      <w:pPr>
        <w:ind w:left="1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Statements of Income - Three Months Ended June 30, 2004 and 2003</w:t>
        </w:r>
      </w:hyperlink>
    </w:p>
    <w:p>
      <w:pPr>
        <w:spacing w:after="0" w:line="225" w:lineRule="exact"/>
        <w:rPr>
          <w:sz w:val="20"/>
          <w:szCs w:val="20"/>
          <w:color w:val="auto"/>
        </w:rPr>
      </w:pPr>
    </w:p>
    <w:p>
      <w:pPr>
        <w:ind w:left="13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Statements of Cash Flows – Three Months Ended June 30, 2004 and 2003</w:t>
        </w:r>
      </w:hyperlink>
    </w:p>
    <w:p>
      <w:pPr>
        <w:spacing w:after="0" w:line="225" w:lineRule="exact"/>
        <w:rPr>
          <w:sz w:val="20"/>
          <w:szCs w:val="20"/>
          <w:color w:val="auto"/>
        </w:rPr>
      </w:pPr>
    </w:p>
    <w:p>
      <w:pPr>
        <w:ind w:left="13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Notes to Condensed Financial Statements</w:t>
        </w:r>
      </w:hyperlink>
    </w:p>
    <w:p>
      <w:pPr>
        <w:spacing w:after="0" w:line="225" w:lineRule="exact"/>
        <w:rPr>
          <w:sz w:val="20"/>
          <w:szCs w:val="20"/>
          <w:color w:val="auto"/>
        </w:rPr>
      </w:pPr>
    </w:p>
    <w:p>
      <w:pPr>
        <w:spacing w:after="0"/>
        <w:tabs>
          <w:tab w:leader="none" w:pos="132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Management’s Discussion and Analysis of Financial Condition and Results of Operations</w:t>
        </w:r>
      </w:hyperlink>
    </w:p>
    <w:p>
      <w:pPr>
        <w:sectPr>
          <w:pgSz w:w="11900" w:h="16838" w:orient="portrait"/>
          <w:cols w:equalWidth="0" w:num="1">
            <w:col w:w="11440"/>
          </w:cols>
          <w:pgMar w:left="240" w:top="585" w:right="2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Item 3.</w:t>
              </w:r>
            </w:hyperlink>
          </w:p>
        </w:tc>
        <w:tc>
          <w:tcPr>
            <w:tcW w:w="800" w:type="dxa"/>
            <w:vAlign w:val="bottom"/>
            <w:gridSpan w:val="3"/>
          </w:tcPr>
          <w:p>
            <w:pPr>
              <w:spacing w:after="0"/>
              <w:rPr>
                <w:sz w:val="17"/>
                <w:szCs w:val="17"/>
                <w:color w:val="auto"/>
              </w:rPr>
            </w:pPr>
          </w:p>
        </w:tc>
        <w:tc>
          <w:tcPr>
            <w:tcW w:w="43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Quantitative and Qualitative Disclosures about Market Risk</w:t>
              </w:r>
            </w:hyperlink>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Item 4.</w:t>
              </w:r>
            </w:hyperlink>
          </w:p>
        </w:tc>
        <w:tc>
          <w:tcPr>
            <w:tcW w:w="820" w:type="dxa"/>
            <w:vAlign w:val="bottom"/>
            <w:gridSpan w:val="4"/>
          </w:tcPr>
          <w:p>
            <w:pPr>
              <w:spacing w:after="0"/>
              <w:rPr>
                <w:sz w:val="24"/>
                <w:szCs w:val="24"/>
                <w:color w:val="auto"/>
              </w:rPr>
            </w:pPr>
          </w:p>
        </w:tc>
        <w:tc>
          <w:tcPr>
            <w:tcW w:w="1780" w:type="dxa"/>
            <w:vAlign w:val="bottom"/>
            <w:tcBorders>
              <w:bottom w:val="single" w:sz="8" w:color="0000EE"/>
            </w:tcBorders>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Controls and Procedures</w:t>
              </w:r>
            </w:hyperlink>
          </w:p>
        </w:tc>
        <w:tc>
          <w:tcPr>
            <w:tcW w:w="446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1340" w:type="dxa"/>
            <w:vAlign w:val="bottom"/>
            <w:gridSpan w:val="6"/>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PART II.</w:t>
              </w:r>
            </w:hyperlink>
          </w:p>
        </w:tc>
        <w:tc>
          <w:tcPr>
            <w:tcW w:w="6240" w:type="dxa"/>
            <w:vAlign w:val="bottom"/>
            <w:gridSpan w:val="5"/>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OTHER INFORMATION</w:t>
              </w:r>
            </w:hyperlink>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Item 6.</w:t>
              </w:r>
            </w:hyperlink>
          </w:p>
        </w:tc>
        <w:tc>
          <w:tcPr>
            <w:tcW w:w="16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25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Exhibits and Reports on Form 8-K</w:t>
              </w:r>
            </w:hyperlink>
          </w:p>
        </w:tc>
        <w:tc>
          <w:tcPr>
            <w:tcW w:w="374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40" w:type="dxa"/>
            <w:vAlign w:val="bottom"/>
            <w:gridSpan w:val="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Signatures</w:t>
              </w:r>
            </w:hyperlink>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6240" w:type="dxa"/>
            <w:vAlign w:val="bottom"/>
            <w:gridSpan w:val="5"/>
          </w:tcPr>
          <w:p>
            <w:pPr>
              <w:ind w:left="43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67"/>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40" w:type="dxa"/>
            <w:vAlign w:val="bottom"/>
            <w:gridSpan w:val="2"/>
          </w:tcPr>
          <w:p>
            <w:pPr>
              <w:ind w:left="320"/>
              <w:spacing w:after="0"/>
              <w:rPr>
                <w:sz w:val="20"/>
                <w:szCs w:val="20"/>
                <w:color w:val="auto"/>
              </w:rPr>
            </w:pPr>
            <w:r>
              <w:rPr>
                <w:rFonts w:ascii="Arial" w:cs="Arial" w:eastAsia="Arial" w:hAnsi="Arial"/>
                <w:sz w:val="18"/>
                <w:szCs w:val="18"/>
                <w:b w:val="1"/>
                <w:bCs w:val="1"/>
                <w:color w:val="auto"/>
              </w:rPr>
              <w:t>PART I. FINANCIAL INFORMATION</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80" w:type="dxa"/>
            <w:vAlign w:val="bottom"/>
            <w:gridSpan w:val="11"/>
          </w:tcPr>
          <w:p>
            <w:pPr>
              <w:spacing w:after="0"/>
              <w:rPr>
                <w:sz w:val="20"/>
                <w:szCs w:val="20"/>
                <w:color w:val="auto"/>
              </w:rPr>
            </w:pPr>
            <w:r>
              <w:rPr>
                <w:rFonts w:ascii="Arial" w:cs="Arial" w:eastAsia="Arial" w:hAnsi="Arial"/>
                <w:sz w:val="18"/>
                <w:szCs w:val="18"/>
                <w:color w:val="auto"/>
              </w:rPr>
              <w:t>ITEM 1. FINANCIAL STATEMENTS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340" w:type="dxa"/>
            <w:vAlign w:val="bottom"/>
            <w:gridSpan w:val="6"/>
          </w:tcPr>
          <w:p>
            <w:pPr>
              <w:spacing w:after="0"/>
              <w:rPr>
                <w:sz w:val="20"/>
                <w:szCs w:val="20"/>
                <w:color w:val="auto"/>
              </w:rPr>
            </w:pPr>
            <w:r>
              <w:rPr>
                <w:rFonts w:ascii="Arial" w:cs="Arial" w:eastAsia="Arial" w:hAnsi="Arial"/>
                <w:sz w:val="18"/>
                <w:szCs w:val="18"/>
                <w:b w:val="1"/>
                <w:bCs w:val="1"/>
                <w:color w:val="auto"/>
                <w:w w:val="99"/>
              </w:rPr>
              <w:t>HAWKINS, INC.</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580" w:type="dxa"/>
            <w:vAlign w:val="bottom"/>
            <w:gridSpan w:val="11"/>
          </w:tcPr>
          <w:p>
            <w:pPr>
              <w:spacing w:after="0"/>
              <w:rPr>
                <w:sz w:val="20"/>
                <w:szCs w:val="20"/>
                <w:color w:val="auto"/>
              </w:rPr>
            </w:pPr>
            <w:r>
              <w:rPr>
                <w:rFonts w:ascii="Arial" w:cs="Arial" w:eastAsia="Arial" w:hAnsi="Arial"/>
                <w:sz w:val="18"/>
                <w:szCs w:val="18"/>
                <w:b w:val="1"/>
                <w:bCs w:val="1"/>
                <w:color w:val="auto"/>
              </w:rPr>
              <w:t>CONDENSED BALANCE SHEETS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6"/>
              </w:rPr>
              <w:t>2004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JUNE 30,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(DERIVED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9"/>
              </w:rPr>
              <w:t>2004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tcBorders>
              <w:top w:val="single" w:sz="8" w:color="CCEEFF"/>
            </w:tcBorders>
            <w:gridSpan w:val="5"/>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7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10"/>
          </w:tcPr>
          <w:p>
            <w:pPr>
              <w:ind w:left="16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3,578,362</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1,558,969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10"/>
            <w:shd w:val="clear" w:color="auto" w:fill="CCEEFF"/>
          </w:tcPr>
          <w:p>
            <w:pPr>
              <w:ind w:left="160"/>
              <w:spacing w:after="0"/>
              <w:rPr>
                <w:sz w:val="20"/>
                <w:szCs w:val="20"/>
                <w:color w:val="auto"/>
              </w:rPr>
            </w:pPr>
            <w:r>
              <w:rPr>
                <w:rFonts w:ascii="Arial" w:cs="Arial" w:eastAsia="Arial" w:hAnsi="Arial"/>
                <w:sz w:val="18"/>
                <w:szCs w:val="18"/>
                <w:color w:val="auto"/>
              </w:rPr>
              <w:t>Investments available-for-sale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21,894,043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22,364,439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10"/>
          </w:tcPr>
          <w:p>
            <w:pPr>
              <w:ind w:left="160"/>
              <w:spacing w:after="0"/>
              <w:rPr>
                <w:sz w:val="20"/>
                <w:szCs w:val="20"/>
                <w:color w:val="auto"/>
              </w:rPr>
            </w:pPr>
            <w:r>
              <w:rPr>
                <w:rFonts w:ascii="Arial" w:cs="Arial" w:eastAsia="Arial" w:hAnsi="Arial"/>
                <w:sz w:val="18"/>
                <w:szCs w:val="18"/>
                <w:color w:val="auto"/>
              </w:rPr>
              <w:t>Trade receivables – net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11,949,743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11,308,851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9,149,912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8,887,081</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gridSpan w:val="10"/>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2,066,648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3,566,891</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gridSpan w:val="10"/>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48,638,708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47,686,231</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30,174,038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29,532,485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10"/>
            <w:shd w:val="clear" w:color="auto" w:fill="CCEEFF"/>
          </w:tcPr>
          <w:p>
            <w:pPr>
              <w:spacing w:after="0"/>
              <w:rPr>
                <w:sz w:val="20"/>
                <w:szCs w:val="20"/>
                <w:color w:val="auto"/>
              </w:rPr>
            </w:pPr>
            <w:r>
              <w:rPr>
                <w:rFonts w:ascii="Arial" w:cs="Arial" w:eastAsia="Arial" w:hAnsi="Arial"/>
                <w:sz w:val="18"/>
                <w:szCs w:val="18"/>
                <w:color w:val="auto"/>
                <w:w w:val="95"/>
              </w:rPr>
              <w:t>INTANGIBLE ASSETS - less accumulated amortization of $1,655,743 and $1,584,871, respectively</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2,707,306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2,778,178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OTHER ASSETS</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2,474,983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2,620,011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83,995,035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82,616,905</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gridSpan w:val="10"/>
            <w:shd w:val="clear" w:color="auto" w:fill="CCEEFF"/>
          </w:tcPr>
          <w:p>
            <w:pPr>
              <w:spacing w:after="0" w:line="202" w:lineRule="exact"/>
              <w:rPr>
                <w:sz w:val="20"/>
                <w:szCs w:val="20"/>
                <w:color w:val="auto"/>
              </w:rPr>
            </w:pPr>
            <w:r>
              <w:rPr>
                <w:rFonts w:ascii="Arial" w:cs="Arial" w:eastAsia="Arial" w:hAnsi="Arial"/>
                <w:sz w:val="18"/>
                <w:szCs w:val="18"/>
                <w:color w:val="auto"/>
              </w:rPr>
              <w:t>LIABILITIES AND SHAREHOLDERS’ EQUITY</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10"/>
          </w:tcPr>
          <w:p>
            <w:pPr>
              <w:ind w:left="160"/>
              <w:spacing w:after="0"/>
              <w:rPr>
                <w:sz w:val="20"/>
                <w:szCs w:val="20"/>
                <w:color w:val="auto"/>
              </w:rPr>
            </w:pPr>
            <w:r>
              <w:rPr>
                <w:rFonts w:ascii="Arial" w:cs="Arial" w:eastAsia="Arial" w:hAnsi="Arial"/>
                <w:sz w:val="18"/>
                <w:szCs w:val="18"/>
                <w:color w:val="auto"/>
              </w:rPr>
              <w:t>Accounts payable – trade</w:t>
            </w:r>
          </w:p>
        </w:tc>
        <w:tc>
          <w:tcPr>
            <w:tcW w:w="5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6,973,419</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4,752,049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10"/>
            <w:shd w:val="clear" w:color="auto" w:fill="CCEEFF"/>
          </w:tcPr>
          <w:p>
            <w:pPr>
              <w:ind w:left="160"/>
              <w:spacing w:after="0"/>
              <w:rPr>
                <w:sz w:val="20"/>
                <w:szCs w:val="20"/>
                <w:color w:val="auto"/>
              </w:rPr>
            </w:pPr>
            <w:r>
              <w:rPr>
                <w:rFonts w:ascii="Arial" w:cs="Arial" w:eastAsia="Arial" w:hAnsi="Arial"/>
                <w:sz w:val="18"/>
                <w:szCs w:val="18"/>
                <w:color w:val="auto"/>
              </w:rPr>
              <w:t>Dividends payable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1,839,004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gridSpan w:val="10"/>
          </w:tcPr>
          <w:p>
            <w:pPr>
              <w:ind w:left="16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4,810,335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6,417,231</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gridSpan w:val="10"/>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11,783,754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13,008,284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1,505,443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1,614,843</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10"/>
          </w:tcPr>
          <w:p>
            <w:pPr>
              <w:ind w:left="160"/>
              <w:spacing w:after="0"/>
              <w:rPr>
                <w:sz w:val="20"/>
                <w:szCs w:val="20"/>
                <w:color w:val="auto"/>
              </w:rPr>
            </w:pPr>
            <w:r>
              <w:rPr>
                <w:rFonts w:ascii="Arial" w:cs="Arial" w:eastAsia="Arial" w:hAnsi="Arial"/>
                <w:sz w:val="18"/>
                <w:szCs w:val="18"/>
                <w:color w:val="auto"/>
              </w:rPr>
              <w:t>Common stock, par value $.05 per share; 10,216,688 shares issued and outstanding</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510,834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510,834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10"/>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37,747,492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37,747,492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10"/>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15,400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196,328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10"/>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32,379,295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29,449,991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gridSpan w:val="10"/>
          </w:tcPr>
          <w:p>
            <w:pPr>
              <w:ind w:left="34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70,653,021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67,904,645</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83,995,035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82,616,905</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-7035800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-7035800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202"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6350</wp:posOffset>
            </wp:positionV>
            <wp:extent cx="2178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ind w:left="8560"/>
        <w:spacing w:after="0"/>
        <w:tabs>
          <w:tab w:leader="none" w:pos="10360" w:val="left"/>
        </w:tabs>
        <w:rPr>
          <w:sz w:val="20"/>
          <w:szCs w:val="20"/>
          <w:color w:val="auto"/>
        </w:rPr>
      </w:pP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-3175</wp:posOffset>
            </wp:positionV>
            <wp:extent cx="2178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ectPr>
          <w:pgSz w:w="11900" w:h="16838" w:orient="portrait"/>
          <w:cols w:equalWidth="0" w:num="1">
            <w:col w:w="11440"/>
          </w:cols>
          <w:pgMar w:left="240" w:top="324" w:right="21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(UNAUDITED)</w:t>
            </w: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4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29,955,818</w:t>
            </w:r>
          </w:p>
        </w:tc>
        <w:tc>
          <w:tcPr>
            <w:tcW w:w="200" w:type="dxa"/>
            <w:vAlign w:val="bottom"/>
            <w:shd w:val="clear" w:color="auto" w:fill="CCEEFF"/>
          </w:tcPr>
          <w:p>
            <w:pPr>
              <w:jc w:val="right"/>
              <w:ind w:right="39"/>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29,066,867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21,370,342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20,630,734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8,585,476</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8,436,133</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4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4,204,845</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4,192,655</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4,380,631</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4,243,478</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4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196,173</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222,538</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4,576,804</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4,466,016</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1,647,500</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1,674,000</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2,929,304</w:t>
            </w:r>
          </w:p>
        </w:tc>
        <w:tc>
          <w:tcPr>
            <w:tcW w:w="2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39"/>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2,792,016</w:t>
            </w:r>
          </w:p>
        </w:tc>
        <w:tc>
          <w:tcPr>
            <w:tcW w:w="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2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10,216,688</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10,216,688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 and diluted</w:t>
            </w:r>
          </w:p>
        </w:tc>
        <w:tc>
          <w:tcPr>
            <w:tcW w:w="2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0.29</w:t>
            </w:r>
          </w:p>
        </w:tc>
        <w:tc>
          <w:tcPr>
            <w:tcW w:w="200" w:type="dxa"/>
            <w:vAlign w:val="bottom"/>
            <w:shd w:val="clear" w:color="auto" w:fill="CCEEFF"/>
          </w:tcPr>
          <w:p>
            <w:pPr>
              <w:jc w:val="right"/>
              <w:ind w:right="39"/>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44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94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460" w:type="dxa"/>
            <w:vAlign w:val="bottom"/>
            <w:tcBorders>
              <w:bottom w:val="single" w:sz="8" w:color="auto"/>
            </w:tcBorders>
            <w:shd w:val="clear" w:color="auto" w:fill="000000"/>
          </w:tcPr>
          <w:p>
            <w:pPr>
              <w:spacing w:after="0" w:line="20" w:lineRule="exact"/>
              <w:rPr>
                <w:sz w:val="1"/>
                <w:szCs w:val="1"/>
                <w:color w:val="auto"/>
              </w:rPr>
            </w:pPr>
          </w:p>
        </w:tc>
        <w:tc>
          <w:tcPr>
            <w:tcW w:w="9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500" w:type="dxa"/>
            <w:vAlign w:val="bottom"/>
            <w:gridSpan w:val="2"/>
          </w:tcPr>
          <w:p>
            <w:pPr>
              <w:spacing w:after="0"/>
              <w:rPr>
                <w:sz w:val="20"/>
                <w:szCs w:val="20"/>
                <w:color w:val="auto"/>
              </w:rPr>
            </w:pPr>
            <w:r>
              <w:rPr>
                <w:rFonts w:ascii="Arial" w:cs="Arial" w:eastAsia="Arial" w:hAnsi="Arial"/>
                <w:sz w:val="18"/>
                <w:szCs w:val="18"/>
                <w:color w:val="auto"/>
              </w:rPr>
              <w:t>See accompanying notes to condensed financial statements.</w:t>
            </w:r>
          </w:p>
        </w:tc>
        <w:tc>
          <w:tcPr>
            <w:tcW w:w="2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400" w:type="dxa"/>
            <w:vAlign w:val="bottom"/>
          </w:tcPr>
          <w:p>
            <w:pPr>
              <w:jc w:val="right"/>
              <w:ind w:right="205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8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35"/>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HAWKINS, INC.</w:t>
            </w:r>
          </w:p>
        </w:tc>
        <w:tc>
          <w:tcPr>
            <w:tcW w:w="2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CONDENSED STATEMENTS OF CASH FLOWS</w:t>
            </w:r>
          </w:p>
        </w:tc>
        <w:tc>
          <w:tcPr>
            <w:tcW w:w="2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4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0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2,929,304</w:t>
            </w:r>
          </w:p>
        </w:tc>
        <w:tc>
          <w:tcPr>
            <w:tcW w:w="6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2,792,016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Reconciliation to cash flows:</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785,622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719,182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from property disposals</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(18,876)</w:t>
            </w:r>
          </w:p>
        </w:tc>
        <w:tc>
          <w:tcPr>
            <w:tcW w:w="4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10,809</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Changes in operating accounts (requiring) providing cash:</w:t>
            </w: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Trade receivables</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(640,892)</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520"/>
              <w:spacing w:after="0"/>
              <w:rPr>
                <w:sz w:val="20"/>
                <w:szCs w:val="20"/>
                <w:color w:val="auto"/>
              </w:rPr>
            </w:pPr>
            <w:r>
              <w:rPr>
                <w:rFonts w:ascii="Arial" w:cs="Arial" w:eastAsia="Arial" w:hAnsi="Arial"/>
                <w:sz w:val="18"/>
                <w:szCs w:val="18"/>
                <w:color w:val="auto"/>
              </w:rPr>
              <w:t>Inventories</w:t>
            </w: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79"/>
              <w:spacing w:after="0"/>
              <w:rPr>
                <w:sz w:val="20"/>
                <w:szCs w:val="20"/>
                <w:color w:val="auto"/>
              </w:rPr>
            </w:pPr>
            <w:r>
              <w:rPr>
                <w:rFonts w:ascii="Arial" w:cs="Arial" w:eastAsia="Arial" w:hAnsi="Arial"/>
                <w:sz w:val="18"/>
                <w:szCs w:val="18"/>
                <w:color w:val="auto"/>
              </w:rPr>
              <w:t>(262,831)</w:t>
            </w:r>
          </w:p>
        </w:tc>
        <w:tc>
          <w:tcPr>
            <w:tcW w:w="4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(258,065)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2,221,370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129,854</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520"/>
              <w:spacing w:after="0"/>
              <w:rPr>
                <w:sz w:val="20"/>
                <w:szCs w:val="20"/>
                <w:color w:val="auto"/>
              </w:rPr>
            </w:pPr>
            <w:r>
              <w:rPr>
                <w:rFonts w:ascii="Arial" w:cs="Arial" w:eastAsia="Arial" w:hAnsi="Arial"/>
                <w:sz w:val="18"/>
                <w:szCs w:val="18"/>
                <w:color w:val="auto"/>
              </w:rPr>
              <w:t>Other liabilities</w:t>
            </w: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79"/>
              <w:spacing w:after="0"/>
              <w:rPr>
                <w:sz w:val="20"/>
                <w:szCs w:val="20"/>
                <w:color w:val="auto"/>
              </w:rPr>
            </w:pPr>
            <w:r>
              <w:rPr>
                <w:rFonts w:ascii="Arial" w:cs="Arial" w:eastAsia="Arial" w:hAnsi="Arial"/>
                <w:sz w:val="18"/>
                <w:szCs w:val="18"/>
                <w:color w:val="auto"/>
              </w:rPr>
              <w:t>(1,643,212)</w:t>
            </w:r>
          </w:p>
        </w:tc>
        <w:tc>
          <w:tcPr>
            <w:tcW w:w="4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(724,110)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1,494,703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450,081</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4,865,188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2,911,707</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79"/>
              <w:spacing w:after="0"/>
              <w:rPr>
                <w:sz w:val="20"/>
                <w:szCs w:val="20"/>
                <w:color w:val="auto"/>
              </w:rPr>
            </w:pPr>
            <w:r>
              <w:rPr>
                <w:rFonts w:ascii="Arial" w:cs="Arial" w:eastAsia="Arial" w:hAnsi="Arial"/>
                <w:sz w:val="18"/>
                <w:szCs w:val="18"/>
                <w:color w:val="auto"/>
              </w:rPr>
              <w:t>(1,388,660)</w:t>
            </w:r>
          </w:p>
        </w:tc>
        <w:tc>
          <w:tcPr>
            <w:tcW w:w="4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(965,678)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investments</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(1,421,029)</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Sale and maturities of investments</w:t>
            </w: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1,701,097</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2,012,525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disposal of property</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51,233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19,498</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Payments received on notes receivable</w:t>
            </w: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50,568</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46,693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79"/>
              <w:spacing w:after="0"/>
              <w:rPr>
                <w:sz w:val="20"/>
                <w:szCs w:val="20"/>
                <w:color w:val="auto"/>
              </w:rPr>
            </w:pPr>
            <w:r>
              <w:rPr>
                <w:rFonts w:ascii="Arial" w:cs="Arial" w:eastAsia="Arial" w:hAnsi="Arial"/>
                <w:sz w:val="18"/>
                <w:szCs w:val="18"/>
                <w:color w:val="auto"/>
              </w:rPr>
              <w:t>(1,006,791)</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334,009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 paid</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(1,839,004)</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(1,839,004)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(1,839,004)</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(1,839,004)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2,019,393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1,406,712</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1,558,969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1,353,720</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0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3,578,362</w:t>
            </w:r>
          </w:p>
        </w:tc>
        <w:tc>
          <w:tcPr>
            <w:tcW w:w="6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2,760,432</w:t>
            </w:r>
          </w:p>
        </w:tc>
        <w:tc>
          <w:tcPr>
            <w:tcW w:w="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8"/>
              </w:rPr>
              <w:t>SUPPLEMENTAL DISCLOSURES OF CASH FLOW INFORMATION:</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8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paid for income taxes</w:t>
            </w:r>
          </w:p>
        </w:tc>
        <w:tc>
          <w:tcPr>
            <w:tcW w:w="2840" w:type="dxa"/>
            <w:vAlign w:val="bottom"/>
            <w:tcBorders>
              <w:bottom w:val="single" w:sz="8" w:color="CCEEFF"/>
            </w:tcBorders>
            <w:gridSpan w:val="2"/>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180,998</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500" w:type="dxa"/>
            <w:vAlign w:val="bottom"/>
            <w:gridSpan w:val="2"/>
          </w:tcPr>
          <w:p>
            <w:pPr>
              <w:spacing w:after="0"/>
              <w:rPr>
                <w:sz w:val="20"/>
                <w:szCs w:val="20"/>
                <w:color w:val="auto"/>
              </w:rPr>
            </w:pPr>
            <w:r>
              <w:rPr>
                <w:rFonts w:ascii="Arial" w:cs="Arial" w:eastAsia="Arial" w:hAnsi="Arial"/>
                <w:sz w:val="18"/>
                <w:szCs w:val="18"/>
                <w:color w:val="auto"/>
              </w:rPr>
              <w:t>See accompanying notes to condensed financial statements.</w:t>
            </w:r>
          </w:p>
        </w:tc>
        <w:tc>
          <w:tcPr>
            <w:tcW w:w="2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-6632575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-6632575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3" w:right="219" w:bottom="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1" w:lineRule="exact"/>
        <w:rPr>
          <w:sz w:val="20"/>
          <w:szCs w:val="20"/>
          <w:color w:val="auto"/>
        </w:rPr>
      </w:pPr>
    </w:p>
    <w:p>
      <w:pPr>
        <w:ind w:left="340" w:right="20" w:hanging="332"/>
        <w:spacing w:after="0" w:line="293" w:lineRule="auto"/>
        <w:tabs>
          <w:tab w:leader="none" w:pos="35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fiscal year ended March 28, 2004, previously filed with the Securities and Exchange Commission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164" w:lineRule="exact"/>
        <w:rPr>
          <w:rFonts w:ascii="Arial" w:cs="Arial" w:eastAsia="Arial" w:hAnsi="Arial"/>
          <w:sz w:val="16"/>
          <w:szCs w:val="16"/>
          <w:color w:val="auto"/>
        </w:rPr>
      </w:pPr>
    </w:p>
    <w:p>
      <w:pPr>
        <w:ind w:left="340" w:right="400"/>
        <w:spacing w:after="0" w:line="277" w:lineRule="auto"/>
        <w:rPr>
          <w:rFonts w:ascii="Arial" w:cs="Arial" w:eastAsia="Arial" w:hAnsi="Arial"/>
          <w:sz w:val="16"/>
          <w:szCs w:val="16"/>
          <w:color w:val="auto"/>
        </w:rPr>
      </w:pPr>
      <w:r>
        <w:rPr>
          <w:rFonts w:ascii="Arial" w:cs="Arial" w:eastAsia="Arial" w:hAnsi="Arial"/>
          <w:sz w:val="18"/>
          <w:szCs w:val="18"/>
          <w:color w:val="auto"/>
        </w:rPr>
        <w:t>The accounting policies followed by the Company are set forth in Note 1 to the Company’s financial statements in the Company’s Annual Report on Form 10-K for the fiscal year ended March 28, 2004 filed with the Commission on June 10, 2004.</w:t>
      </w:r>
    </w:p>
    <w:p>
      <w:pPr>
        <w:spacing w:after="0" w:line="170"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results of operations for the period ended June 30, 2004 are not necessarily indicative of the results that may be expected for the full year.</w:t>
      </w:r>
    </w:p>
    <w:p>
      <w:pPr>
        <w:spacing w:after="0" w:line="236" w:lineRule="exact"/>
        <w:rPr>
          <w:rFonts w:ascii="Arial" w:cs="Arial" w:eastAsia="Arial" w:hAnsi="Arial"/>
          <w:sz w:val="17"/>
          <w:szCs w:val="17"/>
          <w:color w:val="auto"/>
        </w:rPr>
      </w:pPr>
    </w:p>
    <w:p>
      <w:pPr>
        <w:ind w:left="340" w:right="40" w:hanging="332"/>
        <w:spacing w:after="0" w:line="277" w:lineRule="auto"/>
        <w:tabs>
          <w:tab w:leader="none" w:pos="353"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reclassifications have been made to the prior year’s financial statements to conform to the current year presentation. Such reclassifications had no effect on net income or shareholders’ equity as previously reported.</w:t>
      </w:r>
    </w:p>
    <w:p>
      <w:pPr>
        <w:spacing w:after="0" w:line="170" w:lineRule="exact"/>
        <w:rPr>
          <w:rFonts w:ascii="Arial" w:cs="Arial" w:eastAsia="Arial" w:hAnsi="Arial"/>
          <w:sz w:val="18"/>
          <w:szCs w:val="18"/>
          <w:color w:val="auto"/>
        </w:rPr>
      </w:pPr>
    </w:p>
    <w:p>
      <w:pPr>
        <w:ind w:left="340" w:right="800" w:hanging="332"/>
        <w:spacing w:after="0" w:line="277" w:lineRule="auto"/>
        <w:tabs>
          <w:tab w:leader="none" w:pos="35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Inventories, principally valued by the LIFO method, are less than current cost by approximately $402,000 at June 30, 2004. Inventory consists principally of finished goods.</w:t>
      </w:r>
    </w:p>
    <w:p>
      <w:pPr>
        <w:spacing w:after="0" w:line="170" w:lineRule="exact"/>
        <w:rPr>
          <w:rFonts w:ascii="Arial" w:cs="Arial" w:eastAsia="Arial" w:hAnsi="Arial"/>
          <w:sz w:val="18"/>
          <w:szCs w:val="18"/>
          <w:color w:val="auto"/>
        </w:rPr>
      </w:pPr>
    </w:p>
    <w:p>
      <w:pPr>
        <w:ind w:left="340" w:right="40" w:hanging="332"/>
        <w:spacing w:after="0" w:line="291" w:lineRule="auto"/>
        <w:tabs>
          <w:tab w:leader="none" w:pos="353"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March 2004, the Emerging Issues Task Force (EITF) reached a consensus on the remaining portions of EITF 03-01, “The Meaning of Other-Than-Temporary Impairment and Its Application to Certain Investments,” with an effective date of June 15, 2004. EITF 03-01 provides new disclosure requirements for other-than-temporary impairments on debt and equity investments. Investors are required to disclose quantitative information about: (i) the aggregate amount of unrealized losses, and (ii) the aggregate related fair values of investments with unrealized losses, segregated into time periods during which the investment has been in an unrealized loss position of less than 12 months and greater than 12 months. In addition, investors are required to disclose the qualitative information that supports their conclusion that the impairments noted in the quantitative disclosure are not other-than-temporary. The adoption of EITF 03-01 did not have a material impact on the Company’s results of operations or financial condition.</w:t>
      </w:r>
    </w:p>
    <w:p>
      <w:pPr>
        <w:spacing w:after="0" w:line="167" w:lineRule="exact"/>
        <w:rPr>
          <w:rFonts w:ascii="Arial" w:cs="Arial" w:eastAsia="Arial" w:hAnsi="Arial"/>
          <w:sz w:val="16"/>
          <w:szCs w:val="16"/>
          <w:color w:val="auto"/>
        </w:rPr>
      </w:pPr>
    </w:p>
    <w:p>
      <w:pPr>
        <w:ind w:left="340" w:right="380" w:hanging="332"/>
        <w:spacing w:after="0" w:line="264" w:lineRule="auto"/>
        <w:tabs>
          <w:tab w:leader="none" w:pos="35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has two reportable segments: Industrial and Water Treatment. Reportable segments are defined by product and type of customer. Each segment is responsible for the sales, marketing and development of its products and services. The segments do not have separate accounting, administration, customer service or purchasing functions.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REPORTABLE SEGMENTS</w:t>
            </w:r>
          </w:p>
        </w:tc>
        <w:tc>
          <w:tcPr>
            <w:tcW w:w="200" w:type="dxa"/>
            <w:vAlign w:val="bottom"/>
          </w:tcPr>
          <w:p>
            <w:pPr>
              <w:spacing w:after="0"/>
              <w:rPr>
                <w:sz w:val="14"/>
                <w:szCs w:val="14"/>
                <w:color w:val="auto"/>
              </w:rPr>
            </w:pPr>
          </w:p>
        </w:tc>
        <w:tc>
          <w:tcPr>
            <w:tcW w:w="17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INDUSTRIAL</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WATER</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TREATMENT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 JUNE 30, 2004</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18,116,116</w:t>
            </w:r>
          </w:p>
        </w:tc>
        <w:tc>
          <w:tcPr>
            <w:tcW w:w="12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11,839,702</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29,955,818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4,336,912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4,248,564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8,585,476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1,604,885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2,775,746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4,380,631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THREE MONTHS ENDED JUNE 30, 2003</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17,836,741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11,230,126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29,066,867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4,424,418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4,011,715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8,436,133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1,717,967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2,525,511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4,243,478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jc w:val="right"/>
              <w:ind w:right="137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information contained in this Quarterly Report on Form 10-Q for the period ended June 30, 2004 contains statements that we believe to be “forward-looking statements” within the meaning of the Private Securities Litigation Reform Act of 1995. Forward-looking statements give our current expectations or forecasts of future events. Forward-looking statements generally can be identified by the use of forward-looking terminology such as “may,” “will,” “expect,” “intend,” “estimate,” “anticipate,” “believe,” “project,” or “continue,” or the negative thereof or similar words. From time to time, we also may provide oral or written forward-looking statements in other materials we release to the public. Any or all of our forward-looking statements in this Quarterly Report on Form 10-Q and in any public statements we make could be materially different from actual results. They can be affected by assumptions we might make or by known or unknown risks or uncertainties, including those described below under “Risk Factors” and other factors disclosed throughout this Quarterly Report on Form 10-Q and the Company’s other filings with the Securities and Exchange Commission. Consequently, we cannot guarantee any forward-looking statements and undertake no obligation to revise any forward-looking statements in order to reflect events or circumstances that may arise after the date of this Quarterly Report on Form 10-Q. Investors are cautioned not to place undue reliance on any forward-looking statements. Investors should also understand that it is not possible to predict or identify all factors that may affect actual results and should not consider the risk factors listed below to be a complete statement of all potential risks and uncertainties.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to specific factors which may be described in connection with any of the Company’s forward-looking statements, factors which could cause actual results to differ materially include, but are not limited to, the following items.</w:t>
      </w:r>
    </w:p>
    <w:p>
      <w:pPr>
        <w:sectPr>
          <w:pgSz w:w="11900" w:h="16838" w:orient="portrait"/>
          <w:cols w:equalWidth="0" w:num="1">
            <w:col w:w="11440"/>
          </w:cols>
          <w:pgMar w:left="240" w:top="341" w:right="219" w:bottom="0" w:gutter="0" w:footer="0" w:header="0"/>
        </w:sectPr>
      </w:pPr>
    </w:p>
    <w:bookmarkStart w:id="4" w:name="page5"/>
    <w:bookmarkEnd w:id="4"/>
    <w:p>
      <w:pPr>
        <w:ind w:left="2280" w:right="160" w:hanging="327"/>
        <w:spacing w:after="0" w:line="243" w:lineRule="auto"/>
        <w:tabs>
          <w:tab w:leader="none" w:pos="2274" w:val="left"/>
        </w:tabs>
        <w:numPr>
          <w:ilvl w:val="0"/>
          <w:numId w:val="4"/>
        </w:numPr>
        <w:rPr>
          <w:rFonts w:ascii="Arial" w:cs="Arial" w:eastAsia="Arial" w:hAnsi="Arial"/>
          <w:sz w:val="22"/>
          <w:szCs w:val="22"/>
          <w:color w:val="auto"/>
        </w:rPr>
      </w:pPr>
      <w:r>
        <w:rPr>
          <w:rFonts w:ascii="Arial" w:cs="Arial" w:eastAsia="Arial" w:hAnsi="Arial"/>
          <w:sz w:val="18"/>
          <w:szCs w:val="18"/>
          <w:color w:val="auto"/>
        </w:rPr>
        <w:t>Reduced profit margins due to the cyclical nature of commodity chemical prices. The cyclicality of commodity chemical markets, such as caustic soda, primarily results from changes in the balance between supply and demand and the level of general economic activity. The Company cannot predict with any certainty whether the markets for its commodity chemicals will favorably impact the Company’s operations or whether the Company will experience losses due to excess production resulting in oversupply and lower prices.</w:t>
      </w:r>
    </w:p>
    <w:p>
      <w:pPr>
        <w:spacing w:after="0" w:line="229" w:lineRule="exact"/>
        <w:rPr>
          <w:rFonts w:ascii="Arial" w:cs="Arial" w:eastAsia="Arial" w:hAnsi="Arial"/>
          <w:sz w:val="22"/>
          <w:szCs w:val="22"/>
          <w:color w:val="auto"/>
        </w:rPr>
      </w:pPr>
    </w:p>
    <w:p>
      <w:pPr>
        <w:jc w:val="both"/>
        <w:ind w:left="2280" w:right="460" w:hanging="327"/>
        <w:spacing w:after="0" w:line="238" w:lineRule="auto"/>
        <w:tabs>
          <w:tab w:leader="none" w:pos="2274" w:val="left"/>
        </w:tabs>
        <w:numPr>
          <w:ilvl w:val="0"/>
          <w:numId w:val="4"/>
        </w:numPr>
        <w:rPr>
          <w:rFonts w:ascii="Arial" w:cs="Arial" w:eastAsia="Arial" w:hAnsi="Arial"/>
          <w:sz w:val="22"/>
          <w:szCs w:val="22"/>
          <w:color w:val="auto"/>
        </w:rPr>
      </w:pPr>
      <w:r>
        <w:rPr>
          <w:rFonts w:ascii="Arial" w:cs="Arial" w:eastAsia="Arial" w:hAnsi="Arial"/>
          <w:sz w:val="18"/>
          <w:szCs w:val="18"/>
          <w:color w:val="auto"/>
        </w:rPr>
        <w:t>Unforeseen liabilities arising from litigation, particularly liabilities that may arise from claims under environmental laws which may impose liability for the release of hazardous materials whether or not the Company had knowledge of or was responsible for such release.</w:t>
      </w:r>
    </w:p>
    <w:p>
      <w:pPr>
        <w:spacing w:after="0" w:line="229" w:lineRule="exact"/>
        <w:rPr>
          <w:rFonts w:ascii="Arial" w:cs="Arial" w:eastAsia="Arial" w:hAnsi="Arial"/>
          <w:sz w:val="22"/>
          <w:szCs w:val="22"/>
          <w:color w:val="auto"/>
        </w:rPr>
      </w:pPr>
    </w:p>
    <w:p>
      <w:pPr>
        <w:ind w:left="2280" w:right="120" w:hanging="327"/>
        <w:spacing w:after="0" w:line="232" w:lineRule="auto"/>
        <w:tabs>
          <w:tab w:leader="none" w:pos="2274" w:val="left"/>
        </w:tabs>
        <w:numPr>
          <w:ilvl w:val="0"/>
          <w:numId w:val="4"/>
        </w:numPr>
        <w:rPr>
          <w:rFonts w:ascii="Arial" w:cs="Arial" w:eastAsia="Arial" w:hAnsi="Arial"/>
          <w:sz w:val="22"/>
          <w:szCs w:val="22"/>
          <w:color w:val="auto"/>
        </w:rPr>
      </w:pPr>
      <w:r>
        <w:rPr>
          <w:rFonts w:ascii="Arial" w:cs="Arial" w:eastAsia="Arial" w:hAnsi="Arial"/>
          <w:sz w:val="18"/>
          <w:szCs w:val="18"/>
          <w:color w:val="auto"/>
        </w:rPr>
        <w:t>Changes in governmental and regulatory policies that affect the Company which may entail significant cost increases relating to the handling, storage, transportation, treatment or disposal of hazardous materials.</w:t>
      </w:r>
    </w:p>
    <w:p>
      <w:pPr>
        <w:spacing w:after="0" w:line="208" w:lineRule="exact"/>
        <w:rPr>
          <w:rFonts w:ascii="Arial" w:cs="Arial" w:eastAsia="Arial" w:hAnsi="Arial"/>
          <w:sz w:val="22"/>
          <w:szCs w:val="22"/>
          <w:color w:val="auto"/>
        </w:rPr>
      </w:pPr>
    </w:p>
    <w:p>
      <w:pPr>
        <w:ind w:left="2280" w:hanging="327"/>
        <w:spacing w:after="0"/>
        <w:tabs>
          <w:tab w:leader="none" w:pos="2280" w:val="left"/>
        </w:tabs>
        <w:numPr>
          <w:ilvl w:val="0"/>
          <w:numId w:val="4"/>
        </w:numPr>
        <w:rPr>
          <w:rFonts w:ascii="Arial" w:cs="Arial" w:eastAsia="Arial" w:hAnsi="Arial"/>
          <w:sz w:val="22"/>
          <w:szCs w:val="22"/>
          <w:color w:val="auto"/>
        </w:rPr>
      </w:pPr>
      <w:r>
        <w:rPr>
          <w:rFonts w:ascii="Arial" w:cs="Arial" w:eastAsia="Arial" w:hAnsi="Arial"/>
          <w:sz w:val="18"/>
          <w:szCs w:val="18"/>
          <w:color w:val="auto"/>
        </w:rPr>
        <w:t>Increased competition which could affect our ability to raise prices or successfully enter certain markets.</w:t>
      </w:r>
    </w:p>
    <w:p>
      <w:pPr>
        <w:spacing w:after="0" w:line="206" w:lineRule="exact"/>
        <w:rPr>
          <w:rFonts w:ascii="Arial" w:cs="Arial" w:eastAsia="Arial" w:hAnsi="Arial"/>
          <w:sz w:val="22"/>
          <w:szCs w:val="22"/>
          <w:color w:val="auto"/>
        </w:rPr>
      </w:pPr>
    </w:p>
    <w:p>
      <w:pPr>
        <w:ind w:left="2280" w:hanging="327"/>
        <w:spacing w:after="0"/>
        <w:tabs>
          <w:tab w:leader="none" w:pos="2280" w:val="left"/>
        </w:tabs>
        <w:numPr>
          <w:ilvl w:val="0"/>
          <w:numId w:val="4"/>
        </w:numPr>
        <w:rPr>
          <w:rFonts w:ascii="Arial" w:cs="Arial" w:eastAsia="Arial" w:hAnsi="Arial"/>
          <w:sz w:val="22"/>
          <w:szCs w:val="22"/>
          <w:color w:val="auto"/>
        </w:rPr>
      </w:pPr>
      <w:r>
        <w:rPr>
          <w:rFonts w:ascii="Arial" w:cs="Arial" w:eastAsia="Arial" w:hAnsi="Arial"/>
          <w:sz w:val="18"/>
          <w:szCs w:val="18"/>
          <w:color w:val="auto"/>
        </w:rPr>
        <w:t>Changes in customer demand which may significantly reduce revenues and income.</w:t>
      </w:r>
    </w:p>
    <w:p>
      <w:pPr>
        <w:spacing w:after="0" w:line="206" w:lineRule="exact"/>
        <w:rPr>
          <w:rFonts w:ascii="Arial" w:cs="Arial" w:eastAsia="Arial" w:hAnsi="Arial"/>
          <w:sz w:val="22"/>
          <w:szCs w:val="22"/>
          <w:color w:val="auto"/>
        </w:rPr>
      </w:pPr>
    </w:p>
    <w:p>
      <w:pPr>
        <w:ind w:left="2280" w:hanging="327"/>
        <w:spacing w:after="0"/>
        <w:tabs>
          <w:tab w:leader="none" w:pos="2280" w:val="left"/>
        </w:tabs>
        <w:numPr>
          <w:ilvl w:val="0"/>
          <w:numId w:val="4"/>
        </w:numPr>
        <w:rPr>
          <w:rFonts w:ascii="Arial" w:cs="Arial" w:eastAsia="Arial" w:hAnsi="Arial"/>
          <w:sz w:val="22"/>
          <w:szCs w:val="22"/>
          <w:color w:val="auto"/>
        </w:rPr>
      </w:pPr>
      <w:r>
        <w:rPr>
          <w:rFonts w:ascii="Arial" w:cs="Arial" w:eastAsia="Arial" w:hAnsi="Arial"/>
          <w:sz w:val="18"/>
          <w:szCs w:val="18"/>
          <w:color w:val="auto"/>
        </w:rPr>
        <w:t>Changes in product costs or operating expenses which may reduce our operating margins.</w:t>
      </w:r>
    </w:p>
    <w:p>
      <w:pPr>
        <w:spacing w:after="0" w:line="206" w:lineRule="exact"/>
        <w:rPr>
          <w:rFonts w:ascii="Arial" w:cs="Arial" w:eastAsia="Arial" w:hAnsi="Arial"/>
          <w:sz w:val="22"/>
          <w:szCs w:val="22"/>
          <w:color w:val="auto"/>
        </w:rPr>
      </w:pPr>
    </w:p>
    <w:p>
      <w:pPr>
        <w:ind w:left="2280" w:hanging="327"/>
        <w:spacing w:after="0"/>
        <w:tabs>
          <w:tab w:leader="none" w:pos="228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financial condition of our customers and their ability to purchase our products at comparable prices.</w:t>
      </w:r>
    </w:p>
    <w:p>
      <w:pPr>
        <w:spacing w:after="0" w:line="206" w:lineRule="exact"/>
        <w:rPr>
          <w:rFonts w:ascii="Arial" w:cs="Arial" w:eastAsia="Arial" w:hAnsi="Arial"/>
          <w:sz w:val="22"/>
          <w:szCs w:val="22"/>
          <w:color w:val="auto"/>
        </w:rPr>
      </w:pPr>
    </w:p>
    <w:p>
      <w:pPr>
        <w:ind w:left="2280" w:hanging="327"/>
        <w:spacing w:after="0"/>
        <w:tabs>
          <w:tab w:leader="none" w:pos="2280" w:val="left"/>
        </w:tabs>
        <w:numPr>
          <w:ilvl w:val="0"/>
          <w:numId w:val="4"/>
        </w:numPr>
        <w:rPr>
          <w:rFonts w:ascii="Arial" w:cs="Arial" w:eastAsia="Arial" w:hAnsi="Arial"/>
          <w:sz w:val="22"/>
          <w:szCs w:val="22"/>
          <w:color w:val="auto"/>
        </w:rPr>
      </w:pPr>
      <w:r>
        <w:rPr>
          <w:rFonts w:ascii="Arial" w:cs="Arial" w:eastAsia="Arial" w:hAnsi="Arial"/>
          <w:sz w:val="18"/>
          <w:szCs w:val="18"/>
          <w:color w:val="auto"/>
        </w:rPr>
        <w:t>Unforeseen problems in our ability to develop, introduce and gain market acceptance for new products.</w:t>
      </w:r>
    </w:p>
    <w:p>
      <w:pPr>
        <w:spacing w:after="0" w:line="228" w:lineRule="exact"/>
        <w:rPr>
          <w:rFonts w:ascii="Arial" w:cs="Arial" w:eastAsia="Arial" w:hAnsi="Arial"/>
          <w:sz w:val="22"/>
          <w:szCs w:val="22"/>
          <w:color w:val="auto"/>
        </w:rPr>
      </w:pPr>
    </w:p>
    <w:p>
      <w:pPr>
        <w:ind w:left="2280" w:right="180" w:hanging="327"/>
        <w:spacing w:after="0" w:line="232" w:lineRule="auto"/>
        <w:tabs>
          <w:tab w:leader="none" w:pos="2274" w:val="left"/>
        </w:tabs>
        <w:numPr>
          <w:ilvl w:val="0"/>
          <w:numId w:val="4"/>
        </w:numPr>
        <w:rPr>
          <w:rFonts w:ascii="Arial" w:cs="Arial" w:eastAsia="Arial" w:hAnsi="Arial"/>
          <w:sz w:val="22"/>
          <w:szCs w:val="22"/>
          <w:color w:val="auto"/>
        </w:rPr>
      </w:pPr>
      <w:r>
        <w:rPr>
          <w:rFonts w:ascii="Arial" w:cs="Arial" w:eastAsia="Arial" w:hAnsi="Arial"/>
          <w:sz w:val="18"/>
          <w:szCs w:val="18"/>
          <w:color w:val="auto"/>
        </w:rPr>
        <w:t>Significant changes in our business strategies, including acquisition, divestiture and restructuring activities which may affect our ability to focus on operating activities or increase costs.</w:t>
      </w:r>
    </w:p>
    <w:p>
      <w:pPr>
        <w:spacing w:after="0" w:line="230" w:lineRule="exact"/>
        <w:rPr>
          <w:rFonts w:ascii="Arial" w:cs="Arial" w:eastAsia="Arial" w:hAnsi="Arial"/>
          <w:sz w:val="22"/>
          <w:szCs w:val="22"/>
          <w:color w:val="auto"/>
        </w:rPr>
      </w:pPr>
    </w:p>
    <w:p>
      <w:pPr>
        <w:ind w:left="2280" w:right="500" w:hanging="327"/>
        <w:spacing w:after="0" w:line="232" w:lineRule="auto"/>
        <w:tabs>
          <w:tab w:leader="none" w:pos="2274" w:val="left"/>
        </w:tabs>
        <w:numPr>
          <w:ilvl w:val="0"/>
          <w:numId w:val="4"/>
        </w:numPr>
        <w:rPr>
          <w:rFonts w:ascii="Arial" w:cs="Arial" w:eastAsia="Arial" w:hAnsi="Arial"/>
          <w:sz w:val="22"/>
          <w:szCs w:val="22"/>
          <w:color w:val="auto"/>
        </w:rPr>
      </w:pPr>
      <w:r>
        <w:rPr>
          <w:rFonts w:ascii="Arial" w:cs="Arial" w:eastAsia="Arial" w:hAnsi="Arial"/>
          <w:sz w:val="18"/>
          <w:szCs w:val="18"/>
          <w:color w:val="auto"/>
        </w:rPr>
        <w:t>General economic and political conditions, such as political instability or the rate of economic growth in the Company’s principal geographic or product markets.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80" w:right="260" w:hanging="327"/>
        <w:spacing w:after="0" w:line="232" w:lineRule="auto"/>
        <w:tabs>
          <w:tab w:leader="none" w:pos="2274"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operating factors, such as our ability to make continued improvements in distribution efficiencies and inventory risks due to shifts in market demand.</w:t>
      </w:r>
    </w:p>
    <w:p>
      <w:pPr>
        <w:spacing w:after="0" w:line="230" w:lineRule="exact"/>
        <w:rPr>
          <w:rFonts w:ascii="Arial" w:cs="Arial" w:eastAsia="Arial" w:hAnsi="Arial"/>
          <w:sz w:val="22"/>
          <w:szCs w:val="22"/>
          <w:color w:val="auto"/>
        </w:rPr>
      </w:pPr>
    </w:p>
    <w:p>
      <w:pPr>
        <w:ind w:left="2280" w:right="300" w:hanging="327"/>
        <w:spacing w:after="0" w:line="232" w:lineRule="auto"/>
        <w:tabs>
          <w:tab w:leader="none" w:pos="2274" w:val="left"/>
        </w:tabs>
        <w:numPr>
          <w:ilvl w:val="0"/>
          <w:numId w:val="5"/>
        </w:numPr>
        <w:rPr>
          <w:rFonts w:ascii="Arial" w:cs="Arial" w:eastAsia="Arial" w:hAnsi="Arial"/>
          <w:sz w:val="22"/>
          <w:szCs w:val="22"/>
          <w:color w:val="auto"/>
        </w:rPr>
      </w:pPr>
      <w:r>
        <w:rPr>
          <w:rFonts w:ascii="Arial" w:cs="Arial" w:eastAsia="Arial" w:hAnsi="Arial"/>
          <w:sz w:val="18"/>
          <w:szCs w:val="18"/>
          <w:color w:val="auto"/>
        </w:rPr>
        <w:t>Unforeseen or recurring operational problems or natural disasters at any of our facilities causing significant lost production and/or increased costs.</w:t>
      </w:r>
    </w:p>
    <w:p>
      <w:pPr>
        <w:spacing w:after="0" w:line="230" w:lineRule="exact"/>
        <w:rPr>
          <w:rFonts w:ascii="Arial" w:cs="Arial" w:eastAsia="Arial" w:hAnsi="Arial"/>
          <w:sz w:val="22"/>
          <w:szCs w:val="22"/>
          <w:color w:val="auto"/>
        </w:rPr>
      </w:pPr>
    </w:p>
    <w:p>
      <w:pPr>
        <w:ind w:left="2280" w:right="920" w:hanging="327"/>
        <w:spacing w:after="0" w:line="232" w:lineRule="auto"/>
        <w:tabs>
          <w:tab w:leader="none" w:pos="2274" w:val="left"/>
        </w:tabs>
        <w:numPr>
          <w:ilvl w:val="0"/>
          <w:numId w:val="5"/>
        </w:numPr>
        <w:rPr>
          <w:rFonts w:ascii="Arial" w:cs="Arial" w:eastAsia="Arial" w:hAnsi="Arial"/>
          <w:sz w:val="22"/>
          <w:szCs w:val="22"/>
          <w:color w:val="auto"/>
        </w:rPr>
      </w:pPr>
      <w:r>
        <w:rPr>
          <w:rFonts w:ascii="Arial" w:cs="Arial" w:eastAsia="Arial" w:hAnsi="Arial"/>
          <w:sz w:val="18"/>
          <w:szCs w:val="18"/>
          <w:color w:val="auto"/>
        </w:rPr>
        <w:t>Technology risks, such as the failure to successfully implement new technology that will allow us to make process improvements to reduce costs or to analyze the business.</w:t>
      </w:r>
    </w:p>
    <w:p>
      <w:pPr>
        <w:spacing w:after="0" w:line="230" w:lineRule="exact"/>
        <w:rPr>
          <w:rFonts w:ascii="Arial" w:cs="Arial" w:eastAsia="Arial" w:hAnsi="Arial"/>
          <w:sz w:val="22"/>
          <w:szCs w:val="22"/>
          <w:color w:val="auto"/>
        </w:rPr>
      </w:pPr>
    </w:p>
    <w:p>
      <w:pPr>
        <w:ind w:left="2280" w:hanging="327"/>
        <w:spacing w:after="0"/>
        <w:tabs>
          <w:tab w:leader="none" w:pos="2280" w:val="left"/>
        </w:tabs>
        <w:numPr>
          <w:ilvl w:val="0"/>
          <w:numId w:val="5"/>
        </w:numPr>
        <w:rPr>
          <w:rFonts w:ascii="Arial" w:cs="Arial" w:eastAsia="Arial" w:hAnsi="Arial"/>
          <w:sz w:val="19"/>
          <w:szCs w:val="19"/>
          <w:color w:val="auto"/>
        </w:rPr>
      </w:pPr>
      <w:r>
        <w:rPr>
          <w:rFonts w:ascii="Arial" w:cs="Arial" w:eastAsia="Arial" w:hAnsi="Arial"/>
          <w:sz w:val="16"/>
          <w:szCs w:val="16"/>
          <w:color w:val="auto"/>
        </w:rPr>
        <w:t>Loss of senior management or other key personnel and the Company’s ability to hire suitable replacements in a timely manner.</w:t>
      </w:r>
    </w:p>
    <w:p>
      <w:pPr>
        <w:spacing w:after="0" w:line="240" w:lineRule="exact"/>
        <w:rPr>
          <w:rFonts w:ascii="Arial" w:cs="Arial" w:eastAsia="Arial" w:hAnsi="Arial"/>
          <w:sz w:val="19"/>
          <w:szCs w:val="19"/>
          <w:color w:val="auto"/>
        </w:rPr>
      </w:pPr>
    </w:p>
    <w:p>
      <w:pPr>
        <w:ind w:left="2280" w:right="160" w:hanging="327"/>
        <w:spacing w:after="0" w:line="283" w:lineRule="auto"/>
        <w:tabs>
          <w:tab w:leader="none" w:pos="2274" w:val="left"/>
        </w:tabs>
        <w:numPr>
          <w:ilvl w:val="0"/>
          <w:numId w:val="5"/>
        </w:numPr>
        <w:rPr>
          <w:rFonts w:ascii="Arial" w:cs="Arial" w:eastAsia="Arial" w:hAnsi="Arial"/>
          <w:sz w:val="19"/>
          <w:szCs w:val="19"/>
          <w:color w:val="auto"/>
        </w:rPr>
      </w:pPr>
      <w:r>
        <w:rPr>
          <w:rFonts w:ascii="Arial" w:cs="Arial" w:eastAsia="Arial" w:hAnsi="Arial"/>
          <w:sz w:val="16"/>
          <w:szCs w:val="16"/>
          <w:color w:val="auto"/>
        </w:rPr>
        <w:t>The Company is currently implementing an Enterprise Resource Planning (ERP) system. The ERP system implementation is critical for the Company to make its internal control certifications required by the end of fiscal 2005 pursuant to Section 404 of the Sarbanes-Oxley Act. The Company believes the ERP system will be implemented by October 1, 2004. If the ERP system is not implemented by that date or if there is not adequate training, policies and procedures implemented and documented on a timely basis, the Company may not be able to make an unqualified certification regarding the Company’s internal controls pursuant to Section 404 of the Sarbanes-Oxley Act at the end of fiscal 2005.</w:t>
      </w:r>
    </w:p>
    <w:p>
      <w:pPr>
        <w:spacing w:after="0" w:line="17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These factors are not exhaustive and new factors may emerge or existing factors may change in a manner that impacts our business. We assume no obligation and disclaim any duty to update the forward-looking statements in this Quarterly Report on Form 10-Q or any other public statement.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 (in thousands, except percentages):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gridSpan w:val="3"/>
          </w:tcPr>
          <w:p>
            <w:pPr>
              <w:jc w:val="center"/>
              <w:ind w:left="53"/>
              <w:spacing w:after="0"/>
              <w:rPr>
                <w:sz w:val="20"/>
                <w:szCs w:val="20"/>
                <w:color w:val="auto"/>
              </w:rPr>
            </w:pPr>
            <w:r>
              <w:rPr>
                <w:rFonts w:ascii="Arial" w:cs="Arial" w:eastAsia="Arial" w:hAnsi="Arial"/>
                <w:sz w:val="14"/>
                <w:szCs w:val="14"/>
                <w:b w:val="1"/>
                <w:bCs w:val="1"/>
                <w:color w:val="auto"/>
                <w:w w:val="92"/>
              </w:rPr>
              <w:t>Three months ended June 30,</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gridSpan w:val="3"/>
          </w:tcPr>
          <w:p>
            <w:pPr>
              <w:jc w:val="center"/>
              <w:ind w:left="73"/>
              <w:spacing w:after="0"/>
              <w:rPr>
                <w:sz w:val="20"/>
                <w:szCs w:val="20"/>
                <w:color w:val="auto"/>
              </w:rPr>
            </w:pPr>
            <w:r>
              <w:rPr>
                <w:rFonts w:ascii="Arial" w:cs="Arial" w:eastAsia="Arial" w:hAnsi="Arial"/>
                <w:sz w:val="14"/>
                <w:szCs w:val="14"/>
                <w:b w:val="1"/>
                <w:bCs w:val="1"/>
                <w:color w:val="auto"/>
                <w:w w:val="91"/>
              </w:rPr>
              <w:t>Three months ended June 30,</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ind w:right="900"/>
              <w:spacing w:after="0"/>
              <w:rPr>
                <w:sz w:val="20"/>
                <w:szCs w:val="20"/>
                <w:color w:val="auto"/>
              </w:rPr>
            </w:pPr>
            <w:r>
              <w:rPr>
                <w:rFonts w:ascii="Arial" w:cs="Arial" w:eastAsia="Arial" w:hAnsi="Arial"/>
                <w:sz w:val="14"/>
                <w:szCs w:val="14"/>
                <w:b w:val="1"/>
                <w:bCs w:val="1"/>
                <w:color w:val="auto"/>
              </w:rPr>
              <w:t>2003</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7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29,956</w:t>
            </w:r>
          </w:p>
        </w:tc>
        <w:tc>
          <w:tcPr>
            <w:tcW w:w="8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29,067</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Cost of sales</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21,370</w:t>
            </w:r>
          </w:p>
        </w:tc>
        <w:tc>
          <w:tcPr>
            <w:tcW w:w="860" w:type="dxa"/>
            <w:vAlign w:val="bottom"/>
          </w:tcPr>
          <w:p>
            <w:pPr>
              <w:spacing w:after="0"/>
              <w:rPr>
                <w:sz w:val="18"/>
                <w:szCs w:val="18"/>
                <w:color w:val="auto"/>
              </w:rPr>
            </w:pPr>
          </w:p>
        </w:tc>
        <w:tc>
          <w:tcPr>
            <w:tcW w:w="840" w:type="dxa"/>
            <w:vAlign w:val="bottom"/>
            <w:gridSpan w:val="2"/>
          </w:tcPr>
          <w:p>
            <w:pPr>
              <w:jc w:val="right"/>
              <w:ind w:right="230"/>
              <w:spacing w:after="0"/>
              <w:rPr>
                <w:sz w:val="20"/>
                <w:szCs w:val="20"/>
                <w:color w:val="auto"/>
              </w:rPr>
            </w:pPr>
            <w:r>
              <w:rPr>
                <w:rFonts w:ascii="Arial" w:cs="Arial" w:eastAsia="Arial" w:hAnsi="Arial"/>
                <w:sz w:val="18"/>
                <w:szCs w:val="18"/>
                <w:color w:val="auto"/>
              </w:rPr>
              <w:t>71.3</w:t>
            </w:r>
          </w:p>
        </w:tc>
        <w:tc>
          <w:tcPr>
            <w:tcW w:w="4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20,631</w:t>
            </w:r>
          </w:p>
        </w:tc>
        <w:tc>
          <w:tcPr>
            <w:tcW w:w="94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8,586</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8,436</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4,205</w:t>
            </w:r>
          </w:p>
        </w:tc>
        <w:tc>
          <w:tcPr>
            <w:tcW w:w="860" w:type="dxa"/>
            <w:vAlign w:val="bottom"/>
          </w:tcPr>
          <w:p>
            <w:pPr>
              <w:spacing w:after="0"/>
              <w:rPr>
                <w:sz w:val="18"/>
                <w:szCs w:val="18"/>
                <w:color w:val="auto"/>
              </w:rPr>
            </w:pPr>
          </w:p>
        </w:tc>
        <w:tc>
          <w:tcPr>
            <w:tcW w:w="840" w:type="dxa"/>
            <w:vAlign w:val="bottom"/>
            <w:gridSpan w:val="2"/>
          </w:tcPr>
          <w:p>
            <w:pPr>
              <w:jc w:val="right"/>
              <w:ind w:right="230"/>
              <w:spacing w:after="0"/>
              <w:rPr>
                <w:sz w:val="20"/>
                <w:szCs w:val="20"/>
                <w:color w:val="auto"/>
              </w:rPr>
            </w:pPr>
            <w:r>
              <w:rPr>
                <w:rFonts w:ascii="Arial" w:cs="Arial" w:eastAsia="Arial" w:hAnsi="Arial"/>
                <w:sz w:val="18"/>
                <w:szCs w:val="18"/>
                <w:color w:val="auto"/>
              </w:rPr>
              <w:t>14.0</w:t>
            </w:r>
          </w:p>
        </w:tc>
        <w:tc>
          <w:tcPr>
            <w:tcW w:w="4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4,193</w:t>
            </w:r>
          </w:p>
        </w:tc>
        <w:tc>
          <w:tcPr>
            <w:tcW w:w="94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Investment income</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860" w:type="dxa"/>
            <w:vAlign w:val="bottom"/>
          </w:tcPr>
          <w:p>
            <w:pPr>
              <w:spacing w:after="0"/>
              <w:rPr>
                <w:sz w:val="18"/>
                <w:szCs w:val="18"/>
                <w:color w:val="auto"/>
              </w:rPr>
            </w:pPr>
          </w:p>
        </w:tc>
        <w:tc>
          <w:tcPr>
            <w:tcW w:w="840" w:type="dxa"/>
            <w:vAlign w:val="bottom"/>
            <w:gridSpan w:val="2"/>
          </w:tcPr>
          <w:p>
            <w:pPr>
              <w:jc w:val="right"/>
              <w:ind w:right="23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223</w:t>
            </w:r>
          </w:p>
        </w:tc>
        <w:tc>
          <w:tcPr>
            <w:tcW w:w="94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1,648</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1,674</w:t>
            </w:r>
          </w:p>
        </w:tc>
        <w:tc>
          <w:tcPr>
            <w:tcW w:w="94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2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52" w:right="239" w:bottom="0" w:gutter="0" w:footer="0" w:header="0"/>
        </w:sectPr>
      </w:pPr>
    </w:p>
    <w:p>
      <w:pPr>
        <w:spacing w:after="0" w:line="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Sales increased $888,951, or 3.1%, in the three months ended June 30, 2004 as compared to the same period a year ago. The increase in sales was primarily driven by the Water Treatment segment, as sales increased by $609,576 or 5.4% in the three months ended June 30, 2004 over the comparable period in 2003.</w:t>
      </w:r>
    </w:p>
    <w:p>
      <w:pPr>
        <w:sectPr>
          <w:pgSz w:w="11900" w:h="16838" w:orient="portrait"/>
          <w:cols w:equalWidth="0" w:num="1">
            <w:col w:w="11420"/>
          </w:cols>
          <w:pgMar w:left="240" w:top="152" w:right="239" w:bottom="0" w:gutter="0" w:footer="0" w:header="0"/>
          <w:type w:val="continuous"/>
        </w:sectPr>
      </w:pPr>
    </w:p>
    <w:bookmarkStart w:id="5" w:name="page6"/>
    <w:bookmarkEnd w:id="5"/>
    <w:p>
      <w:pPr>
        <w:ind w:right="540"/>
        <w:spacing w:after="0" w:line="277" w:lineRule="auto"/>
        <w:rPr>
          <w:sz w:val="20"/>
          <w:szCs w:val="20"/>
          <w:color w:val="auto"/>
        </w:rPr>
      </w:pPr>
      <w:r>
        <w:rPr>
          <w:rFonts w:ascii="Arial" w:cs="Arial" w:eastAsia="Arial" w:hAnsi="Arial"/>
          <w:sz w:val="18"/>
          <w:szCs w:val="18"/>
          <w:color w:val="auto"/>
        </w:rPr>
        <w:t>Increased sales in existing product lines coupled with successful expansion of new product lines were the principle contributors to the higher revenues. Industrial segment sales were flat for the three months ended June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30, 2004 as compared to the same period in 2003. There was an approximately 20% increase in caustic soda volumes sold, which was offset by a decrease in caustic soda selling prices.</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Gross margin, as a percentage of sales, for the three months ended June 30, 2004 was 28.7%, compared to 29.0% for the comparable period a year ago. Gross margin, as a percentage of sales, for the Water Treatment segment was 35.9% for the three months ended June 30, 2004 compared to 35.7% in the comparable period of 2003. A more favorable product mix and, to a lesser extent, increased volumes contributed to the slight increase for the three-month period ended June 30, 2004. Industrial segment gross margin, as a percentage of sales, was 23.9% for the three months ended June 30, 2004 compared to 24.8% in the comparable prior year period. The decrease relates in part to fluctuations in the cost and selling price of caustic soda during fiscal 2004 and 2005 and a highly competitive market environment. The Company attempts to maintain relatively constant dollar margins as the cost of caustic soda increases or decreases. The cost of this product is normally subject to fluctuations, which is expected to continue in future periods. By maintaining relatively stable dollar margins, the gross margin percentage will decrease when the cost of the product is increasing and will increase when the cost of the product is decreasing.</w:t>
      </w:r>
    </w:p>
    <w:p>
      <w:pPr>
        <w:spacing w:after="0" w:line="16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Selling, general and administrative expenses, as a percentage of sales, for the three months ended June 30, 2004 were 14.0% compared to 14.4% for the same period one year ago. The Company will continue to incur expenses associated with the Company’s efforts to comply with the requirements of the Sarbanes-Oxley Act and for the Company’s investment in an Enterprise Resource Planning system, including expenses for additional staffing and outside professional services. Employee compensation and benefits comprise the majority of the selling, general and administrative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 xml:space="preserve">Investment income decreased by $26,365 for the three months ended June 30, 2004, compared to the same period one year ago. The decrease was caused by slightly lower returns on the Company’s cash equivalents and available for sale securities, which consist primarily of money market accounts, municipal bonds, U.S. Government agency securities, mutual funds, and </w:t>
      </w:r>
      <w:r>
        <w:rPr>
          <w:rFonts w:ascii="Arial" w:cs="Arial" w:eastAsia="Arial" w:hAnsi="Arial"/>
          <w:sz w:val="16"/>
          <w:szCs w:val="16"/>
          <w:color w:val="auto"/>
        </w:rPr>
        <w:t>investment contracts with high-rated, stable insurance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effective income tax rate was 36.0% for the three months ended June 30, 2004, which is comparable with the effective tax rate for the fiscal year ended March 28, 2004.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For the three-month period ended June 30, 2004, cash provided by operations was $4,865,188 versus $2,911,707 for the same period one year ago. Fluctuations in timing of vendor payments, year over year variances in tax payments, and an increase in net income were principally responsible for the increase in cash provided by operating activities.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Cash used in investing activities increased by $1,340,800 for the three months ended June 30, 2004 compared to the same period one year ago, primarily due to a $953,428 increase related to investment activity, as the Company had slightly more cash available to purchase and hold investments compared to the previous year’s period. The Company also had an additional $422,982 in property and equipment purchases during the three-month period ended June 30, 2004 compared to the same period one year ago. Capital expenditures during the quarter ended June 30, 2004 consisted primarily of ERP-related additions, and the purchase of two water treatment trucks and a boom crane. The Company also had expenditures related to various Construction-in-process (CIP) projects. Anticipated capital expenditures in fiscal 2005 should be approximately $6.5 million, which are primarily related to implementation of the Enterprise Resource Planning system, new route sales trucks and general maintenance projects.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Cash, cash equivalents and investments available-for-sale increased by $1,548,997 from March 28, 2004 to $25,472,405 as of June 30, 2004 largely as a result of cash generated by operations in excess of capital expenditures and financing uses. Cash equivalents consist of money market accounts at a financial institution. Investments consist of investment contracts with highly-rated, stable insurance companies, marketable securities consisting of municipal bonds, U.S. Government agency securities and mutual funds carried at fair value. Investments are highly liquid and are available upon demand generally with a minor penalty.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0"/>
        <w:spacing w:after="0" w:line="273" w:lineRule="auto"/>
        <w:rPr>
          <w:sz w:val="20"/>
          <w:szCs w:val="20"/>
          <w:color w:val="auto"/>
        </w:rPr>
      </w:pPr>
      <w:r>
        <w:rPr>
          <w:rFonts w:ascii="Arial" w:cs="Arial" w:eastAsia="Arial" w:hAnsi="Arial"/>
          <w:sz w:val="17"/>
          <w:szCs w:val="17"/>
          <w:color w:val="auto"/>
        </w:rPr>
        <w:t>At June 30, 2004, the Company had an investment portfolio of fixed income securities valued at $10,660,080 and mutual funds valued at $10,504,199, excluding $4,944,644 of those classified as cash and cash equivalents and variable rate securities. The fixed income securities, like all fixed income instruments, are subject to interest rate risks and will decline in value if market interest rates increase. However, while the value of the investment may fluctuate in any given period, the Company generally intends to hold its fixed income investments until maturity. Consequently, the Company would not expect to recognize an adverse impact on net income or cash flows or the amount ultimately realized on such fixed income investments. The value of the mutual funds, like all mutual funds, may increase or decrease due to market volatility.</w:t>
      </w:r>
    </w:p>
    <w:p>
      <w:pPr>
        <w:spacing w:after="0" w:line="17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Expected future 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at June 30, 2004 puts it in a position to obtain debt financing on favorable terms.</w:t>
      </w:r>
    </w:p>
    <w:p>
      <w:pPr>
        <w:spacing w:after="0" w:line="17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Management regularly reviews opportunities to enhance the value of the Company through strategic acquisitions, other capital investments and strategic divestitures; and at this time, no material commitments for such investments or divestitures exist. Until appropriate investment opportunities are identified, the Company will invest excess cash in conservative investments.</w:t>
      </w:r>
    </w:p>
    <w:p>
      <w:pPr>
        <w:sectPr>
          <w:pgSz w:w="11900" w:h="16838" w:orient="portrait"/>
          <w:cols w:equalWidth="0" w:num="1">
            <w:col w:w="11420"/>
          </w:cols>
          <w:pgMar w:left="240" w:top="125" w:right="239" w:bottom="83" w:gutter="0" w:footer="0" w:header="0"/>
        </w:sectPr>
      </w:pPr>
    </w:p>
    <w:bookmarkStart w:id="6" w:name="page7"/>
    <w:bookmarkEnd w:id="6"/>
    <w:p>
      <w:pPr>
        <w:jc w:val="both"/>
        <w:ind w:right="140"/>
        <w:spacing w:after="0" w:line="286" w:lineRule="auto"/>
        <w:rPr>
          <w:sz w:val="20"/>
          <w:szCs w:val="20"/>
          <w:color w:val="auto"/>
        </w:rPr>
      </w:pPr>
      <w:r>
        <w:rPr>
          <w:rFonts w:ascii="Arial" w:cs="Arial" w:eastAsia="Arial" w:hAnsi="Arial"/>
          <w:sz w:val="17"/>
          <w:szCs w:val="17"/>
          <w:color w:val="auto"/>
        </w:rPr>
        <w:t>The Company will continue to incur significant expenditures in fiscal 2005 associated with the implementation of the Enterprise Resource Planning system and to meet the requirements of the Sarbanes-Oxley Act. Fiscal 2005 expenses in these areas, including additional staffing and outside professional services, are expected to significantly exceed the additional fiscal 2004 expense of approximately $750,000 relating to these items.</w:t>
      </w:r>
    </w:p>
    <w:p>
      <w:pPr>
        <w:spacing w:after="0" w:line="16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Other than as discussed above, management is not aware of any matters that have materially affected the Company’s financial results for the three months ended June 30, 2004, nor is management aware of other matters not affecting this period but are expected to have a material effect on future periods.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significant accounting policies followed by the Company are set forth in Note 1 to the Company’s financial statements in the Company’s Annual Report on Form 10-K for the fiscal year ended March 28, 2004. The accounting policies used in preparing the Company’s interim fiscal 2005 financial statements are the same as those described in the Company’s Annual Report, except as described in Note 5 to the unaudited financial statements included in this report.</w:t>
      </w:r>
    </w:p>
    <w:p>
      <w:pPr>
        <w:spacing w:after="0" w:line="14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preparing the financial statements, the Company follows accounting principles generally accepted in the United States. The preparation of these financial statements requires the Company to make estimates and judgments that affect the reported amounts of assets, liabilities, sales and expenses, and related disclosure of contingent assets and liabilities. The Company re-evaluates its estimates on an on-going basis. The Company’s estimates are based on historical experience and on various other assumptions that are believed to be reasonable under the circumstances. Actual results may differ from these estimates under different assumptions and conditions. The Company believes its critical accounting policies are those related to:</w:t>
      </w:r>
    </w:p>
    <w:p>
      <w:pPr>
        <w:spacing w:after="0" w:line="15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The Company recognizes revenue when the product has been shipped to the customer if there is evidence that the customer has agreed</w:t>
      </w:r>
      <w:r>
        <w:rPr>
          <w:rFonts w:ascii="Arial" w:cs="Arial" w:eastAsia="Arial" w:hAnsi="Arial"/>
          <w:sz w:val="17"/>
          <w:szCs w:val="17"/>
          <w:i w:val="1"/>
          <w:iCs w:val="1"/>
          <w:color w:val="auto"/>
        </w:rPr>
        <w:t xml:space="preserve"> </w:t>
      </w:r>
      <w:r>
        <w:rPr>
          <w:rFonts w:ascii="Arial" w:cs="Arial" w:eastAsia="Arial" w:hAnsi="Arial"/>
          <w:sz w:val="17"/>
          <w:szCs w:val="17"/>
          <w:color w:val="auto"/>
        </w:rPr>
        <w:t>to purchase the products, performance has occurred, the price and terms of sale are fixed, and collection of the receivable is expected.</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 Accounts receivable are reduced by an allowance for amounts that may become uncollectible in the future.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of 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reserve for doubtful accounts on a quarterly basis.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valued at the lower of cost or market. On a quarterly basis, management assesses the inventory quantities on hand to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future usage and sales and, if necessary, writes down to market the value of inventory deemed obsolete or excess.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 Property, plant and equipment are stated at cost and depreciated over the lives of the assets using primarily the straight-line</w:t>
      </w:r>
      <w:r>
        <w:rPr>
          <w:rFonts w:ascii="Arial" w:cs="Arial" w:eastAsia="Arial" w:hAnsi="Arial"/>
          <w:sz w:val="18"/>
          <w:szCs w:val="18"/>
          <w:i w:val="1"/>
          <w:iCs w:val="1"/>
          <w:color w:val="auto"/>
        </w:rPr>
        <w:t xml:space="preserve"> </w:t>
      </w:r>
      <w:r>
        <w:rPr>
          <w:rFonts w:ascii="Arial" w:cs="Arial" w:eastAsia="Arial" w:hAnsi="Arial"/>
          <w:sz w:val="18"/>
          <w:szCs w:val="18"/>
          <w:color w:val="auto"/>
        </w:rPr>
        <w:t>method. Major replacements and improvements are capitalized, while maintenance and repairs which do not improve or extend the useful lives of the respective assets are charged to operations. The assets and related accumulated depreciation accounts are adjusted for asset retirements and disposals with the resulting gain or loss, if any, recorded in the statement of income at the time of disposal.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the end of the period covered by this report, the Company conducted an evaluation, under the supervision and with the participation of its management, including the principal executive officer and principal financial officer, of the Company’s disclosure controls and procedures (as defined in Rules 13a-15(e) and 15d-15(e) under the Securities Exchange Act of 1934 (the “Exchange Act”)). Based on this evaluation, the principal executive officer and principal financial officer concluded that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There was no change in the Company’s internal control over financial reporting during the Company’s most recently completed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 AND REPORTS ON FORM 8-K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(a)</w:t>
            </w: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Exhibits.</w:t>
            </w:r>
          </w:p>
        </w:tc>
        <w:tc>
          <w:tcPr>
            <w:tcW w:w="2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20" w:type="dxa"/>
            <w:vAlign w:val="bottom"/>
            <w:gridSpan w:val="2"/>
          </w:tcPr>
          <w:p>
            <w:pPr>
              <w:ind w:left="3380"/>
              <w:spacing w:after="0"/>
              <w:rPr>
                <w:sz w:val="20"/>
                <w:szCs w:val="20"/>
                <w:color w:val="auto"/>
              </w:rPr>
            </w:pPr>
            <w:r>
              <w:rPr>
                <w:rFonts w:ascii="Arial" w:cs="Arial" w:eastAsia="Arial" w:hAnsi="Arial"/>
                <w:sz w:val="18"/>
                <w:szCs w:val="18"/>
                <w:color w:val="auto"/>
              </w:rPr>
              <w:t>Exhibit Index</w:t>
            </w:r>
          </w:p>
        </w:tc>
        <w:tc>
          <w:tcPr>
            <w:tcW w:w="2260" w:type="dxa"/>
            <w:vAlign w:val="bottom"/>
          </w:tcPr>
          <w:p>
            <w:pPr>
              <w:spacing w:after="0"/>
              <w:rPr>
                <w:sz w:val="24"/>
                <w:szCs w:val="24"/>
                <w:color w:val="auto"/>
              </w:rPr>
            </w:pPr>
          </w:p>
        </w:tc>
      </w:tr>
      <w:tr>
        <w:trPr>
          <w:trHeight w:val="365"/>
        </w:trPr>
        <w:tc>
          <w:tcPr>
            <w:tcW w:w="440" w:type="dxa"/>
            <w:vAlign w:val="bottom"/>
          </w:tcPr>
          <w:p>
            <w:pPr>
              <w:spacing w:after="0"/>
              <w:rPr>
                <w:sz w:val="24"/>
                <w:szCs w:val="24"/>
                <w:color w:val="auto"/>
              </w:rPr>
            </w:pPr>
          </w:p>
        </w:tc>
        <w:tc>
          <w:tcPr>
            <w:tcW w:w="118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7320" w:type="dxa"/>
            <w:vAlign w:val="bottom"/>
            <w:gridSpan w:val="2"/>
          </w:tcPr>
          <w:p>
            <w:pPr>
              <w:ind w:left="3180"/>
              <w:spacing w:after="0"/>
              <w:rPr>
                <w:sz w:val="20"/>
                <w:szCs w:val="20"/>
                <w:color w:val="auto"/>
              </w:rPr>
            </w:pPr>
            <w:r>
              <w:rPr>
                <w:rFonts w:ascii="Arial" w:cs="Arial" w:eastAsia="Arial" w:hAnsi="Arial"/>
                <w:sz w:val="14"/>
                <w:szCs w:val="14"/>
                <w:b w:val="1"/>
                <w:bCs w:val="1"/>
                <w:color w:val="auto"/>
              </w:rPr>
              <w:t>Description</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6"/>
              </w:rPr>
              <w:t>Method of Filing</w:t>
            </w:r>
          </w:p>
        </w:tc>
      </w:tr>
      <w:tr>
        <w:trPr>
          <w:trHeight w:val="195"/>
        </w:trPr>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6"/>
                <w:szCs w:val="16"/>
                <w:color w:val="auto"/>
              </w:rPr>
            </w:pPr>
          </w:p>
        </w:tc>
        <w:tc>
          <w:tcPr>
            <w:tcW w:w="7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Amended and Second Restated Articles of Incorporation as amended through February 27, 2001.</w:t>
            </w:r>
          </w:p>
        </w:tc>
        <w:tc>
          <w:tcPr>
            <w:tcW w:w="220" w:type="dxa"/>
            <w:vAlign w:val="bottom"/>
          </w:tcPr>
          <w:p>
            <w:pPr>
              <w:spacing w:after="0"/>
              <w:rPr>
                <w:sz w:val="16"/>
                <w:szCs w:val="16"/>
                <w:color w:val="auto"/>
              </w:rPr>
            </w:pPr>
          </w:p>
        </w:tc>
        <w:tc>
          <w:tcPr>
            <w:tcW w:w="2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Incorporated by Reference</w:t>
            </w: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32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7540" w:type="dxa"/>
            <w:vAlign w:val="bottom"/>
            <w:gridSpan w:val="3"/>
          </w:tcPr>
          <w:p>
            <w:pPr>
              <w:ind w:left="220"/>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r>
      <w:tr>
        <w:trPr>
          <w:trHeight w:val="216"/>
        </w:trPr>
        <w:tc>
          <w:tcPr>
            <w:tcW w:w="4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7540" w:type="dxa"/>
            <w:vAlign w:val="bottom"/>
            <w:gridSpan w:val="3"/>
          </w:tcPr>
          <w:p>
            <w:pPr>
              <w:ind w:left="22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260" w:type="dxa"/>
            <w:vAlign w:val="bottom"/>
          </w:tcPr>
          <w:p>
            <w:pPr>
              <w:jc w:val="center"/>
              <w:spacing w:after="0"/>
              <w:rPr>
                <w:sz w:val="20"/>
                <w:szCs w:val="20"/>
                <w:color w:val="auto"/>
              </w:rPr>
            </w:pPr>
            <w:r>
              <w:rPr>
                <w:rFonts w:ascii="Arial" w:cs="Arial" w:eastAsia="Arial" w:hAnsi="Arial"/>
                <w:sz w:val="18"/>
                <w:szCs w:val="18"/>
                <w:color w:val="auto"/>
                <w:w w:val="95"/>
              </w:rPr>
              <w:t>Filed Electronically</w:t>
            </w:r>
          </w:p>
        </w:tc>
      </w:tr>
      <w:tr>
        <w:trPr>
          <w:trHeight w:val="216"/>
        </w:trPr>
        <w:tc>
          <w:tcPr>
            <w:tcW w:w="4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7540" w:type="dxa"/>
            <w:vAlign w:val="bottom"/>
            <w:gridSpan w:val="3"/>
          </w:tcPr>
          <w:p>
            <w:pPr>
              <w:ind w:left="22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260" w:type="dxa"/>
            <w:vAlign w:val="bottom"/>
          </w:tcPr>
          <w:p>
            <w:pPr>
              <w:jc w:val="center"/>
              <w:spacing w:after="0"/>
              <w:rPr>
                <w:sz w:val="20"/>
                <w:szCs w:val="20"/>
                <w:color w:val="auto"/>
              </w:rPr>
            </w:pPr>
            <w:r>
              <w:rPr>
                <w:rFonts w:ascii="Arial" w:cs="Arial" w:eastAsia="Arial" w:hAnsi="Arial"/>
                <w:sz w:val="18"/>
                <w:szCs w:val="18"/>
                <w:color w:val="auto"/>
                <w:w w:val="95"/>
              </w:rPr>
              <w:t>Filed Electronically</w:t>
            </w:r>
          </w:p>
        </w:tc>
      </w:tr>
      <w:tr>
        <w:trPr>
          <w:trHeight w:val="216"/>
        </w:trPr>
        <w:tc>
          <w:tcPr>
            <w:tcW w:w="4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7540" w:type="dxa"/>
            <w:vAlign w:val="bottom"/>
            <w:gridSpan w:val="3"/>
          </w:tcPr>
          <w:p>
            <w:pPr>
              <w:ind w:left="220"/>
              <w:spacing w:after="0"/>
              <w:rPr>
                <w:sz w:val="20"/>
                <w:szCs w:val="20"/>
                <w:color w:val="auto"/>
              </w:rPr>
            </w:pPr>
            <w:r>
              <w:rPr>
                <w:rFonts w:ascii="Arial" w:cs="Arial" w:eastAsia="Arial" w:hAnsi="Arial"/>
                <w:sz w:val="18"/>
                <w:szCs w:val="18"/>
                <w:color w:val="auto"/>
              </w:rPr>
              <w:t>Section 1350 Certification by Chief Executive Officer.</w:t>
            </w:r>
          </w:p>
        </w:tc>
        <w:tc>
          <w:tcPr>
            <w:tcW w:w="2260" w:type="dxa"/>
            <w:vAlign w:val="bottom"/>
          </w:tcPr>
          <w:p>
            <w:pPr>
              <w:jc w:val="center"/>
              <w:spacing w:after="0"/>
              <w:rPr>
                <w:sz w:val="20"/>
                <w:szCs w:val="20"/>
                <w:color w:val="auto"/>
              </w:rPr>
            </w:pPr>
            <w:r>
              <w:rPr>
                <w:rFonts w:ascii="Arial" w:cs="Arial" w:eastAsia="Arial" w:hAnsi="Arial"/>
                <w:sz w:val="18"/>
                <w:szCs w:val="18"/>
                <w:color w:val="auto"/>
                <w:w w:val="95"/>
              </w:rPr>
              <w:t>Filed Electronically</w:t>
            </w:r>
          </w:p>
        </w:tc>
      </w:tr>
      <w:tr>
        <w:trPr>
          <w:trHeight w:val="230"/>
        </w:trPr>
        <w:tc>
          <w:tcPr>
            <w:tcW w:w="4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7540" w:type="dxa"/>
            <w:vAlign w:val="bottom"/>
            <w:gridSpan w:val="3"/>
          </w:tcPr>
          <w:p>
            <w:pPr>
              <w:ind w:left="220"/>
              <w:spacing w:after="0"/>
              <w:rPr>
                <w:sz w:val="20"/>
                <w:szCs w:val="20"/>
                <w:color w:val="auto"/>
              </w:rPr>
            </w:pPr>
            <w:r>
              <w:rPr>
                <w:rFonts w:ascii="Arial" w:cs="Arial" w:eastAsia="Arial" w:hAnsi="Arial"/>
                <w:sz w:val="18"/>
                <w:szCs w:val="18"/>
                <w:color w:val="auto"/>
              </w:rPr>
              <w:t>Section 1350 Certification by Chief Financial Officer.</w:t>
            </w:r>
          </w:p>
        </w:tc>
        <w:tc>
          <w:tcPr>
            <w:tcW w:w="2260" w:type="dxa"/>
            <w:vAlign w:val="bottom"/>
          </w:tcPr>
          <w:p>
            <w:pPr>
              <w:jc w:val="center"/>
              <w:spacing w:after="0"/>
              <w:rPr>
                <w:sz w:val="20"/>
                <w:szCs w:val="20"/>
                <w:color w:val="auto"/>
              </w:rPr>
            </w:pPr>
            <w:r>
              <w:rPr>
                <w:rFonts w:ascii="Arial" w:cs="Arial" w:eastAsia="Arial" w:hAnsi="Arial"/>
                <w:sz w:val="18"/>
                <w:szCs w:val="18"/>
                <w:color w:val="auto"/>
                <w:w w:val="95"/>
              </w:rPr>
              <w:t>Filed Electronically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left="1000" w:hanging="34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23" w:lineRule="exact"/>
        <w:rPr>
          <w:rFonts w:ascii="Arial" w:cs="Arial" w:eastAsia="Arial" w:hAnsi="Arial"/>
          <w:sz w:val="18"/>
          <w:szCs w:val="18"/>
          <w:color w:val="auto"/>
        </w:rPr>
      </w:pPr>
    </w:p>
    <w:p>
      <w:pPr>
        <w:ind w:left="1000" w:hanging="34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ectPr>
          <w:pgSz w:w="11900" w:h="16838" w:orient="portrait"/>
          <w:cols w:equalWidth="0" w:num="1">
            <w:col w:w="11420"/>
          </w:cols>
          <w:pgMar w:left="240" w:top="125" w:right="239" w:bottom="0" w:gutter="0" w:footer="0" w:header="0"/>
        </w:sectPr>
      </w:pPr>
    </w:p>
    <w:bookmarkStart w:id="7" w:name="page8"/>
    <w:bookmarkEnd w:id="7"/>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On June 9, 2004, we furnished a Current Report on Form 8-K to the SEC, including the Company’s press release announcing financial results for the fourth quarter and year ended March 28, 2004.</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ind w:left="448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14605</wp:posOffset>
            </wp:positionV>
            <wp:extent cx="38849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84930" cy="8890"/>
                    </a:xfrm>
                    <a:prstGeom prst="rect">
                      <a:avLst/>
                    </a:prstGeom>
                    <a:noFill/>
                  </pic:spPr>
                </pic:pic>
              </a:graphicData>
            </a:graphic>
          </wp:anchor>
        </w:drawing>
      </w:r>
    </w:p>
    <w:p>
      <w:pPr>
        <w:spacing w:after="0" w:line="219" w:lineRule="exact"/>
        <w:rPr>
          <w:sz w:val="20"/>
          <w:szCs w:val="20"/>
          <w:color w:val="auto"/>
        </w:rPr>
      </w:pPr>
    </w:p>
    <w:p>
      <w:pPr>
        <w:jc w:val="center"/>
        <w:ind w:left="4620"/>
        <w:spacing w:after="0"/>
        <w:rPr>
          <w:sz w:val="20"/>
          <w:szCs w:val="20"/>
          <w:color w:val="auto"/>
        </w:rPr>
      </w:pPr>
      <w:r>
        <w:rPr>
          <w:rFonts w:ascii="Arial" w:cs="Arial" w:eastAsia="Arial" w:hAnsi="Arial"/>
          <w:sz w:val="18"/>
          <w:szCs w:val="18"/>
          <w:color w:val="auto"/>
        </w:rPr>
        <w:t>Marvin E. Dee</w:t>
      </w:r>
    </w:p>
    <w:p>
      <w:pPr>
        <w:spacing w:after="0" w:line="225" w:lineRule="exact"/>
        <w:rPr>
          <w:sz w:val="20"/>
          <w:szCs w:val="20"/>
          <w:color w:val="auto"/>
        </w:rPr>
      </w:pPr>
    </w:p>
    <w:p>
      <w:pPr>
        <w:jc w:val="center"/>
        <w:ind w:left="4460"/>
        <w:spacing w:after="0"/>
        <w:rPr>
          <w:sz w:val="20"/>
          <w:szCs w:val="20"/>
          <w:color w:val="auto"/>
        </w:rPr>
      </w:pPr>
      <w:r>
        <w:rPr>
          <w:rFonts w:ascii="Arial" w:cs="Arial" w:eastAsia="Arial" w:hAnsi="Arial"/>
          <w:sz w:val="18"/>
          <w:szCs w:val="18"/>
          <w:color w:val="auto"/>
        </w:rPr>
        <w:t>Vice President, Chief Financial Officer, Secretary and Treasurer</w:t>
      </w:r>
    </w:p>
    <w:p>
      <w:pPr>
        <w:spacing w:after="0" w:line="23" w:lineRule="exact"/>
        <w:rPr>
          <w:sz w:val="20"/>
          <w:szCs w:val="20"/>
          <w:color w:val="auto"/>
        </w:rPr>
      </w:pPr>
    </w:p>
    <w:p>
      <w:pPr>
        <w:jc w:val="center"/>
        <w:ind w:left="4460"/>
        <w:spacing w:after="0"/>
        <w:rPr>
          <w:sz w:val="20"/>
          <w:szCs w:val="20"/>
          <w:color w:val="auto"/>
        </w:rPr>
      </w:pPr>
      <w:r>
        <w:rPr>
          <w:rFonts w:ascii="Arial" w:cs="Arial" w:eastAsia="Arial" w:hAnsi="Arial"/>
          <w:sz w:val="18"/>
          <w:szCs w:val="18"/>
          <w:color w:val="auto"/>
        </w:rPr>
        <w:t>(On behalf of the Registrant and as 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2004</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Chief Executive Officer of Hawkins, Inc., certify that:</w:t>
      </w:r>
    </w:p>
    <w:p>
      <w:pPr>
        <w:spacing w:after="0" w:line="225" w:lineRule="exact"/>
        <w:rPr>
          <w:sz w:val="20"/>
          <w:szCs w:val="20"/>
          <w:color w:val="auto"/>
        </w:rPr>
      </w:pPr>
    </w:p>
    <w:p>
      <w:pPr>
        <w:ind w:left="1280" w:hanging="624"/>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ind w:right="260" w:firstLine="656"/>
        <w:spacing w:after="0" w:line="264"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20" w:firstLine="656"/>
        <w:spacing w:after="0" w:line="308"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40" w:firstLine="656"/>
        <w:spacing w:after="0" w:line="277"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170" w:lineRule="exact"/>
        <w:rPr>
          <w:rFonts w:ascii="Arial" w:cs="Arial" w:eastAsia="Arial" w:hAnsi="Arial"/>
          <w:sz w:val="18"/>
          <w:szCs w:val="18"/>
          <w:color w:val="auto"/>
        </w:rPr>
      </w:pPr>
    </w:p>
    <w:p>
      <w:pPr>
        <w:jc w:val="both"/>
        <w:ind w:left="660" w:right="420" w:firstLine="645"/>
        <w:spacing w:after="0" w:line="286" w:lineRule="auto"/>
        <w:tabs>
          <w:tab w:leader="none" w:pos="1945"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00" w:firstLine="645"/>
        <w:spacing w:after="0" w:line="342" w:lineRule="auto"/>
        <w:tabs>
          <w:tab w:leader="none" w:pos="1917"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20" w:firstLine="645"/>
        <w:spacing w:after="0" w:line="312" w:lineRule="auto"/>
        <w:tabs>
          <w:tab w:leader="none" w:pos="1945"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6" w:lineRule="exact"/>
        <w:rPr>
          <w:rFonts w:ascii="Arial" w:cs="Arial" w:eastAsia="Arial" w:hAnsi="Arial"/>
          <w:sz w:val="16"/>
          <w:szCs w:val="16"/>
          <w:color w:val="auto"/>
        </w:rPr>
      </w:pPr>
    </w:p>
    <w:p>
      <w:pPr>
        <w:jc w:val="both"/>
        <w:ind w:right="740" w:firstLine="656"/>
        <w:spacing w:after="0" w:line="342" w:lineRule="auto"/>
        <w:tabs>
          <w:tab w:leader="none" w:pos="12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40" w:firstLine="645"/>
        <w:spacing w:after="0" w:line="308" w:lineRule="auto"/>
        <w:tabs>
          <w:tab w:leader="none" w:pos="1945"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360" w:firstLine="645"/>
        <w:spacing w:after="0" w:line="277" w:lineRule="auto"/>
        <w:tabs>
          <w:tab w:leader="none" w:pos="1917"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2004</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5715</wp:posOffset>
            </wp:positionV>
            <wp:extent cx="2769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4"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John R. Hawkins</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Marvin E. Dee, Chief Financial Officer of Hawkins, Inc., certify that:</w:t>
      </w:r>
    </w:p>
    <w:p>
      <w:pPr>
        <w:spacing w:after="0" w:line="225" w:lineRule="exact"/>
        <w:rPr>
          <w:sz w:val="20"/>
          <w:szCs w:val="20"/>
          <w:color w:val="auto"/>
        </w:rPr>
      </w:pPr>
    </w:p>
    <w:p>
      <w:pPr>
        <w:ind w:left="1280" w:hanging="624"/>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ind w:right="260" w:firstLine="656"/>
        <w:spacing w:after="0" w:line="264"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20" w:firstLine="656"/>
        <w:spacing w:after="0" w:line="308"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40" w:firstLine="656"/>
        <w:spacing w:after="0" w:line="277"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170" w:lineRule="exact"/>
        <w:rPr>
          <w:rFonts w:ascii="Arial" w:cs="Arial" w:eastAsia="Arial" w:hAnsi="Arial"/>
          <w:sz w:val="18"/>
          <w:szCs w:val="18"/>
          <w:color w:val="auto"/>
        </w:rPr>
      </w:pPr>
    </w:p>
    <w:p>
      <w:pPr>
        <w:jc w:val="both"/>
        <w:ind w:left="660" w:right="420" w:firstLine="645"/>
        <w:spacing w:after="0" w:line="286" w:lineRule="auto"/>
        <w:tabs>
          <w:tab w:leader="none" w:pos="1945"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00" w:firstLine="645"/>
        <w:spacing w:after="0" w:line="342" w:lineRule="auto"/>
        <w:tabs>
          <w:tab w:leader="none" w:pos="1917"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20" w:firstLine="645"/>
        <w:spacing w:after="0" w:line="312" w:lineRule="auto"/>
        <w:tabs>
          <w:tab w:leader="none" w:pos="1945"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6" w:lineRule="exact"/>
        <w:rPr>
          <w:rFonts w:ascii="Arial" w:cs="Arial" w:eastAsia="Arial" w:hAnsi="Arial"/>
          <w:sz w:val="16"/>
          <w:szCs w:val="16"/>
          <w:color w:val="auto"/>
        </w:rPr>
      </w:pPr>
    </w:p>
    <w:p>
      <w:pPr>
        <w:jc w:val="both"/>
        <w:ind w:right="740" w:firstLine="656"/>
        <w:spacing w:after="0" w:line="342" w:lineRule="auto"/>
        <w:tabs>
          <w:tab w:leader="none" w:pos="1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40" w:firstLine="645"/>
        <w:spacing w:after="0" w:line="308" w:lineRule="auto"/>
        <w:tabs>
          <w:tab w:leader="none" w:pos="1945"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360" w:firstLine="645"/>
        <w:spacing w:after="0" w:line="277" w:lineRule="auto"/>
        <w:tabs>
          <w:tab w:leader="none" w:pos="1917"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2004</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5715</wp:posOffset>
            </wp:positionV>
            <wp:extent cx="26587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4"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30, 2004 as filed with the Securities and Exchange Commission on the date hereof (the “Report”), I, John R. Hawkins, Chief Executive Officer of the Company, certify, pursuant to 18 U.S.C. § 1350, as adopted pursuant to § 906 of the Sarbanes-Oxley Act of 2002, that:</w:t>
      </w:r>
    </w:p>
    <w:p>
      <w:pPr>
        <w:spacing w:after="0" w:line="181" w:lineRule="exact"/>
        <w:rPr>
          <w:sz w:val="20"/>
          <w:szCs w:val="20"/>
          <w:color w:val="auto"/>
        </w:rPr>
      </w:pPr>
    </w:p>
    <w:p>
      <w:pPr>
        <w:ind w:left="780" w:hanging="253"/>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53"/>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9020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30, 2004 as filed with the Securities and Exchange Commission on the date hereof (the “Report”), I, Marvin E. Dee, Chief Financial Officer of the Company, certify, pursuant to 18 U.S.C. § 1350, as adopted pursuant to § 906 of the Sarbanes-Oxley Act of 2002, that:</w:t>
      </w:r>
    </w:p>
    <w:p>
      <w:pPr>
        <w:spacing w:after="0" w:line="181" w:lineRule="exact"/>
        <w:rPr>
          <w:sz w:val="20"/>
          <w:szCs w:val="20"/>
          <w:color w:val="auto"/>
        </w:rPr>
      </w:pPr>
    </w:p>
    <w:p>
      <w:pPr>
        <w:ind w:left="780" w:hanging="253"/>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53"/>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2019-12-13T01:50:35Z</dcterms:created>
  <dcterms:modified xsi:type="dcterms:W3CDTF">2019-12-13T01:50:35Z</dcterms:modified>
</cp:coreProperties>
</file>