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796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796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Faulconbridge James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2381 ROSEGATE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ROSEVILLE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55113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HAWKINS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HWKN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8"/>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103"/>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ind w:left="1"/>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Times New Roman" w:cs="Times New Roman" w:eastAsia="Times New Roman" w:hAnsi="Times New Roman"/>
                <w:sz w:val="17"/>
                <w:szCs w:val="17"/>
                <w:color w:val="0000FF"/>
              </w:rPr>
              <w:t>06/04/2024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jc w:val="right"/>
              <w:ind w:right="103"/>
              <w:spacing w:after="0"/>
              <w:rPr>
                <w:sz w:val="20"/>
                <w:szCs w:val="20"/>
                <w:color w:val="auto"/>
              </w:rPr>
            </w:pPr>
            <w:r>
              <w:rPr>
                <w:rFonts w:ascii="Times New Roman" w:cs="Times New Roman" w:eastAsia="Times New Roman" w:hAnsi="Times New Roman"/>
                <w:sz w:val="17"/>
                <w:szCs w:val="17"/>
                <w:color w:val="0000FF"/>
              </w:rPr>
              <w:t>800</w:t>
            </w:r>
          </w:p>
        </w:tc>
        <w:tc>
          <w:tcPr>
            <w:tcW w:w="5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86.1674</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37,617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483"/>
              <w:spacing w:after="0"/>
              <w:rPr>
                <w:sz w:val="20"/>
                <w:szCs w:val="20"/>
                <w:color w:val="auto"/>
              </w:rPr>
            </w:pPr>
            <w:r>
              <w:rPr>
                <w:rFonts w:ascii="Times New Roman" w:cs="Times New Roman" w:eastAsia="Times New Roman" w:hAnsi="Times New Roman"/>
                <w:sz w:val="17"/>
                <w:szCs w:val="17"/>
                <w:color w:val="0000FF"/>
              </w:rPr>
              <w:t>06/04/2024</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Pr>
          <w:p>
            <w:pPr>
              <w:jc w:val="right"/>
              <w:ind w:right="103"/>
              <w:spacing w:after="0"/>
              <w:rPr>
                <w:sz w:val="20"/>
                <w:szCs w:val="20"/>
                <w:color w:val="auto"/>
              </w:rPr>
            </w:pPr>
            <w:r>
              <w:rPr>
                <w:rFonts w:ascii="Times New Roman" w:cs="Times New Roman" w:eastAsia="Times New Roman" w:hAnsi="Times New Roman"/>
                <w:sz w:val="17"/>
                <w:szCs w:val="17"/>
                <w:color w:val="0000FF"/>
              </w:rPr>
              <w:t>500</w:t>
            </w:r>
          </w:p>
        </w:tc>
        <w:tc>
          <w:tcPr>
            <w:tcW w:w="560" w:type="dxa"/>
            <w:vAlign w:val="bottom"/>
          </w:tcPr>
          <w:p>
            <w:pPr>
              <w:jc w:val="center"/>
              <w:ind w:left="21"/>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87.0399</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38,117</w:t>
            </w:r>
          </w:p>
        </w:tc>
        <w:tc>
          <w:tcPr>
            <w:tcW w:w="9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Times New Roman" w:cs="Times New Roman" w:eastAsia="Times New Roman" w:hAnsi="Times New Roman"/>
                <w:sz w:val="17"/>
                <w:szCs w:val="17"/>
                <w:color w:val="0000FF"/>
              </w:rPr>
              <w:t>06/05/2024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jc w:val="right"/>
              <w:ind w:right="103"/>
              <w:spacing w:after="0"/>
              <w:rPr>
                <w:sz w:val="20"/>
                <w:szCs w:val="20"/>
                <w:color w:val="auto"/>
              </w:rPr>
            </w:pPr>
            <w:r>
              <w:rPr>
                <w:rFonts w:ascii="Times New Roman" w:cs="Times New Roman" w:eastAsia="Times New Roman" w:hAnsi="Times New Roman"/>
                <w:sz w:val="17"/>
                <w:szCs w:val="17"/>
                <w:color w:val="0000FF"/>
              </w:rPr>
              <w:t>250</w:t>
            </w:r>
          </w:p>
        </w:tc>
        <w:tc>
          <w:tcPr>
            <w:tcW w:w="5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85.84</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38,367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Times New Roman" w:cs="Times New Roman" w:eastAsia="Times New Roman" w:hAnsi="Times New Roman"/>
                <w:sz w:val="17"/>
                <w:szCs w:val="17"/>
                <w:color w:val="0000FF"/>
              </w:rPr>
              <w:t>06/05/2024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jc w:val="right"/>
              <w:ind w:right="103"/>
              <w:spacing w:after="0"/>
              <w:rPr>
                <w:sz w:val="20"/>
                <w:szCs w:val="20"/>
                <w:color w:val="auto"/>
              </w:rPr>
            </w:pPr>
            <w:r>
              <w:rPr>
                <w:rFonts w:ascii="Times New Roman" w:cs="Times New Roman" w:eastAsia="Times New Roman" w:hAnsi="Times New Roman"/>
                <w:sz w:val="17"/>
                <w:szCs w:val="17"/>
                <w:color w:val="0000FF"/>
              </w:rPr>
              <w:t>250</w:t>
            </w:r>
          </w:p>
        </w:tc>
        <w:tc>
          <w:tcPr>
            <w:tcW w:w="5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86.9136</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38,617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Times New Roman" w:cs="Times New Roman" w:eastAsia="Times New Roman" w:hAnsi="Times New Roman"/>
                <w:sz w:val="17"/>
                <w:szCs w:val="17"/>
                <w:color w:val="0000FF"/>
              </w:rPr>
              <w:t>06/05/2024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jc w:val="right"/>
              <w:ind w:right="103"/>
              <w:spacing w:after="0"/>
              <w:rPr>
                <w:sz w:val="20"/>
                <w:szCs w:val="20"/>
                <w:color w:val="auto"/>
              </w:rPr>
            </w:pPr>
            <w:r>
              <w:rPr>
                <w:rFonts w:ascii="Times New Roman" w:cs="Times New Roman" w:eastAsia="Times New Roman" w:hAnsi="Times New Roman"/>
                <w:sz w:val="17"/>
                <w:szCs w:val="17"/>
                <w:color w:val="0000FF"/>
              </w:rPr>
              <w:t>100</w:t>
            </w:r>
          </w:p>
        </w:tc>
        <w:tc>
          <w:tcPr>
            <w:tcW w:w="5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87.536</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38,717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Reflects the weighted average price of 800 shares of common stock of Hawkins, Inc. purchased by the reporting person in multiple transactions on June 4, 2024 with purchase prices ranging from</w:t>
      </w:r>
    </w:p>
    <w:p>
      <w:pPr>
        <w:spacing w:after="0" w:line="11" w:lineRule="exact"/>
        <w:rPr>
          <w:sz w:val="24"/>
          <w:szCs w:val="24"/>
          <w:color w:val="auto"/>
        </w:rPr>
      </w:pPr>
    </w:p>
    <w:p>
      <w:pPr>
        <w:ind w:left="40" w:right="240"/>
        <w:spacing w:after="0" w:line="250" w:lineRule="auto"/>
        <w:rPr>
          <w:sz w:val="20"/>
          <w:szCs w:val="20"/>
          <w:color w:val="auto"/>
        </w:rPr>
      </w:pPr>
      <w:r>
        <w:rPr>
          <w:rFonts w:ascii="Times New Roman" w:cs="Times New Roman" w:eastAsia="Times New Roman" w:hAnsi="Times New Roman"/>
          <w:sz w:val="13"/>
          <w:szCs w:val="13"/>
          <w:color w:val="008000"/>
        </w:rPr>
        <w:t>$85.49 to $85.65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2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2. Reflects the weighted average price of 250 shares of common stock of Hawkins, Inc. purchased by the reporting person in multiple transactions on June 5, 2024 with purchase prices ranging from</w:t>
      </w:r>
    </w:p>
    <w:p>
      <w:pPr>
        <w:spacing w:after="0" w:line="11" w:lineRule="exact"/>
        <w:rPr>
          <w:sz w:val="24"/>
          <w:szCs w:val="24"/>
          <w:color w:val="auto"/>
        </w:rPr>
      </w:pPr>
    </w:p>
    <w:p>
      <w:pPr>
        <w:ind w:left="40" w:right="240"/>
        <w:spacing w:after="0" w:line="250" w:lineRule="auto"/>
        <w:rPr>
          <w:sz w:val="20"/>
          <w:szCs w:val="20"/>
          <w:color w:val="auto"/>
        </w:rPr>
      </w:pPr>
      <w:r>
        <w:rPr>
          <w:rFonts w:ascii="Times New Roman" w:cs="Times New Roman" w:eastAsia="Times New Roman" w:hAnsi="Times New Roman"/>
          <w:sz w:val="13"/>
          <w:szCs w:val="13"/>
          <w:color w:val="008000"/>
        </w:rPr>
        <w:t>$85.50 to $86.35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2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3. Reflects the weighted average price of 250 shares of common stock of Hawkins, Inc. purchased by the reporting person in multiple transactions on June 5, 2024 with purchase prices ranging from</w:t>
      </w:r>
    </w:p>
    <w:p>
      <w:pPr>
        <w:spacing w:after="0" w:line="11" w:lineRule="exact"/>
        <w:rPr>
          <w:sz w:val="24"/>
          <w:szCs w:val="24"/>
          <w:color w:val="auto"/>
        </w:rPr>
      </w:pPr>
    </w:p>
    <w:p>
      <w:pPr>
        <w:ind w:left="40" w:right="240"/>
        <w:spacing w:after="0" w:line="250" w:lineRule="auto"/>
        <w:rPr>
          <w:sz w:val="20"/>
          <w:szCs w:val="20"/>
          <w:color w:val="auto"/>
        </w:rPr>
      </w:pPr>
      <w:r>
        <w:rPr>
          <w:rFonts w:ascii="Times New Roman" w:cs="Times New Roman" w:eastAsia="Times New Roman" w:hAnsi="Times New Roman"/>
          <w:sz w:val="13"/>
          <w:szCs w:val="13"/>
          <w:color w:val="008000"/>
        </w:rPr>
        <w:t>$86.60 to $87.32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2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4. Reflects the weighted average price of 100 shares of common stock of Hawkins, Inc. purchased by the reporting person in multiple transactions on June 5, 2024 with purchase prices ranging from</w:t>
      </w:r>
    </w:p>
    <w:p>
      <w:pPr>
        <w:spacing w:after="0" w:line="11" w:lineRule="exact"/>
        <w:rPr>
          <w:sz w:val="24"/>
          <w:szCs w:val="24"/>
          <w:color w:val="auto"/>
        </w:rPr>
      </w:pPr>
    </w:p>
    <w:p>
      <w:pPr>
        <w:ind w:left="40" w:right="240"/>
        <w:spacing w:after="0" w:line="250" w:lineRule="auto"/>
        <w:rPr>
          <w:sz w:val="20"/>
          <w:szCs w:val="20"/>
          <w:color w:val="auto"/>
        </w:rPr>
      </w:pPr>
      <w:r>
        <w:rPr>
          <w:rFonts w:ascii="Times New Roman" w:cs="Times New Roman" w:eastAsia="Times New Roman" w:hAnsi="Times New Roman"/>
          <w:sz w:val="13"/>
          <w:szCs w:val="13"/>
          <w:color w:val="008000"/>
        </w:rPr>
        <w:t>$87.53 to $87.54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Joshua L. Colburn,</w:t>
            </w:r>
          </w:p>
        </w:tc>
        <w:tc>
          <w:tcPr>
            <w:tcW w:w="5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06/06/2024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907"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2024-06-06T15:43:32Z</dcterms:created>
  <dcterms:modified xsi:type="dcterms:W3CDTF">2024-06-06T15:43:32Z</dcterms:modified>
</cp:coreProperties>
</file>