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545465</wp:posOffset>
            </wp:positionV>
            <wp:extent cx="725741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13D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(Amendment No. 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Hawkins,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Issuer)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Common Stock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(Title of Class of Securities)</w:t>
      </w: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________</w:t>
      </w:r>
      <w:r>
        <w:rPr>
          <w:rFonts w:ascii="Arial" w:cs="Arial" w:eastAsia="Arial" w:hAnsi="Arial"/>
          <w:sz w:val="17"/>
          <w:szCs w:val="17"/>
          <w:u w:val="single" w:color="auto"/>
          <w:color w:val="auto"/>
        </w:rPr>
        <w:t>420261109</w:t>
      </w:r>
      <w:r>
        <w:rPr>
          <w:rFonts w:ascii="Arial" w:cs="Arial" w:eastAsia="Arial" w:hAnsi="Arial"/>
          <w:sz w:val="17"/>
          <w:szCs w:val="17"/>
          <w:color w:val="auto"/>
        </w:rPr>
        <w:t>_________</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(CUSIP Number)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Peter D. Goldstein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GAMCO Investors,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One Corporate Center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Rye, New York 10580-1435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(914) 921-7732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Address and Telephone Number of Person Authorized to Receive Notices and Communications)</w:t>
      </w:r>
    </w:p>
    <w:p>
      <w:pPr>
        <w:spacing w:after="0" w:line="200" w:lineRule="exact"/>
        <w:rPr>
          <w:sz w:val="20"/>
          <w:szCs w:val="20"/>
          <w:color w:val="auto"/>
        </w:rPr>
      </w:pPr>
    </w:p>
    <w:p>
      <w:pPr>
        <w:spacing w:after="0" w:line="265"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 xml:space="preserve">______________________ </w:t>
      </w:r>
      <w:r>
        <w:rPr>
          <w:rFonts w:ascii="Arial" w:cs="Arial" w:eastAsia="Arial" w:hAnsi="Arial"/>
          <w:sz w:val="17"/>
          <w:szCs w:val="17"/>
          <w:u w:val="single" w:color="auto"/>
          <w:color w:val="auto"/>
        </w:rPr>
        <w:t>December 30, 2009</w:t>
      </w:r>
      <w:r>
        <w:rPr>
          <w:rFonts w:ascii="Arial" w:cs="Arial" w:eastAsia="Arial" w:hAnsi="Arial"/>
          <w:sz w:val="17"/>
          <w:szCs w:val="17"/>
          <w:color w:val="auto"/>
        </w:rPr>
        <w:t>________________________</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 of Event which Requires Filing of this Statement)</w:t>
      </w:r>
    </w:p>
    <w:p>
      <w:pPr>
        <w:spacing w:after="0" w:line="200" w:lineRule="exact"/>
        <w:rPr>
          <w:sz w:val="20"/>
          <w:szCs w:val="20"/>
          <w:color w:val="auto"/>
        </w:rPr>
      </w:pPr>
    </w:p>
    <w:p>
      <w:pPr>
        <w:spacing w:after="0" w:line="265"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7" w:lineRule="exact"/>
        <w:rPr>
          <w:sz w:val="20"/>
          <w:szCs w:val="20"/>
          <w:color w:val="auto"/>
        </w:rPr>
      </w:pPr>
    </w:p>
    <w:p>
      <w:pPr>
        <w:ind w:left="900" w:hanging="488"/>
        <w:spacing w:after="0"/>
        <w:tabs>
          <w:tab w:leader="none" w:pos="9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AMES OF REPORTING PERSONS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I.R.S. </w:t>
      </w:r>
      <w:r>
        <w:rPr>
          <w:rFonts w:ascii="Arial" w:cs="Arial" w:eastAsia="Arial" w:hAnsi="Arial"/>
          <w:sz w:val="11"/>
          <w:szCs w:val="11"/>
          <w:b w:val="1"/>
          <w:bCs w:val="1"/>
          <w:color w:val="auto"/>
        </w:rPr>
        <w:t>IDENTIFICATION NOS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OF ABOVE PERSONS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ENTITIES ONLY</w:t>
      </w:r>
      <w:r>
        <w:rPr>
          <w:rFonts w:ascii="Arial" w:cs="Arial" w:eastAsia="Arial" w:hAnsi="Arial"/>
          <w:sz w:val="17"/>
          <w:szCs w:val="17"/>
          <w:b w:val="1"/>
          <w:bCs w:val="1"/>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ind w:left="900"/>
              <w:spacing w:after="0"/>
              <w:rPr>
                <w:sz w:val="20"/>
                <w:szCs w:val="20"/>
                <w:color w:val="auto"/>
              </w:rPr>
            </w:pPr>
            <w:r>
              <w:rPr>
                <w:rFonts w:ascii="Arial" w:cs="Arial" w:eastAsia="Arial" w:hAnsi="Arial"/>
                <w:sz w:val="17"/>
                <w:szCs w:val="17"/>
                <w:b w:val="1"/>
                <w:bCs w:val="1"/>
                <w:color w:val="auto"/>
              </w:rPr>
              <w:t>Gabelli Funds, LLC</w:t>
            </w:r>
          </w:p>
        </w:tc>
        <w:tc>
          <w:tcPr>
            <w:tcW w:w="4980" w:type="dxa"/>
            <w:vAlign w:val="bottom"/>
          </w:tcPr>
          <w:p>
            <w:pPr>
              <w:ind w:left="4040"/>
              <w:spacing w:after="0"/>
              <w:rPr>
                <w:sz w:val="20"/>
                <w:szCs w:val="20"/>
                <w:color w:val="auto"/>
              </w:rPr>
            </w:pPr>
            <w:r>
              <w:rPr>
                <w:rFonts w:ascii="Arial" w:cs="Arial" w:eastAsia="Arial" w:hAnsi="Arial"/>
                <w:sz w:val="17"/>
                <w:szCs w:val="17"/>
                <w:b w:val="1"/>
                <w:bCs w:val="1"/>
                <w:color w:val="auto"/>
              </w:rPr>
              <w:t>I.D. N</w:t>
            </w:r>
            <w:r>
              <w:rPr>
                <w:rFonts w:ascii="Arial" w:cs="Arial" w:eastAsia="Arial" w:hAnsi="Arial"/>
                <w:sz w:val="11"/>
                <w:szCs w:val="11"/>
                <w:b w:val="1"/>
                <w:bCs w:val="1"/>
                <w:color w:val="auto"/>
              </w:rPr>
              <w:t>O</w:t>
            </w:r>
            <w:r>
              <w:rPr>
                <w:rFonts w:ascii="Arial" w:cs="Arial" w:eastAsia="Arial" w:hAnsi="Arial"/>
                <w:sz w:val="17"/>
                <w:szCs w:val="17"/>
                <w:b w:val="1"/>
                <w:bCs w:val="1"/>
                <w:color w:val="auto"/>
              </w:rPr>
              <w:t>. 13-</w:t>
            </w:r>
          </w:p>
        </w:tc>
      </w:tr>
      <w:tr>
        <w:trPr>
          <w:trHeight w:val="224"/>
        </w:trPr>
        <w:tc>
          <w:tcPr>
            <w:tcW w:w="6440" w:type="dxa"/>
            <w:vAlign w:val="bottom"/>
            <w:tcBorders>
              <w:bottom w:val="single" w:sz="8" w:color="auto"/>
            </w:tcBorders>
          </w:tcPr>
          <w:p>
            <w:pPr>
              <w:ind w:left="900"/>
              <w:spacing w:after="0"/>
              <w:rPr>
                <w:sz w:val="20"/>
                <w:szCs w:val="20"/>
                <w:color w:val="auto"/>
              </w:rPr>
            </w:pPr>
            <w:r>
              <w:rPr>
                <w:rFonts w:ascii="Arial" w:cs="Arial" w:eastAsia="Arial" w:hAnsi="Arial"/>
                <w:sz w:val="17"/>
                <w:szCs w:val="17"/>
                <w:b w:val="1"/>
                <w:bCs w:val="1"/>
                <w:color w:val="auto"/>
              </w:rPr>
              <w:t>4044523</w:t>
            </w:r>
          </w:p>
        </w:tc>
        <w:tc>
          <w:tcPr>
            <w:tcW w:w="4980" w:type="dxa"/>
            <w:vAlign w:val="bottom"/>
            <w:tcBorders>
              <w:bottom w:val="single" w:sz="8" w:color="auto"/>
            </w:tcBorders>
          </w:tcPr>
          <w:p>
            <w:pPr>
              <w:spacing w:after="0"/>
              <w:rPr>
                <w:sz w:val="19"/>
                <w:szCs w:val="19"/>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r>
    </w:tbl>
    <w:p>
      <w:pPr>
        <w:ind w:left="900" w:hanging="488"/>
        <w:spacing w:after="0"/>
        <w:tabs>
          <w:tab w:leader="none" w:pos="9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THE APPROPRIATE BOX IF A MEMBER OF A GROUP</w:t>
      </w:r>
      <w:r>
        <w:rPr>
          <w:rFonts w:ascii="Arial" w:cs="Arial" w:eastAsia="Arial" w:hAnsi="Arial"/>
          <w:sz w:val="17"/>
          <w:szCs w:val="17"/>
          <w:b w:val="1"/>
          <w:bCs w:val="1"/>
          <w:color w:val="auto"/>
        </w:rPr>
        <w:t xml:space="preserve"> (SEE INSTRUCTIONS) (a)</w:t>
      </w:r>
    </w:p>
    <w:p>
      <w:pPr>
        <w:spacing w:after="0" w:line="200" w:lineRule="exact"/>
        <w:rPr>
          <w:sz w:val="20"/>
          <w:szCs w:val="20"/>
          <w:color w:val="auto"/>
        </w:rPr>
      </w:pP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jc w:val="right"/>
        <w:ind w:left="1040" w:right="7480" w:hanging="628"/>
        <w:spacing w:after="0" w:line="320" w:lineRule="auto"/>
        <w:tabs>
          <w:tab w:leader="none" w:pos="91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OURCE OF FUNDS</w:t>
      </w:r>
      <w:r>
        <w:rPr>
          <w:rFonts w:ascii="Arial" w:cs="Arial" w:eastAsia="Arial" w:hAnsi="Arial"/>
          <w:sz w:val="16"/>
          <w:szCs w:val="16"/>
          <w:b w:val="1"/>
          <w:bCs w:val="1"/>
          <w:color w:val="auto"/>
        </w:rPr>
        <w:t xml:space="preserve">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-307340</wp:posOffset>
            </wp:positionV>
            <wp:extent cx="7252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93345</wp:posOffset>
            </wp:positionV>
            <wp:extent cx="7252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60" w:lineRule="exact"/>
        <w:rPr>
          <w:sz w:val="20"/>
          <w:szCs w:val="20"/>
          <w:color w:val="auto"/>
        </w:rPr>
      </w:pPr>
    </w:p>
    <w:p>
      <w:pPr>
        <w:ind w:left="900" w:hanging="488"/>
        <w:spacing w:after="0"/>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DISCLOSURE OF LEGAL PROCEEDINGS IS REQUIRED PURSUANT TO ITEMS</w:t>
      </w:r>
      <w:r>
        <w:rPr>
          <w:rFonts w:ascii="Arial" w:cs="Arial" w:eastAsia="Arial" w:hAnsi="Arial"/>
          <w:sz w:val="17"/>
          <w:szCs w:val="17"/>
          <w:b w:val="1"/>
          <w:bCs w:val="1"/>
          <w:color w:val="auto"/>
        </w:rPr>
        <w:t xml:space="preserve"> 2 (d)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 (e)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52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00" w:hanging="488"/>
        <w:spacing w:after="0"/>
        <w:tabs>
          <w:tab w:leader="none" w:pos="9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 7</w:t>
            </w:r>
          </w:p>
        </w:tc>
        <w:tc>
          <w:tcPr>
            <w:tcW w:w="756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VOTING POWER</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150,000 (Item 5)</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ENEFICIALLY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b w:val="1"/>
                <w:bCs w:val="1"/>
                <w:color w:val="auto"/>
              </w:rPr>
              <w:t>: 8</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VOTING POWER</w:t>
            </w: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vMerge w:val="continue"/>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Y</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ACH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500" w:type="dxa"/>
            <w:vAlign w:val="bottom"/>
            <w:vMerge w:val="continue"/>
          </w:tcPr>
          <w:p>
            <w:pPr>
              <w:spacing w:after="0"/>
              <w:rPr>
                <w:sz w:val="8"/>
                <w:szCs w:val="8"/>
                <w:color w:val="auto"/>
              </w:rPr>
            </w:pPr>
          </w:p>
        </w:tc>
        <w:tc>
          <w:tcPr>
            <w:tcW w:w="360" w:type="dxa"/>
            <w:vAlign w:val="bottom"/>
            <w:gridSpan w:val="2"/>
            <w:vMerge w:val="restart"/>
          </w:tcPr>
          <w:p>
            <w:pPr>
              <w:spacing w:after="0" w:line="180" w:lineRule="exact"/>
              <w:rPr>
                <w:sz w:val="20"/>
                <w:szCs w:val="20"/>
                <w:color w:val="auto"/>
              </w:rPr>
            </w:pPr>
            <w:r>
              <w:rPr>
                <w:rFonts w:ascii="Arial" w:cs="Arial" w:eastAsia="Arial" w:hAnsi="Arial"/>
                <w:sz w:val="17"/>
                <w:szCs w:val="17"/>
                <w:b w:val="1"/>
                <w:bCs w:val="1"/>
                <w:color w:val="auto"/>
              </w:rPr>
              <w:t>: 9</w:t>
            </w:r>
          </w:p>
        </w:tc>
        <w:tc>
          <w:tcPr>
            <w:tcW w:w="7560" w:type="dxa"/>
            <w:vAlign w:val="bottom"/>
            <w:vMerge w:val="restart"/>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DISPOSITIVE POWER</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150,000 (Item 5)</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P</w:t>
            </w:r>
            <w:r>
              <w:rPr>
                <w:rFonts w:ascii="Arial" w:cs="Arial" w:eastAsia="Arial" w:hAnsi="Arial"/>
                <w:sz w:val="11"/>
                <w:szCs w:val="11"/>
                <w:b w:val="1"/>
                <w:bCs w:val="1"/>
                <w:color w:val="auto"/>
                <w:w w:val="98"/>
              </w:rPr>
              <w:t>ERSON</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tcPr>
          <w:p>
            <w:pPr>
              <w:spacing w:after="0"/>
              <w:rPr>
                <w:sz w:val="15"/>
                <w:szCs w:val="15"/>
                <w:color w:val="auto"/>
              </w:rPr>
            </w:pPr>
          </w:p>
        </w:tc>
        <w:tc>
          <w:tcPr>
            <w:tcW w:w="3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:10</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DISPOSITIVE POWER</w:t>
            </w:r>
          </w:p>
        </w:tc>
        <w:tc>
          <w:tcPr>
            <w:tcW w:w="0" w:type="dxa"/>
            <w:vAlign w:val="bottom"/>
          </w:tcPr>
          <w:p>
            <w:pPr>
              <w:spacing w:after="0"/>
              <w:rPr>
                <w:sz w:val="1"/>
                <w:szCs w:val="1"/>
                <w:color w:val="auto"/>
              </w:rPr>
            </w:pPr>
          </w:p>
        </w:tc>
      </w:tr>
      <w:tr>
        <w:trPr>
          <w:trHeight w:val="225"/>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3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w:t>
            </w:r>
          </w:p>
        </w:tc>
        <w:tc>
          <w:tcPr>
            <w:tcW w:w="7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hanging="897"/>
        <w:spacing w:after="0"/>
        <w:tabs>
          <w:tab w:leader="none" w:pos="9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GGREGATE AMOUNT BENEFICIALLY OWNED BY EACH REPORTING PERSON</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150,000 (I</w:t>
      </w:r>
      <w:r>
        <w:rPr>
          <w:rFonts w:ascii="Arial" w:cs="Arial" w:eastAsia="Arial" w:hAnsi="Arial"/>
          <w:sz w:val="11"/>
          <w:szCs w:val="11"/>
          <w:b w:val="1"/>
          <w:bCs w:val="1"/>
          <w:color w:val="auto"/>
        </w:rPr>
        <w:t>TEM</w:t>
      </w:r>
      <w:r>
        <w:rPr>
          <w:rFonts w:ascii="Arial" w:cs="Arial" w:eastAsia="Arial" w:hAnsi="Arial"/>
          <w:sz w:val="17"/>
          <w:szCs w:val="17"/>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THE AGGREGATE AMOUNT IN ROW</w:t>
      </w:r>
      <w:r>
        <w:rPr>
          <w:rFonts w:ascii="Arial" w:cs="Arial" w:eastAsia="Arial" w:hAnsi="Arial"/>
          <w:sz w:val="17"/>
          <w:szCs w:val="17"/>
          <w:b w:val="1"/>
          <w:bCs w:val="1"/>
          <w:color w:val="auto"/>
        </w:rPr>
        <w:t xml:space="preserve"> (11) </w:t>
      </w:r>
      <w:r>
        <w:rPr>
          <w:rFonts w:ascii="Arial" w:cs="Arial" w:eastAsia="Arial" w:hAnsi="Arial"/>
          <w:sz w:val="11"/>
          <w:szCs w:val="11"/>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00" w:hanging="897"/>
        <w:spacing w:after="0"/>
        <w:tabs>
          <w:tab w:leader="none" w:pos="9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ERCENT OF CLASS REPRESENTED BY AMOUNT IN ROW</w:t>
      </w:r>
      <w:r>
        <w:rPr>
          <w:rFonts w:ascii="Arial" w:cs="Arial" w:eastAsia="Arial" w:hAnsi="Arial"/>
          <w:sz w:val="17"/>
          <w:szCs w:val="17"/>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YPE OF REPORTING PERSON</w:t>
      </w:r>
      <w:r>
        <w:rPr>
          <w:rFonts w:ascii="Arial" w:cs="Arial" w:eastAsia="Arial" w:hAnsi="Arial"/>
          <w:sz w:val="17"/>
          <w:szCs w:val="17"/>
          <w:b w:val="1"/>
          <w:bCs w:val="1"/>
          <w:color w:val="auto"/>
        </w:rPr>
        <w:t xml:space="preserve">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294640</wp:posOffset>
            </wp:positionV>
            <wp:extent cx="7252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7" w:lineRule="exact"/>
        <w:rPr>
          <w:sz w:val="20"/>
          <w:szCs w:val="20"/>
          <w:color w:val="auto"/>
        </w:rPr>
      </w:pPr>
    </w:p>
    <w:p>
      <w:pPr>
        <w:ind w:left="900" w:hanging="488"/>
        <w:spacing w:after="0"/>
        <w:tabs>
          <w:tab w:leader="none" w:pos="9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AMES OF REPORTING PERSONS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I.R.S. </w:t>
      </w:r>
      <w:r>
        <w:rPr>
          <w:rFonts w:ascii="Arial" w:cs="Arial" w:eastAsia="Arial" w:hAnsi="Arial"/>
          <w:sz w:val="11"/>
          <w:szCs w:val="11"/>
          <w:b w:val="1"/>
          <w:bCs w:val="1"/>
          <w:color w:val="auto"/>
        </w:rPr>
        <w:t>IDENTIFICATION NOS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OF ABOVE PERSONS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ENTITIES ONLY</w:t>
      </w:r>
      <w:r>
        <w:rPr>
          <w:rFonts w:ascii="Arial" w:cs="Arial" w:eastAsia="Arial" w:hAnsi="Arial"/>
          <w:sz w:val="17"/>
          <w:szCs w:val="17"/>
          <w:b w:val="1"/>
          <w:bCs w:val="1"/>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ind w:left="900"/>
              <w:spacing w:after="0"/>
              <w:rPr>
                <w:sz w:val="20"/>
                <w:szCs w:val="20"/>
                <w:color w:val="auto"/>
              </w:rPr>
            </w:pPr>
            <w:r>
              <w:rPr>
                <w:rFonts w:ascii="Arial" w:cs="Arial" w:eastAsia="Arial" w:hAnsi="Arial"/>
                <w:sz w:val="17"/>
                <w:szCs w:val="17"/>
                <w:b w:val="1"/>
                <w:bCs w:val="1"/>
                <w:color w:val="auto"/>
              </w:rPr>
              <w:t>GAMCO Asset Management Inc.</w:t>
            </w:r>
          </w:p>
        </w:tc>
        <w:tc>
          <w:tcPr>
            <w:tcW w:w="4600" w:type="dxa"/>
            <w:vAlign w:val="bottom"/>
          </w:tcPr>
          <w:p>
            <w:pPr>
              <w:ind w:left="3480"/>
              <w:spacing w:after="0"/>
              <w:rPr>
                <w:sz w:val="20"/>
                <w:szCs w:val="20"/>
                <w:color w:val="auto"/>
              </w:rPr>
            </w:pPr>
            <w:r>
              <w:rPr>
                <w:rFonts w:ascii="Arial" w:cs="Arial" w:eastAsia="Arial" w:hAnsi="Arial"/>
                <w:sz w:val="17"/>
                <w:szCs w:val="17"/>
                <w:b w:val="1"/>
                <w:bCs w:val="1"/>
                <w:color w:val="auto"/>
              </w:rPr>
              <w:t>I.D. N</w:t>
            </w:r>
            <w:r>
              <w:rPr>
                <w:rFonts w:ascii="Arial" w:cs="Arial" w:eastAsia="Arial" w:hAnsi="Arial"/>
                <w:sz w:val="11"/>
                <w:szCs w:val="11"/>
                <w:b w:val="1"/>
                <w:bCs w:val="1"/>
                <w:color w:val="auto"/>
              </w:rPr>
              <w:t>O</w:t>
            </w:r>
            <w:r>
              <w:rPr>
                <w:rFonts w:ascii="Arial" w:cs="Arial" w:eastAsia="Arial" w:hAnsi="Arial"/>
                <w:sz w:val="17"/>
                <w:szCs w:val="17"/>
                <w:b w:val="1"/>
                <w:bCs w:val="1"/>
                <w:color w:val="auto"/>
              </w:rPr>
              <w:t>. 13-</w:t>
            </w:r>
          </w:p>
        </w:tc>
      </w:tr>
      <w:tr>
        <w:trPr>
          <w:trHeight w:val="224"/>
        </w:trPr>
        <w:tc>
          <w:tcPr>
            <w:tcW w:w="6820" w:type="dxa"/>
            <w:vAlign w:val="bottom"/>
            <w:tcBorders>
              <w:bottom w:val="single" w:sz="8" w:color="auto"/>
            </w:tcBorders>
          </w:tcPr>
          <w:p>
            <w:pPr>
              <w:ind w:left="900"/>
              <w:spacing w:after="0"/>
              <w:rPr>
                <w:sz w:val="20"/>
                <w:szCs w:val="20"/>
                <w:color w:val="auto"/>
              </w:rPr>
            </w:pPr>
            <w:r>
              <w:rPr>
                <w:rFonts w:ascii="Arial" w:cs="Arial" w:eastAsia="Arial" w:hAnsi="Arial"/>
                <w:sz w:val="17"/>
                <w:szCs w:val="17"/>
                <w:b w:val="1"/>
                <w:bCs w:val="1"/>
                <w:color w:val="auto"/>
              </w:rPr>
              <w:t>4044521</w:t>
            </w:r>
          </w:p>
        </w:tc>
        <w:tc>
          <w:tcPr>
            <w:tcW w:w="4600" w:type="dxa"/>
            <w:vAlign w:val="bottom"/>
            <w:tcBorders>
              <w:bottom w:val="single" w:sz="8" w:color="auto"/>
            </w:tcBorders>
          </w:tcPr>
          <w:p>
            <w:pPr>
              <w:spacing w:after="0"/>
              <w:rPr>
                <w:sz w:val="19"/>
                <w:szCs w:val="19"/>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r>
    </w:tbl>
    <w:p>
      <w:pPr>
        <w:ind w:left="900" w:hanging="488"/>
        <w:spacing w:after="0"/>
        <w:tabs>
          <w:tab w:leader="none" w:pos="9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THE APPROPRIATE BOX IF A MEMBER OF A GROUP</w:t>
      </w:r>
      <w:r>
        <w:rPr>
          <w:rFonts w:ascii="Arial" w:cs="Arial" w:eastAsia="Arial" w:hAnsi="Arial"/>
          <w:sz w:val="17"/>
          <w:szCs w:val="17"/>
          <w:b w:val="1"/>
          <w:bCs w:val="1"/>
          <w:color w:val="auto"/>
        </w:rPr>
        <w:t xml:space="preserve"> (SEE INSTRUCTIONS) (a)</w:t>
      </w:r>
    </w:p>
    <w:p>
      <w:pPr>
        <w:spacing w:after="0" w:line="200" w:lineRule="exact"/>
        <w:rPr>
          <w:sz w:val="20"/>
          <w:szCs w:val="20"/>
          <w:color w:val="auto"/>
        </w:rPr>
      </w:pP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jc w:val="both"/>
        <w:ind w:left="940" w:right="7520" w:hanging="528"/>
        <w:spacing w:after="0" w:line="320" w:lineRule="auto"/>
        <w:tabs>
          <w:tab w:leader="none" w:pos="897"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OURCE OF FUNDS</w:t>
      </w:r>
      <w:r>
        <w:rPr>
          <w:rFonts w:ascii="Arial" w:cs="Arial" w:eastAsia="Arial" w:hAnsi="Arial"/>
          <w:sz w:val="16"/>
          <w:szCs w:val="16"/>
          <w:b w:val="1"/>
          <w:bCs w:val="1"/>
          <w:color w:val="auto"/>
        </w:rPr>
        <w:t xml:space="preserve">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-307340</wp:posOffset>
            </wp:positionV>
            <wp:extent cx="7252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93345</wp:posOffset>
            </wp:positionV>
            <wp:extent cx="72529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60" w:lineRule="exact"/>
        <w:rPr>
          <w:sz w:val="20"/>
          <w:szCs w:val="20"/>
          <w:color w:val="auto"/>
        </w:rPr>
      </w:pPr>
    </w:p>
    <w:p>
      <w:pPr>
        <w:ind w:left="900" w:hanging="488"/>
        <w:spacing w:after="0"/>
        <w:tabs>
          <w:tab w:leader="none" w:pos="9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DISCLOSURE OF LEGAL PROCEEDINGS IS REQUIRED PURSUANT TO ITEMS</w:t>
      </w:r>
      <w:r>
        <w:rPr>
          <w:rFonts w:ascii="Arial" w:cs="Arial" w:eastAsia="Arial" w:hAnsi="Arial"/>
          <w:sz w:val="17"/>
          <w:szCs w:val="17"/>
          <w:b w:val="1"/>
          <w:bCs w:val="1"/>
          <w:color w:val="auto"/>
        </w:rPr>
        <w:t xml:space="preserve"> 2 (d)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529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00" w:hanging="488"/>
        <w:spacing w:after="0"/>
        <w:tabs>
          <w:tab w:leader="none" w:pos="90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 7</w:t>
            </w:r>
          </w:p>
        </w:tc>
        <w:tc>
          <w:tcPr>
            <w:tcW w:w="756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VOTING POWER</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274,370 (Item 5)</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ENEFICIALLY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b w:val="1"/>
                <w:bCs w:val="1"/>
                <w:color w:val="auto"/>
              </w:rPr>
              <w:t>: 8</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VOTING POWER</w:t>
            </w: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vMerge w:val="continue"/>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Y</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ACH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500" w:type="dxa"/>
            <w:vAlign w:val="bottom"/>
            <w:vMerge w:val="continue"/>
          </w:tcPr>
          <w:p>
            <w:pPr>
              <w:spacing w:after="0"/>
              <w:rPr>
                <w:sz w:val="8"/>
                <w:szCs w:val="8"/>
                <w:color w:val="auto"/>
              </w:rPr>
            </w:pPr>
          </w:p>
        </w:tc>
        <w:tc>
          <w:tcPr>
            <w:tcW w:w="360" w:type="dxa"/>
            <w:vAlign w:val="bottom"/>
            <w:gridSpan w:val="2"/>
            <w:vMerge w:val="restart"/>
          </w:tcPr>
          <w:p>
            <w:pPr>
              <w:spacing w:after="0" w:line="180" w:lineRule="exact"/>
              <w:rPr>
                <w:sz w:val="20"/>
                <w:szCs w:val="20"/>
                <w:color w:val="auto"/>
              </w:rPr>
            </w:pPr>
            <w:r>
              <w:rPr>
                <w:rFonts w:ascii="Arial" w:cs="Arial" w:eastAsia="Arial" w:hAnsi="Arial"/>
                <w:sz w:val="17"/>
                <w:szCs w:val="17"/>
                <w:b w:val="1"/>
                <w:bCs w:val="1"/>
                <w:color w:val="auto"/>
              </w:rPr>
              <w:t>: 9</w:t>
            </w:r>
          </w:p>
        </w:tc>
        <w:tc>
          <w:tcPr>
            <w:tcW w:w="7560" w:type="dxa"/>
            <w:vAlign w:val="bottom"/>
            <w:vMerge w:val="restart"/>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DISPOSITIVE POWER</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281,370 (Item 5)</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P</w:t>
            </w:r>
            <w:r>
              <w:rPr>
                <w:rFonts w:ascii="Arial" w:cs="Arial" w:eastAsia="Arial" w:hAnsi="Arial"/>
                <w:sz w:val="11"/>
                <w:szCs w:val="11"/>
                <w:b w:val="1"/>
                <w:bCs w:val="1"/>
                <w:color w:val="auto"/>
                <w:w w:val="98"/>
              </w:rPr>
              <w:t>ERSON</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tcPr>
          <w:p>
            <w:pPr>
              <w:spacing w:after="0"/>
              <w:rPr>
                <w:sz w:val="15"/>
                <w:szCs w:val="15"/>
                <w:color w:val="auto"/>
              </w:rPr>
            </w:pPr>
          </w:p>
        </w:tc>
        <w:tc>
          <w:tcPr>
            <w:tcW w:w="3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:10</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DISPOSITIVE POWER</w:t>
            </w:r>
          </w:p>
        </w:tc>
        <w:tc>
          <w:tcPr>
            <w:tcW w:w="0" w:type="dxa"/>
            <w:vAlign w:val="bottom"/>
          </w:tcPr>
          <w:p>
            <w:pPr>
              <w:spacing w:after="0"/>
              <w:rPr>
                <w:sz w:val="1"/>
                <w:szCs w:val="1"/>
                <w:color w:val="auto"/>
              </w:rPr>
            </w:pPr>
          </w:p>
        </w:tc>
      </w:tr>
      <w:tr>
        <w:trPr>
          <w:trHeight w:val="225"/>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3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w:t>
            </w:r>
          </w:p>
        </w:tc>
        <w:tc>
          <w:tcPr>
            <w:tcW w:w="7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hanging="897"/>
        <w:spacing w:after="0"/>
        <w:tabs>
          <w:tab w:leader="none" w:pos="9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GGREGATE AMOUNT BENEFICIALLY OWNED BY EACH REPORTING PERSON</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281,370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THE AGGREGATE AMOUNT IN ROW</w:t>
      </w:r>
      <w:r>
        <w:rPr>
          <w:rFonts w:ascii="Arial" w:cs="Arial" w:eastAsia="Arial" w:hAnsi="Arial"/>
          <w:sz w:val="17"/>
          <w:szCs w:val="17"/>
          <w:b w:val="1"/>
          <w:bCs w:val="1"/>
          <w:color w:val="auto"/>
        </w:rPr>
        <w:t xml:space="preserve"> (11) </w:t>
      </w:r>
      <w:r>
        <w:rPr>
          <w:rFonts w:ascii="Arial" w:cs="Arial" w:eastAsia="Arial" w:hAnsi="Arial"/>
          <w:sz w:val="11"/>
          <w:szCs w:val="11"/>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00" w:hanging="897"/>
        <w:spacing w:after="0"/>
        <w:tabs>
          <w:tab w:leader="none" w:pos="9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ERCENT OF CLASS REPRESENTED BY AMOUNT IN ROW</w:t>
      </w:r>
      <w:r>
        <w:rPr>
          <w:rFonts w:ascii="Arial" w:cs="Arial" w:eastAsia="Arial" w:hAnsi="Arial"/>
          <w:sz w:val="17"/>
          <w:szCs w:val="17"/>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YPE OF REPORTING PERSON</w:t>
      </w:r>
      <w:r>
        <w:rPr>
          <w:rFonts w:ascii="Arial" w:cs="Arial" w:eastAsia="Arial" w:hAnsi="Arial"/>
          <w:sz w:val="17"/>
          <w:szCs w:val="17"/>
          <w:b w:val="1"/>
          <w:bCs w:val="1"/>
          <w:color w:val="auto"/>
        </w:rPr>
        <w:t xml:space="preserve">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294640</wp:posOffset>
            </wp:positionV>
            <wp:extent cx="72529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7" w:lineRule="exact"/>
        <w:rPr>
          <w:sz w:val="20"/>
          <w:szCs w:val="20"/>
          <w:color w:val="auto"/>
        </w:rPr>
      </w:pPr>
    </w:p>
    <w:p>
      <w:pPr>
        <w:ind w:left="900" w:hanging="488"/>
        <w:spacing w:after="0"/>
        <w:tabs>
          <w:tab w:leader="none" w:pos="90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AMES OF REPORTING PERSONS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I.R.S. </w:t>
      </w:r>
      <w:r>
        <w:rPr>
          <w:rFonts w:ascii="Arial" w:cs="Arial" w:eastAsia="Arial" w:hAnsi="Arial"/>
          <w:sz w:val="11"/>
          <w:szCs w:val="11"/>
          <w:b w:val="1"/>
          <w:bCs w:val="1"/>
          <w:color w:val="auto"/>
        </w:rPr>
        <w:t>IDENTIFICATION NOS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OF ABOVE PERSONS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ENTITIES ONLY</w:t>
      </w:r>
      <w:r>
        <w:rPr>
          <w:rFonts w:ascii="Arial" w:cs="Arial" w:eastAsia="Arial" w:hAnsi="Arial"/>
          <w:sz w:val="17"/>
          <w:szCs w:val="17"/>
          <w:b w:val="1"/>
          <w:bCs w:val="1"/>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ind w:left="900"/>
              <w:spacing w:after="0"/>
              <w:rPr>
                <w:sz w:val="20"/>
                <w:szCs w:val="20"/>
                <w:color w:val="auto"/>
              </w:rPr>
            </w:pPr>
            <w:r>
              <w:rPr>
                <w:rFonts w:ascii="Arial" w:cs="Arial" w:eastAsia="Arial" w:hAnsi="Arial"/>
                <w:sz w:val="17"/>
                <w:szCs w:val="17"/>
                <w:b w:val="1"/>
                <w:bCs w:val="1"/>
                <w:color w:val="auto"/>
              </w:rPr>
              <w:t>Teton Advisors, Inc.</w:t>
            </w:r>
          </w:p>
        </w:tc>
        <w:tc>
          <w:tcPr>
            <w:tcW w:w="5040" w:type="dxa"/>
            <w:vAlign w:val="bottom"/>
          </w:tcPr>
          <w:p>
            <w:pPr>
              <w:ind w:left="3980"/>
              <w:spacing w:after="0"/>
              <w:rPr>
                <w:sz w:val="20"/>
                <w:szCs w:val="20"/>
                <w:color w:val="auto"/>
              </w:rPr>
            </w:pPr>
            <w:r>
              <w:rPr>
                <w:rFonts w:ascii="Arial" w:cs="Arial" w:eastAsia="Arial" w:hAnsi="Arial"/>
                <w:sz w:val="17"/>
                <w:szCs w:val="17"/>
                <w:b w:val="1"/>
                <w:bCs w:val="1"/>
                <w:color w:val="auto"/>
              </w:rPr>
              <w:t>I.D. N</w:t>
            </w:r>
            <w:r>
              <w:rPr>
                <w:rFonts w:ascii="Arial" w:cs="Arial" w:eastAsia="Arial" w:hAnsi="Arial"/>
                <w:sz w:val="11"/>
                <w:szCs w:val="11"/>
                <w:b w:val="1"/>
                <w:bCs w:val="1"/>
                <w:color w:val="auto"/>
              </w:rPr>
              <w:t>O</w:t>
            </w:r>
            <w:r>
              <w:rPr>
                <w:rFonts w:ascii="Arial" w:cs="Arial" w:eastAsia="Arial" w:hAnsi="Arial"/>
                <w:sz w:val="17"/>
                <w:szCs w:val="17"/>
                <w:b w:val="1"/>
                <w:bCs w:val="1"/>
                <w:color w:val="auto"/>
              </w:rPr>
              <w:t>. 13-</w:t>
            </w:r>
          </w:p>
        </w:tc>
      </w:tr>
      <w:tr>
        <w:trPr>
          <w:trHeight w:val="224"/>
        </w:trPr>
        <w:tc>
          <w:tcPr>
            <w:tcW w:w="6380" w:type="dxa"/>
            <w:vAlign w:val="bottom"/>
            <w:tcBorders>
              <w:bottom w:val="single" w:sz="8" w:color="auto"/>
            </w:tcBorders>
          </w:tcPr>
          <w:p>
            <w:pPr>
              <w:ind w:left="900"/>
              <w:spacing w:after="0"/>
              <w:rPr>
                <w:sz w:val="20"/>
                <w:szCs w:val="20"/>
                <w:color w:val="auto"/>
              </w:rPr>
            </w:pPr>
            <w:r>
              <w:rPr>
                <w:rFonts w:ascii="Arial" w:cs="Arial" w:eastAsia="Arial" w:hAnsi="Arial"/>
                <w:sz w:val="17"/>
                <w:szCs w:val="17"/>
                <w:b w:val="1"/>
                <w:bCs w:val="1"/>
                <w:color w:val="auto"/>
              </w:rPr>
              <w:t>4008049</w:t>
            </w:r>
          </w:p>
        </w:tc>
        <w:tc>
          <w:tcPr>
            <w:tcW w:w="5040" w:type="dxa"/>
            <w:vAlign w:val="bottom"/>
            <w:tcBorders>
              <w:bottom w:val="single" w:sz="8" w:color="auto"/>
            </w:tcBorders>
          </w:tcPr>
          <w:p>
            <w:pPr>
              <w:spacing w:after="0"/>
              <w:rPr>
                <w:sz w:val="19"/>
                <w:szCs w:val="19"/>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bl>
    <w:p>
      <w:pPr>
        <w:ind w:left="900" w:hanging="488"/>
        <w:spacing w:after="0"/>
        <w:tabs>
          <w:tab w:leader="none" w:pos="90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THE APPROPRIATE BOX IF A MEMBER OF A GROUP</w:t>
      </w:r>
      <w:r>
        <w:rPr>
          <w:rFonts w:ascii="Arial" w:cs="Arial" w:eastAsia="Arial" w:hAnsi="Arial"/>
          <w:sz w:val="17"/>
          <w:szCs w:val="17"/>
          <w:b w:val="1"/>
          <w:bCs w:val="1"/>
          <w:color w:val="auto"/>
        </w:rPr>
        <w:t xml:space="preserve"> (SEE INSTRUCTIONS) (a)</w:t>
      </w:r>
    </w:p>
    <w:p>
      <w:pPr>
        <w:spacing w:after="0" w:line="200" w:lineRule="exact"/>
        <w:rPr>
          <w:sz w:val="20"/>
          <w:szCs w:val="20"/>
          <w:color w:val="auto"/>
        </w:rPr>
      </w:pP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jc w:val="both"/>
        <w:ind w:left="900" w:right="7500" w:hanging="488"/>
        <w:spacing w:after="0" w:line="320" w:lineRule="auto"/>
        <w:tabs>
          <w:tab w:leader="none" w:pos="9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OURCE OF FUNDS</w:t>
      </w:r>
      <w:r>
        <w:rPr>
          <w:rFonts w:ascii="Arial" w:cs="Arial" w:eastAsia="Arial" w:hAnsi="Arial"/>
          <w:sz w:val="16"/>
          <w:szCs w:val="16"/>
          <w:b w:val="1"/>
          <w:bCs w:val="1"/>
          <w:color w:val="auto"/>
        </w:rPr>
        <w:t xml:space="preserve">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-307340</wp:posOffset>
            </wp:positionV>
            <wp:extent cx="72529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93345</wp:posOffset>
            </wp:positionV>
            <wp:extent cx="72529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60" w:lineRule="exact"/>
        <w:rPr>
          <w:sz w:val="20"/>
          <w:szCs w:val="20"/>
          <w:color w:val="auto"/>
        </w:rPr>
      </w:pPr>
    </w:p>
    <w:p>
      <w:pPr>
        <w:ind w:left="900" w:hanging="488"/>
        <w:spacing w:after="0"/>
        <w:tabs>
          <w:tab w:leader="none" w:pos="90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DISCLOSURE OF LEGAL PROCEEDINGS IS REQUIRED PURSUANT TO ITEMS</w:t>
      </w:r>
      <w:r>
        <w:rPr>
          <w:rFonts w:ascii="Arial" w:cs="Arial" w:eastAsia="Arial" w:hAnsi="Arial"/>
          <w:sz w:val="17"/>
          <w:szCs w:val="17"/>
          <w:b w:val="1"/>
          <w:bCs w:val="1"/>
          <w:color w:val="auto"/>
        </w:rPr>
        <w:t xml:space="preserve"> 2 (d)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529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00" w:hanging="488"/>
        <w:spacing w:after="0"/>
        <w:tabs>
          <w:tab w:leader="none" w:pos="9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 7</w:t>
            </w:r>
          </w:p>
        </w:tc>
        <w:tc>
          <w:tcPr>
            <w:tcW w:w="7560" w:type="dxa"/>
            <w:vAlign w:val="bottom"/>
            <w:tcBorders>
              <w:top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VOTING POWER</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ind w:left="180"/>
              <w:spacing w:after="0"/>
              <w:rPr>
                <w:sz w:val="20"/>
                <w:szCs w:val="20"/>
                <w:color w:val="auto"/>
              </w:rPr>
            </w:pPr>
            <w:r>
              <w:rPr>
                <w:rFonts w:ascii="Arial" w:cs="Arial" w:eastAsia="Arial" w:hAnsi="Arial"/>
                <w:sz w:val="17"/>
                <w:szCs w:val="17"/>
                <w:b w:val="1"/>
                <w:bCs w:val="1"/>
                <w:color w:val="auto"/>
              </w:rPr>
              <w:t>47,000</w:t>
            </w:r>
          </w:p>
        </w:tc>
        <w:tc>
          <w:tcPr>
            <w:tcW w:w="6820" w:type="dxa"/>
            <w:vAlign w:val="bottom"/>
          </w:tcPr>
          <w:p>
            <w:pPr>
              <w:ind w:left="140"/>
              <w:spacing w:after="0"/>
              <w:rPr>
                <w:sz w:val="20"/>
                <w:szCs w:val="20"/>
                <w:color w:val="auto"/>
              </w:rPr>
            </w:pPr>
            <w:r>
              <w:rPr>
                <w:rFonts w:ascii="Arial" w:cs="Arial" w:eastAsia="Arial" w:hAnsi="Arial"/>
                <w:sz w:val="17"/>
                <w:szCs w:val="17"/>
                <w:b w:val="1"/>
                <w:bCs w:val="1"/>
                <w:color w:val="auto"/>
              </w:rPr>
              <w:t>(Item 5)</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ENEFICIALLY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tcPr>
          <w:p>
            <w:pPr>
              <w:spacing w:after="0"/>
              <w:rPr>
                <w:sz w:val="19"/>
                <w:szCs w:val="19"/>
                <w:color w:val="auto"/>
              </w:rPr>
            </w:pPr>
          </w:p>
        </w:tc>
        <w:tc>
          <w:tcPr>
            <w:tcW w:w="6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b w:val="1"/>
                <w:bCs w:val="1"/>
                <w:color w:val="auto"/>
              </w:rPr>
              <w:t>: 8</w:t>
            </w:r>
          </w:p>
        </w:tc>
        <w:tc>
          <w:tcPr>
            <w:tcW w:w="7560" w:type="dxa"/>
            <w:vAlign w:val="bottom"/>
            <w:gridSpan w:val="2"/>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VOTING POWER</w:t>
            </w: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vMerge w:val="continue"/>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6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Y</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ACH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500" w:type="dxa"/>
            <w:vAlign w:val="bottom"/>
            <w:vMerge w:val="continue"/>
          </w:tcPr>
          <w:p>
            <w:pPr>
              <w:spacing w:after="0"/>
              <w:rPr>
                <w:sz w:val="8"/>
                <w:szCs w:val="8"/>
                <w:color w:val="auto"/>
              </w:rPr>
            </w:pPr>
          </w:p>
        </w:tc>
        <w:tc>
          <w:tcPr>
            <w:tcW w:w="360" w:type="dxa"/>
            <w:vAlign w:val="bottom"/>
            <w:gridSpan w:val="2"/>
            <w:vMerge w:val="restart"/>
          </w:tcPr>
          <w:p>
            <w:pPr>
              <w:spacing w:after="0" w:line="180" w:lineRule="exact"/>
              <w:rPr>
                <w:sz w:val="20"/>
                <w:szCs w:val="20"/>
                <w:color w:val="auto"/>
              </w:rPr>
            </w:pPr>
            <w:r>
              <w:rPr>
                <w:rFonts w:ascii="Arial" w:cs="Arial" w:eastAsia="Arial" w:hAnsi="Arial"/>
                <w:sz w:val="17"/>
                <w:szCs w:val="17"/>
                <w:b w:val="1"/>
                <w:bCs w:val="1"/>
                <w:color w:val="auto"/>
              </w:rPr>
              <w:t>: 9</w:t>
            </w:r>
          </w:p>
        </w:tc>
        <w:tc>
          <w:tcPr>
            <w:tcW w:w="7560" w:type="dxa"/>
            <w:vAlign w:val="bottom"/>
            <w:gridSpan w:val="2"/>
            <w:vMerge w:val="restart"/>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DISPOSITIVE POWER</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47,000</w:t>
            </w:r>
          </w:p>
        </w:tc>
        <w:tc>
          <w:tcPr>
            <w:tcW w:w="68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(Item 5)</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P</w:t>
            </w:r>
            <w:r>
              <w:rPr>
                <w:rFonts w:ascii="Arial" w:cs="Arial" w:eastAsia="Arial" w:hAnsi="Arial"/>
                <w:sz w:val="11"/>
                <w:szCs w:val="11"/>
                <w:b w:val="1"/>
                <w:bCs w:val="1"/>
                <w:color w:val="auto"/>
                <w:w w:val="98"/>
              </w:rPr>
              <w:t>ERSON</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tcPr>
          <w:p>
            <w:pPr>
              <w:spacing w:after="0"/>
              <w:rPr>
                <w:sz w:val="15"/>
                <w:szCs w:val="15"/>
                <w:color w:val="auto"/>
              </w:rPr>
            </w:pPr>
          </w:p>
        </w:tc>
        <w:tc>
          <w:tcPr>
            <w:tcW w:w="3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:10</w:t>
            </w:r>
          </w:p>
        </w:tc>
        <w:tc>
          <w:tcPr>
            <w:tcW w:w="7560" w:type="dxa"/>
            <w:vAlign w:val="bottom"/>
            <w:gridSpan w:val="2"/>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DISPOSITIVE POWER</w:t>
            </w:r>
          </w:p>
        </w:tc>
        <w:tc>
          <w:tcPr>
            <w:tcW w:w="0" w:type="dxa"/>
            <w:vAlign w:val="bottom"/>
          </w:tcPr>
          <w:p>
            <w:pPr>
              <w:spacing w:after="0"/>
              <w:rPr>
                <w:sz w:val="1"/>
                <w:szCs w:val="1"/>
                <w:color w:val="auto"/>
              </w:rPr>
            </w:pPr>
          </w:p>
        </w:tc>
      </w:tr>
      <w:tr>
        <w:trPr>
          <w:trHeight w:val="225"/>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6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vMerge w:val="continue"/>
          </w:tcPr>
          <w:p>
            <w:pPr>
              <w:spacing w:after="0"/>
              <w:rPr>
                <w:sz w:val="18"/>
                <w:szCs w:val="18"/>
                <w:color w:val="auto"/>
              </w:rPr>
            </w:pPr>
          </w:p>
        </w:tc>
        <w:tc>
          <w:tcPr>
            <w:tcW w:w="6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2529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 w:lineRule="exact"/>
        <w:rPr>
          <w:sz w:val="20"/>
          <w:szCs w:val="20"/>
          <w:color w:val="auto"/>
        </w:rPr>
      </w:pPr>
    </w:p>
    <w:p>
      <w:pPr>
        <w:ind w:left="900" w:hanging="897"/>
        <w:spacing w:after="0"/>
        <w:tabs>
          <w:tab w:leader="none" w:pos="90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98" w:lineRule="exact"/>
        <w:rPr>
          <w:sz w:val="20"/>
          <w:szCs w:val="20"/>
          <w:color w:val="auto"/>
        </w:rPr>
      </w:pPr>
    </w:p>
    <w:p>
      <w:pPr>
        <w:ind w:left="900"/>
        <w:spacing w:after="0"/>
        <w:tabs>
          <w:tab w:leader="none" w:pos="1580" w:val="left"/>
        </w:tabs>
        <w:rPr>
          <w:sz w:val="20"/>
          <w:szCs w:val="20"/>
          <w:color w:val="auto"/>
        </w:rPr>
      </w:pPr>
      <w:r>
        <w:rPr>
          <w:rFonts w:ascii="Arial" w:cs="Arial" w:eastAsia="Arial" w:hAnsi="Arial"/>
          <w:sz w:val="17"/>
          <w:szCs w:val="17"/>
          <w:b w:val="1"/>
          <w:bCs w:val="1"/>
          <w:color w:val="auto"/>
        </w:rPr>
        <w:t>47,000</w:t>
        <w:tab/>
        <w:t>(I</w:t>
      </w:r>
      <w:r>
        <w:rPr>
          <w:rFonts w:ascii="Arial" w:cs="Arial" w:eastAsia="Arial" w:hAnsi="Arial"/>
          <w:sz w:val="11"/>
          <w:szCs w:val="11"/>
          <w:b w:val="1"/>
          <w:bCs w:val="1"/>
          <w:color w:val="auto"/>
        </w:rPr>
        <w:t>TEM</w:t>
      </w:r>
      <w:r>
        <w:rPr>
          <w:rFonts w:ascii="Arial" w:cs="Arial" w:eastAsia="Arial" w:hAnsi="Arial"/>
          <w:sz w:val="17"/>
          <w:szCs w:val="17"/>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THE AGGREGATE AMOUNT IN ROW</w:t>
      </w:r>
      <w:r>
        <w:rPr>
          <w:rFonts w:ascii="Arial" w:cs="Arial" w:eastAsia="Arial" w:hAnsi="Arial"/>
          <w:sz w:val="17"/>
          <w:szCs w:val="17"/>
          <w:b w:val="1"/>
          <w:bCs w:val="1"/>
          <w:color w:val="auto"/>
        </w:rPr>
        <w:t xml:space="preserve"> (11) </w:t>
      </w:r>
      <w:r>
        <w:rPr>
          <w:rFonts w:ascii="Arial" w:cs="Arial" w:eastAsia="Arial" w:hAnsi="Arial"/>
          <w:sz w:val="11"/>
          <w:szCs w:val="11"/>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00" w:hanging="897"/>
        <w:spacing w:after="0"/>
        <w:tabs>
          <w:tab w:leader="none" w:pos="90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ERCENT OF CLASS REPRESENTED BY AMOUNT IN ROW</w:t>
      </w:r>
      <w:r>
        <w:rPr>
          <w:rFonts w:ascii="Arial" w:cs="Arial" w:eastAsia="Arial" w:hAnsi="Arial"/>
          <w:sz w:val="17"/>
          <w:szCs w:val="17"/>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YPE OF REPORTING PERSON</w:t>
      </w:r>
      <w:r>
        <w:rPr>
          <w:rFonts w:ascii="Arial" w:cs="Arial" w:eastAsia="Arial" w:hAnsi="Arial"/>
          <w:sz w:val="17"/>
          <w:szCs w:val="17"/>
          <w:b w:val="1"/>
          <w:bCs w:val="1"/>
          <w:color w:val="auto"/>
        </w:rPr>
        <w:t xml:space="preserve">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294640</wp:posOffset>
            </wp:positionV>
            <wp:extent cx="72529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7" w:lineRule="exact"/>
        <w:rPr>
          <w:sz w:val="20"/>
          <w:szCs w:val="20"/>
          <w:color w:val="auto"/>
        </w:rPr>
      </w:pPr>
    </w:p>
    <w:p>
      <w:pPr>
        <w:ind w:left="900" w:hanging="488"/>
        <w:spacing w:after="0"/>
        <w:tabs>
          <w:tab w:leader="none" w:pos="9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AMES OF REPORTING PERSONS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I.R.S. </w:t>
      </w:r>
      <w:r>
        <w:rPr>
          <w:rFonts w:ascii="Arial" w:cs="Arial" w:eastAsia="Arial" w:hAnsi="Arial"/>
          <w:sz w:val="11"/>
          <w:szCs w:val="11"/>
          <w:b w:val="1"/>
          <w:bCs w:val="1"/>
          <w:color w:val="auto"/>
        </w:rPr>
        <w:t>IDENTIFICATION NOS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OF ABOVE PERSONS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ENTITIES ONLY</w:t>
      </w:r>
      <w:r>
        <w:rPr>
          <w:rFonts w:ascii="Arial" w:cs="Arial" w:eastAsia="Arial" w:hAnsi="Arial"/>
          <w:sz w:val="17"/>
          <w:szCs w:val="17"/>
          <w:b w:val="1"/>
          <w:bCs w:val="1"/>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ind w:left="900"/>
              <w:spacing w:after="0"/>
              <w:rPr>
                <w:sz w:val="20"/>
                <w:szCs w:val="20"/>
                <w:color w:val="auto"/>
              </w:rPr>
            </w:pPr>
            <w:r>
              <w:rPr>
                <w:rFonts w:ascii="Arial" w:cs="Arial" w:eastAsia="Arial" w:hAnsi="Arial"/>
                <w:sz w:val="17"/>
                <w:szCs w:val="17"/>
                <w:b w:val="1"/>
                <w:bCs w:val="1"/>
                <w:color w:val="auto"/>
              </w:rPr>
              <w:t>GGCP, Inc.</w:t>
            </w:r>
          </w:p>
        </w:tc>
        <w:tc>
          <w:tcPr>
            <w:tcW w:w="7860" w:type="dxa"/>
            <w:vAlign w:val="bottom"/>
          </w:tcPr>
          <w:p>
            <w:pPr>
              <w:jc w:val="right"/>
              <w:ind w:right="3434"/>
              <w:spacing w:after="0"/>
              <w:rPr>
                <w:sz w:val="20"/>
                <w:szCs w:val="20"/>
                <w:color w:val="auto"/>
              </w:rPr>
            </w:pPr>
            <w:r>
              <w:rPr>
                <w:rFonts w:ascii="Arial" w:cs="Arial" w:eastAsia="Arial" w:hAnsi="Arial"/>
                <w:sz w:val="17"/>
                <w:szCs w:val="17"/>
                <w:b w:val="1"/>
                <w:bCs w:val="1"/>
                <w:color w:val="auto"/>
              </w:rPr>
              <w:t>&amp;  #</w:t>
            </w:r>
          </w:p>
        </w:tc>
      </w:tr>
      <w:tr>
        <w:trPr>
          <w:trHeight w:val="224"/>
        </w:trPr>
        <w:tc>
          <w:tcPr>
            <w:tcW w:w="3560" w:type="dxa"/>
            <w:vAlign w:val="bottom"/>
            <w:tcBorders>
              <w:bottom w:val="single" w:sz="8" w:color="auto"/>
            </w:tcBorders>
          </w:tcPr>
          <w:p>
            <w:pPr>
              <w:ind w:left="900"/>
              <w:spacing w:after="0"/>
              <w:rPr>
                <w:sz w:val="20"/>
                <w:szCs w:val="20"/>
                <w:color w:val="auto"/>
              </w:rPr>
            </w:pPr>
            <w:r>
              <w:rPr>
                <w:rFonts w:ascii="Arial" w:cs="Arial" w:eastAsia="Arial" w:hAnsi="Arial"/>
                <w:sz w:val="17"/>
                <w:szCs w:val="17"/>
                <w:b w:val="1"/>
                <w:bCs w:val="1"/>
                <w:color w:val="auto"/>
              </w:rPr>
              <w:t>1  6  0  ;</w:t>
            </w:r>
          </w:p>
        </w:tc>
        <w:tc>
          <w:tcPr>
            <w:tcW w:w="7860" w:type="dxa"/>
            <w:vAlign w:val="bottom"/>
            <w:tcBorders>
              <w:bottom w:val="single" w:sz="8" w:color="auto"/>
            </w:tcBorders>
          </w:tcPr>
          <w:p>
            <w:pPr>
              <w:jc w:val="right"/>
              <w:ind w:right="4494"/>
              <w:spacing w:after="0"/>
              <w:rPr>
                <w:sz w:val="20"/>
                <w:szCs w:val="20"/>
                <w:color w:val="auto"/>
              </w:rPr>
            </w:pPr>
            <w:r>
              <w:rPr>
                <w:rFonts w:ascii="Arial" w:cs="Arial" w:eastAsia="Arial" w:hAnsi="Arial"/>
                <w:sz w:val="17"/>
                <w:szCs w:val="17"/>
                <w:b w:val="1"/>
                <w:bCs w:val="1"/>
                <w:color w:val="auto"/>
              </w:rPr>
              <w:t>I.D. N</w:t>
            </w:r>
            <w:r>
              <w:rPr>
                <w:rFonts w:ascii="Arial" w:cs="Arial" w:eastAsia="Arial" w:hAnsi="Arial"/>
                <w:sz w:val="11"/>
                <w:szCs w:val="11"/>
                <w:b w:val="1"/>
                <w:bCs w:val="1"/>
                <w:color w:val="auto"/>
              </w:rPr>
              <w:t>O</w:t>
            </w:r>
            <w:r>
              <w:rPr>
                <w:rFonts w:ascii="Arial" w:cs="Arial" w:eastAsia="Arial" w:hAnsi="Arial"/>
                <w:sz w:val="17"/>
                <w:szCs w:val="17"/>
                <w:b w:val="1"/>
                <w:bCs w:val="1"/>
                <w:color w:val="auto"/>
              </w:rPr>
              <w:t>. 13-3056041</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r>
    </w:tbl>
    <w:p>
      <w:pPr>
        <w:ind w:left="900" w:hanging="488"/>
        <w:spacing w:after="0"/>
        <w:tabs>
          <w:tab w:leader="none" w:pos="90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THE APPROPRIATE BOX IF A MEMBER OF A GROUP</w:t>
      </w:r>
      <w:r>
        <w:rPr>
          <w:rFonts w:ascii="Arial" w:cs="Arial" w:eastAsia="Arial" w:hAnsi="Arial"/>
          <w:sz w:val="17"/>
          <w:szCs w:val="17"/>
          <w:b w:val="1"/>
          <w:bCs w:val="1"/>
          <w:color w:val="auto"/>
        </w:rPr>
        <w:t xml:space="preserve"> (SEE INSTRUCTIONS) (a)</w:t>
      </w:r>
    </w:p>
    <w:p>
      <w:pPr>
        <w:spacing w:after="0" w:line="200" w:lineRule="exact"/>
        <w:rPr>
          <w:sz w:val="20"/>
          <w:szCs w:val="20"/>
          <w:color w:val="auto"/>
        </w:rPr>
      </w:pP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Source of funds (SEE INSTRUCTIONS)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2529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2" w:lineRule="exact"/>
        <w:rPr>
          <w:sz w:val="20"/>
          <w:szCs w:val="20"/>
          <w:color w:val="auto"/>
        </w:rPr>
      </w:pPr>
    </w:p>
    <w:p>
      <w:pPr>
        <w:ind w:left="900" w:hanging="488"/>
        <w:spacing w:after="0"/>
        <w:tabs>
          <w:tab w:leader="none" w:pos="90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DISCLOSURE OF LEGAL PROCEEDINGS IS REQUIRED PURSUANT TO ITEMS</w:t>
      </w:r>
      <w:r>
        <w:rPr>
          <w:rFonts w:ascii="Arial" w:cs="Arial" w:eastAsia="Arial" w:hAnsi="Arial"/>
          <w:sz w:val="17"/>
          <w:szCs w:val="17"/>
          <w:b w:val="1"/>
          <w:bCs w:val="1"/>
          <w:color w:val="auto"/>
        </w:rPr>
        <w:t xml:space="preserve"> 2 (d)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529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00" w:hanging="488"/>
        <w:spacing w:after="0"/>
        <w:tabs>
          <w:tab w:leader="none" w:pos="90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 7</w:t>
            </w:r>
          </w:p>
        </w:tc>
        <w:tc>
          <w:tcPr>
            <w:tcW w:w="756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VOTING POWER</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ENEFICIALLY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b w:val="1"/>
                <w:bCs w:val="1"/>
                <w:color w:val="auto"/>
              </w:rPr>
              <w:t>: 8</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VOTING POWER</w:t>
            </w: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vMerge w:val="continue"/>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Y</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ACH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500" w:type="dxa"/>
            <w:vAlign w:val="bottom"/>
            <w:vMerge w:val="continue"/>
          </w:tcPr>
          <w:p>
            <w:pPr>
              <w:spacing w:after="0"/>
              <w:rPr>
                <w:sz w:val="8"/>
                <w:szCs w:val="8"/>
                <w:color w:val="auto"/>
              </w:rPr>
            </w:pPr>
          </w:p>
        </w:tc>
        <w:tc>
          <w:tcPr>
            <w:tcW w:w="360" w:type="dxa"/>
            <w:vAlign w:val="bottom"/>
            <w:gridSpan w:val="2"/>
            <w:vMerge w:val="restart"/>
          </w:tcPr>
          <w:p>
            <w:pPr>
              <w:spacing w:after="0" w:line="180" w:lineRule="exact"/>
              <w:rPr>
                <w:sz w:val="20"/>
                <w:szCs w:val="20"/>
                <w:color w:val="auto"/>
              </w:rPr>
            </w:pPr>
            <w:r>
              <w:rPr>
                <w:rFonts w:ascii="Arial" w:cs="Arial" w:eastAsia="Arial" w:hAnsi="Arial"/>
                <w:sz w:val="17"/>
                <w:szCs w:val="17"/>
                <w:b w:val="1"/>
                <w:bCs w:val="1"/>
                <w:color w:val="auto"/>
              </w:rPr>
              <w:t>: 9</w:t>
            </w:r>
          </w:p>
        </w:tc>
        <w:tc>
          <w:tcPr>
            <w:tcW w:w="7560" w:type="dxa"/>
            <w:vAlign w:val="bottom"/>
            <w:vMerge w:val="restart"/>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DISPOSITIVE POWER</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P</w:t>
            </w:r>
            <w:r>
              <w:rPr>
                <w:rFonts w:ascii="Arial" w:cs="Arial" w:eastAsia="Arial" w:hAnsi="Arial"/>
                <w:sz w:val="11"/>
                <w:szCs w:val="11"/>
                <w:b w:val="1"/>
                <w:bCs w:val="1"/>
                <w:color w:val="auto"/>
                <w:w w:val="98"/>
              </w:rPr>
              <w:t>ERSON</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tcPr>
          <w:p>
            <w:pPr>
              <w:spacing w:after="0"/>
              <w:rPr>
                <w:sz w:val="15"/>
                <w:szCs w:val="15"/>
                <w:color w:val="auto"/>
              </w:rPr>
            </w:pPr>
          </w:p>
        </w:tc>
        <w:tc>
          <w:tcPr>
            <w:tcW w:w="3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:10</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DISPOSITIVE POWER</w:t>
            </w:r>
          </w:p>
        </w:tc>
        <w:tc>
          <w:tcPr>
            <w:tcW w:w="0" w:type="dxa"/>
            <w:vAlign w:val="bottom"/>
          </w:tcPr>
          <w:p>
            <w:pPr>
              <w:spacing w:after="0"/>
              <w:rPr>
                <w:sz w:val="1"/>
                <w:szCs w:val="1"/>
                <w:color w:val="auto"/>
              </w:rPr>
            </w:pPr>
          </w:p>
        </w:tc>
      </w:tr>
      <w:tr>
        <w:trPr>
          <w:trHeight w:val="225"/>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3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w:t>
            </w:r>
          </w:p>
        </w:tc>
        <w:tc>
          <w:tcPr>
            <w:tcW w:w="7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right="5900" w:hanging="897"/>
        <w:spacing w:after="0" w:line="518" w:lineRule="auto"/>
        <w:tabs>
          <w:tab w:leader="none" w:pos="9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GGREGATE AMOUNT BENEFICIALLY OWNED BY EACH REPORTING PERSON</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ONE</w:t>
      </w:r>
    </w:p>
    <w:p>
      <w:pPr>
        <w:spacing w:after="0" w:line="15" w:lineRule="exact"/>
        <w:rPr>
          <w:rFonts w:ascii="Arial" w:cs="Arial" w:eastAsia="Arial" w:hAnsi="Arial"/>
          <w:sz w:val="17"/>
          <w:szCs w:val="17"/>
          <w:b w:val="1"/>
          <w:bCs w:val="1"/>
          <w:color w:val="auto"/>
        </w:rPr>
      </w:pPr>
    </w:p>
    <w:p>
      <w:pPr>
        <w:ind w:left="900" w:hanging="897"/>
        <w:spacing w:after="0"/>
        <w:tabs>
          <w:tab w:leader="none" w:pos="9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THE AGGREGATE AMOUNT IN ROW</w:t>
      </w:r>
      <w:r>
        <w:rPr>
          <w:rFonts w:ascii="Arial" w:cs="Arial" w:eastAsia="Arial" w:hAnsi="Arial"/>
          <w:sz w:val="17"/>
          <w:szCs w:val="17"/>
          <w:b w:val="1"/>
          <w:bCs w:val="1"/>
          <w:color w:val="auto"/>
        </w:rPr>
        <w:t xml:space="preserve"> (11) </w:t>
      </w:r>
      <w:r>
        <w:rPr>
          <w:rFonts w:ascii="Arial" w:cs="Arial" w:eastAsia="Arial" w:hAnsi="Arial"/>
          <w:sz w:val="11"/>
          <w:szCs w:val="11"/>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29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00" w:hanging="897"/>
        <w:spacing w:after="0"/>
        <w:tabs>
          <w:tab w:leader="none" w:pos="9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ERCENT OF CLASS REPRESENTED BY AMOUNT IN ROW</w:t>
      </w:r>
      <w:r>
        <w:rPr>
          <w:rFonts w:ascii="Arial" w:cs="Arial" w:eastAsia="Arial" w:hAnsi="Arial"/>
          <w:sz w:val="17"/>
          <w:szCs w:val="17"/>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YPE OF REPORTING PERSON</w:t>
      </w:r>
      <w:r>
        <w:rPr>
          <w:rFonts w:ascii="Arial" w:cs="Arial" w:eastAsia="Arial" w:hAnsi="Arial"/>
          <w:sz w:val="17"/>
          <w:szCs w:val="17"/>
          <w:b w:val="1"/>
          <w:bCs w:val="1"/>
          <w:color w:val="auto"/>
        </w:rPr>
        <w:t xml:space="preserve">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7252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CUSIP No. 420261109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1</w:t>
            </w:r>
          </w:p>
        </w:tc>
        <w:tc>
          <w:tcPr>
            <w:tcW w:w="6740" w:type="dxa"/>
            <w:vAlign w:val="bottom"/>
            <w:tcBorders>
              <w:top w:val="single" w:sz="8" w:color="auto"/>
            </w:tcBorders>
          </w:tcPr>
          <w:p>
            <w:pPr>
              <w:ind w:left="20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AMES OF REPORTING PERSONS</w:t>
            </w:r>
          </w:p>
        </w:tc>
        <w:tc>
          <w:tcPr>
            <w:tcW w:w="3980" w:type="dxa"/>
            <w:vAlign w:val="bottom"/>
            <w:tcBorders>
              <w:top w:val="single" w:sz="8" w:color="auto"/>
            </w:tcBorders>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7"/>
                <w:szCs w:val="17"/>
                <w:b w:val="1"/>
                <w:bCs w:val="1"/>
                <w:color w:val="auto"/>
              </w:rPr>
              <w:t xml:space="preserve">I.R.S. </w:t>
            </w:r>
            <w:r>
              <w:rPr>
                <w:rFonts w:ascii="Arial" w:cs="Arial" w:eastAsia="Arial" w:hAnsi="Arial"/>
                <w:sz w:val="11"/>
                <w:szCs w:val="11"/>
                <w:b w:val="1"/>
                <w:bCs w:val="1"/>
                <w:color w:val="auto"/>
              </w:rPr>
              <w:t>IDENTIFICATION NOS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OF ABOVE PERSONS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ENTITIES ONLY</w:t>
            </w:r>
            <w:r>
              <w:rPr>
                <w:rFonts w:ascii="Arial" w:cs="Arial" w:eastAsia="Arial" w:hAnsi="Arial"/>
                <w:sz w:val="17"/>
                <w:szCs w:val="17"/>
                <w:b w:val="1"/>
                <w:bCs w:val="1"/>
                <w:color w:val="auto"/>
              </w:rPr>
              <w:t>)</w:t>
            </w:r>
          </w:p>
        </w:tc>
        <w:tc>
          <w:tcPr>
            <w:tcW w:w="398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7"/>
                <w:szCs w:val="17"/>
                <w:b w:val="1"/>
                <w:bCs w:val="1"/>
                <w:color w:val="auto"/>
              </w:rPr>
              <w:t>GAMCO Investors,</w:t>
            </w:r>
          </w:p>
        </w:tc>
        <w:tc>
          <w:tcPr>
            <w:tcW w:w="3980" w:type="dxa"/>
            <w:vAlign w:val="bottom"/>
          </w:tcPr>
          <w:p>
            <w:pPr>
              <w:spacing w:after="0"/>
              <w:rPr>
                <w:sz w:val="17"/>
                <w:szCs w:val="17"/>
                <w:color w:val="auto"/>
              </w:rPr>
            </w:pPr>
          </w:p>
        </w:tc>
      </w:tr>
      <w:tr>
        <w:trPr>
          <w:trHeight w:val="224"/>
        </w:trPr>
        <w:tc>
          <w:tcPr>
            <w:tcW w:w="700" w:type="dxa"/>
            <w:vAlign w:val="bottom"/>
            <w:tcBorders>
              <w:bottom w:val="single" w:sz="8" w:color="auto"/>
            </w:tcBorders>
          </w:tcPr>
          <w:p>
            <w:pPr>
              <w:spacing w:after="0"/>
              <w:rPr>
                <w:sz w:val="19"/>
                <w:szCs w:val="19"/>
                <w:color w:val="auto"/>
              </w:rPr>
            </w:pPr>
          </w:p>
        </w:tc>
        <w:tc>
          <w:tcPr>
            <w:tcW w:w="67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Inc.</w:t>
            </w:r>
          </w:p>
        </w:tc>
        <w:tc>
          <w:tcPr>
            <w:tcW w:w="3980" w:type="dxa"/>
            <w:vAlign w:val="bottom"/>
            <w:tcBorders>
              <w:bottom w:val="single" w:sz="8" w:color="auto"/>
            </w:tcBorders>
          </w:tcPr>
          <w:p>
            <w:pPr>
              <w:ind w:left="2460"/>
              <w:spacing w:after="0"/>
              <w:rPr>
                <w:sz w:val="20"/>
                <w:szCs w:val="20"/>
                <w:color w:val="auto"/>
              </w:rPr>
            </w:pPr>
            <w:r>
              <w:rPr>
                <w:rFonts w:ascii="Arial" w:cs="Arial" w:eastAsia="Arial" w:hAnsi="Arial"/>
                <w:sz w:val="17"/>
                <w:szCs w:val="17"/>
                <w:b w:val="1"/>
                <w:bCs w:val="1"/>
                <w:color w:val="auto"/>
                <w:w w:val="98"/>
              </w:rPr>
              <w:t>I.D. N</w:t>
            </w:r>
            <w:r>
              <w:rPr>
                <w:rFonts w:ascii="Arial" w:cs="Arial" w:eastAsia="Arial" w:hAnsi="Arial"/>
                <w:sz w:val="11"/>
                <w:szCs w:val="11"/>
                <w:b w:val="1"/>
                <w:bCs w:val="1"/>
                <w:color w:val="auto"/>
                <w:w w:val="98"/>
              </w:rPr>
              <w:t>O</w:t>
            </w:r>
            <w:r>
              <w:rPr>
                <w:rFonts w:ascii="Arial" w:cs="Arial" w:eastAsia="Arial" w:hAnsi="Arial"/>
                <w:sz w:val="17"/>
                <w:szCs w:val="17"/>
                <w:b w:val="1"/>
                <w:bCs w:val="1"/>
                <w:color w:val="auto"/>
                <w:w w:val="98"/>
              </w:rPr>
              <w:t>. 13-4007862</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bl>
    <w:p>
      <w:pPr>
        <w:ind w:left="9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THE APPROPRIATE BOX IF A MEMBER OF A GROUP</w:t>
      </w:r>
      <w:r>
        <w:rPr>
          <w:rFonts w:ascii="Arial" w:cs="Arial" w:eastAsia="Arial" w:hAnsi="Arial"/>
          <w:sz w:val="17"/>
          <w:szCs w:val="17"/>
          <w:b w:val="1"/>
          <w:bCs w:val="1"/>
          <w:color w:val="auto"/>
        </w:rPr>
        <w:t xml:space="preserve"> (SEE INSTRUCTIONS) (a)</w:t>
      </w:r>
    </w:p>
    <w:p>
      <w:pPr>
        <w:spacing w:after="0" w:line="200" w:lineRule="exact"/>
        <w:rPr>
          <w:sz w:val="20"/>
          <w:szCs w:val="20"/>
          <w:color w:val="auto"/>
        </w:rPr>
      </w:pP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Source of funds (SEE INSTRUCTIONS)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2529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2" w:lineRule="exact"/>
        <w:rPr>
          <w:sz w:val="20"/>
          <w:szCs w:val="20"/>
          <w:color w:val="auto"/>
        </w:rPr>
      </w:pPr>
    </w:p>
    <w:p>
      <w:pPr>
        <w:ind w:left="900" w:hanging="488"/>
        <w:spacing w:after="0"/>
        <w:tabs>
          <w:tab w:leader="none" w:pos="90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DISCLOSURE OF LEGAL PROCEEDINGS IS REQUIRED PURSUANT TO ITEMS</w:t>
      </w:r>
      <w:r>
        <w:rPr>
          <w:rFonts w:ascii="Arial" w:cs="Arial" w:eastAsia="Arial" w:hAnsi="Arial"/>
          <w:sz w:val="17"/>
          <w:szCs w:val="17"/>
          <w:b w:val="1"/>
          <w:bCs w:val="1"/>
          <w:color w:val="auto"/>
        </w:rPr>
        <w:t xml:space="preserve"> 2 (d)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529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00" w:hanging="488"/>
        <w:spacing w:after="0"/>
        <w:tabs>
          <w:tab w:leader="none" w:pos="9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 7</w:t>
            </w:r>
          </w:p>
        </w:tc>
        <w:tc>
          <w:tcPr>
            <w:tcW w:w="756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VOTING POWER</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ENEFICIALLY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b w:val="1"/>
                <w:bCs w:val="1"/>
                <w:color w:val="auto"/>
              </w:rPr>
              <w:t>: 8</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VOTING POWER</w:t>
            </w: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vMerge w:val="continue"/>
          </w:tcPr>
          <w:p>
            <w:pPr>
              <w:spacing w:after="0"/>
              <w:rPr>
                <w:sz w:val="17"/>
                <w:szCs w:val="17"/>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Y</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ACH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500" w:type="dxa"/>
            <w:vAlign w:val="bottom"/>
            <w:vMerge w:val="continue"/>
          </w:tcPr>
          <w:p>
            <w:pPr>
              <w:spacing w:after="0"/>
              <w:rPr>
                <w:sz w:val="8"/>
                <w:szCs w:val="8"/>
                <w:color w:val="auto"/>
              </w:rPr>
            </w:pPr>
          </w:p>
        </w:tc>
        <w:tc>
          <w:tcPr>
            <w:tcW w:w="360" w:type="dxa"/>
            <w:vAlign w:val="bottom"/>
            <w:gridSpan w:val="2"/>
            <w:vMerge w:val="restart"/>
          </w:tcPr>
          <w:p>
            <w:pPr>
              <w:spacing w:after="0" w:line="180" w:lineRule="exact"/>
              <w:rPr>
                <w:sz w:val="20"/>
                <w:szCs w:val="20"/>
                <w:color w:val="auto"/>
              </w:rPr>
            </w:pPr>
            <w:r>
              <w:rPr>
                <w:rFonts w:ascii="Arial" w:cs="Arial" w:eastAsia="Arial" w:hAnsi="Arial"/>
                <w:sz w:val="17"/>
                <w:szCs w:val="17"/>
                <w:b w:val="1"/>
                <w:bCs w:val="1"/>
                <w:color w:val="auto"/>
              </w:rPr>
              <w:t>: 9</w:t>
            </w:r>
          </w:p>
        </w:tc>
        <w:tc>
          <w:tcPr>
            <w:tcW w:w="7560" w:type="dxa"/>
            <w:vAlign w:val="bottom"/>
            <w:vMerge w:val="restart"/>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DISPOSITIVE POWER</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7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P</w:t>
            </w:r>
            <w:r>
              <w:rPr>
                <w:rFonts w:ascii="Arial" w:cs="Arial" w:eastAsia="Arial" w:hAnsi="Arial"/>
                <w:sz w:val="11"/>
                <w:szCs w:val="11"/>
                <w:b w:val="1"/>
                <w:bCs w:val="1"/>
                <w:color w:val="auto"/>
                <w:w w:val="98"/>
              </w:rPr>
              <w:t>ERSON</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tcPr>
          <w:p>
            <w:pPr>
              <w:spacing w:after="0"/>
              <w:rPr>
                <w:sz w:val="15"/>
                <w:szCs w:val="15"/>
                <w:color w:val="auto"/>
              </w:rPr>
            </w:pPr>
          </w:p>
        </w:tc>
        <w:tc>
          <w:tcPr>
            <w:tcW w:w="3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:10</w:t>
            </w:r>
          </w:p>
        </w:tc>
        <w:tc>
          <w:tcPr>
            <w:tcW w:w="7560" w:type="dxa"/>
            <w:vAlign w:val="bottom"/>
          </w:tcPr>
          <w:p>
            <w:pPr>
              <w:ind w:left="140"/>
              <w:spacing w:after="0" w:line="180" w:lineRule="exact"/>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HARED DISPOSITIVE POWER</w:t>
            </w:r>
          </w:p>
        </w:tc>
        <w:tc>
          <w:tcPr>
            <w:tcW w:w="0" w:type="dxa"/>
            <w:vAlign w:val="bottom"/>
          </w:tcPr>
          <w:p>
            <w:pPr>
              <w:spacing w:after="0"/>
              <w:rPr>
                <w:sz w:val="1"/>
                <w:szCs w:val="1"/>
                <w:color w:val="auto"/>
              </w:rPr>
            </w:pPr>
          </w:p>
        </w:tc>
      </w:tr>
      <w:tr>
        <w:trPr>
          <w:trHeight w:val="225"/>
        </w:trPr>
        <w:tc>
          <w:tcPr>
            <w:tcW w:w="3500" w:type="dxa"/>
            <w:vAlign w:val="bottom"/>
          </w:tcPr>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3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w:t>
            </w:r>
          </w:p>
        </w:tc>
        <w:tc>
          <w:tcPr>
            <w:tcW w:w="7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w:t>
            </w:r>
          </w:p>
        </w:tc>
        <w:tc>
          <w:tcPr>
            <w:tcW w:w="7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right="5900" w:hanging="897"/>
        <w:spacing w:after="0" w:line="518" w:lineRule="auto"/>
        <w:tabs>
          <w:tab w:leader="none" w:pos="90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GGREGATE AMOUNT BENEFICIALLY OWNED BY EACH REPORTING PERSON</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ONE</w:t>
      </w:r>
    </w:p>
    <w:p>
      <w:pPr>
        <w:spacing w:after="0" w:line="15" w:lineRule="exact"/>
        <w:rPr>
          <w:rFonts w:ascii="Arial" w:cs="Arial" w:eastAsia="Arial" w:hAnsi="Arial"/>
          <w:sz w:val="17"/>
          <w:szCs w:val="17"/>
          <w:b w:val="1"/>
          <w:bCs w:val="1"/>
          <w:color w:val="auto"/>
        </w:rPr>
      </w:pPr>
    </w:p>
    <w:p>
      <w:pPr>
        <w:ind w:left="900" w:hanging="897"/>
        <w:spacing w:after="0"/>
        <w:tabs>
          <w:tab w:leader="none" w:pos="90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THE AGGREGATE AMOUNT IN ROW</w:t>
      </w:r>
      <w:r>
        <w:rPr>
          <w:rFonts w:ascii="Arial" w:cs="Arial" w:eastAsia="Arial" w:hAnsi="Arial"/>
          <w:sz w:val="17"/>
          <w:szCs w:val="17"/>
          <w:b w:val="1"/>
          <w:bCs w:val="1"/>
          <w:color w:val="auto"/>
        </w:rPr>
        <w:t xml:space="preserve"> (11) </w:t>
      </w:r>
      <w:r>
        <w:rPr>
          <w:rFonts w:ascii="Arial" w:cs="Arial" w:eastAsia="Arial" w:hAnsi="Arial"/>
          <w:sz w:val="11"/>
          <w:szCs w:val="11"/>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29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00" w:hanging="897"/>
        <w:spacing w:after="0"/>
        <w:tabs>
          <w:tab w:leader="none" w:pos="90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ERCENT OF CLASS REPRESENTED BY AMOUNT IN ROW</w:t>
      </w:r>
      <w:r>
        <w:rPr>
          <w:rFonts w:ascii="Arial" w:cs="Arial" w:eastAsia="Arial" w:hAnsi="Arial"/>
          <w:sz w:val="17"/>
          <w:szCs w:val="17"/>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YPE OF REPORTING PERSON</w:t>
      </w:r>
      <w:r>
        <w:rPr>
          <w:rFonts w:ascii="Arial" w:cs="Arial" w:eastAsia="Arial" w:hAnsi="Arial"/>
          <w:sz w:val="17"/>
          <w:szCs w:val="17"/>
          <w:b w:val="1"/>
          <w:bCs w:val="1"/>
          <w:color w:val="auto"/>
        </w:rPr>
        <w:t xml:space="preserve">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294640</wp:posOffset>
            </wp:positionV>
            <wp:extent cx="72529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7" w:lineRule="exact"/>
        <w:rPr>
          <w:sz w:val="20"/>
          <w:szCs w:val="20"/>
          <w:color w:val="auto"/>
        </w:rPr>
      </w:pPr>
    </w:p>
    <w:p>
      <w:pPr>
        <w:ind w:left="900" w:hanging="488"/>
        <w:spacing w:after="0"/>
        <w:tabs>
          <w:tab w:leader="none" w:pos="90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AMES OF REPORTING PERSONS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I.R.S. </w:t>
      </w:r>
      <w:r>
        <w:rPr>
          <w:rFonts w:ascii="Arial" w:cs="Arial" w:eastAsia="Arial" w:hAnsi="Arial"/>
          <w:sz w:val="11"/>
          <w:szCs w:val="11"/>
          <w:b w:val="1"/>
          <w:bCs w:val="1"/>
          <w:color w:val="auto"/>
        </w:rPr>
        <w:t>IDENTIFICATION NOS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OF ABOVE PERSONS</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ENTITIES ONLY</w:t>
      </w:r>
      <w:r>
        <w:rPr>
          <w:rFonts w:ascii="Arial" w:cs="Arial" w:eastAsia="Arial" w:hAnsi="Arial"/>
          <w:sz w:val="17"/>
          <w:szCs w:val="17"/>
          <w:b w:val="1"/>
          <w:bCs w:val="1"/>
          <w:color w:val="auto"/>
        </w:rPr>
        <w:t>)</w:t>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529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6" w:lineRule="exact"/>
        <w:rPr>
          <w:sz w:val="20"/>
          <w:szCs w:val="20"/>
          <w:color w:val="auto"/>
        </w:rPr>
      </w:pPr>
    </w:p>
    <w:p>
      <w:pPr>
        <w:ind w:left="900" w:hanging="488"/>
        <w:spacing w:after="0"/>
        <w:tabs>
          <w:tab w:leader="none" w:pos="90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THE APPROPRIATE BOX IF A MEMBER OF A GROUP</w:t>
      </w:r>
      <w:r>
        <w:rPr>
          <w:rFonts w:ascii="Arial" w:cs="Arial" w:eastAsia="Arial" w:hAnsi="Arial"/>
          <w:sz w:val="17"/>
          <w:szCs w:val="17"/>
          <w:b w:val="1"/>
          <w:bCs w:val="1"/>
          <w:color w:val="auto"/>
        </w:rPr>
        <w:t xml:space="preserve"> (SEE INSTRUCTIONS)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488"/>
        <w:spacing w:after="0"/>
        <w:tabs>
          <w:tab w:leader="none" w:pos="90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Source of funds (SEE INSTRUCTIONS)</w:t>
      </w:r>
    </w:p>
    <w:p>
      <w:pPr>
        <w:spacing w:after="0" w:line="27" w:lineRule="exact"/>
        <w:rPr>
          <w:rFonts w:ascii="Arial" w:cs="Arial" w:eastAsia="Arial" w:hAnsi="Arial"/>
          <w:sz w:val="17"/>
          <w:szCs w:val="17"/>
          <w:b w:val="1"/>
          <w:bCs w:val="1"/>
          <w:color w:val="auto"/>
        </w:rPr>
      </w:pPr>
    </w:p>
    <w:p>
      <w:pPr>
        <w:ind w:left="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2529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2" w:lineRule="exact"/>
        <w:rPr>
          <w:sz w:val="20"/>
          <w:szCs w:val="20"/>
          <w:color w:val="auto"/>
        </w:rPr>
      </w:pPr>
    </w:p>
    <w:p>
      <w:pPr>
        <w:ind w:left="900" w:hanging="488"/>
        <w:spacing w:after="0"/>
        <w:tabs>
          <w:tab w:leader="none" w:pos="90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DISCLOSURE OF LEGAL PROCEEDINGS IS REQUIRED PURSUANT TO ITEMS</w:t>
      </w:r>
      <w:r>
        <w:rPr>
          <w:rFonts w:ascii="Arial" w:cs="Arial" w:eastAsia="Arial" w:hAnsi="Arial"/>
          <w:sz w:val="17"/>
          <w:szCs w:val="17"/>
          <w:b w:val="1"/>
          <w:bCs w:val="1"/>
          <w:color w:val="auto"/>
        </w:rPr>
        <w:t xml:space="preserve"> 2 (d)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72529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00" w:hanging="488"/>
        <w:spacing w:after="0"/>
        <w:tabs>
          <w:tab w:leader="none" w:pos="90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20" w:type="dxa"/>
            <w:vAlign w:val="bottom"/>
            <w:tcBorders>
              <w:top w:val="single" w:sz="8" w:color="auto"/>
            </w:tcBorders>
          </w:tcPr>
          <w:p>
            <w:pPr>
              <w:ind w:left="13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p>
        </w:tc>
        <w:tc>
          <w:tcPr>
            <w:tcW w:w="1020" w:type="dxa"/>
            <w:vAlign w:val="bottom"/>
            <w:tcBorders>
              <w:top w:val="single" w:sz="8" w:color="auto"/>
            </w:tcBorders>
          </w:tcPr>
          <w:p>
            <w:pPr>
              <w:ind w:left="680"/>
              <w:spacing w:after="0"/>
              <w:rPr>
                <w:sz w:val="20"/>
                <w:szCs w:val="20"/>
                <w:color w:val="auto"/>
              </w:rPr>
            </w:pPr>
            <w:r>
              <w:rPr>
                <w:rFonts w:ascii="Arial" w:cs="Arial" w:eastAsia="Arial" w:hAnsi="Arial"/>
                <w:sz w:val="17"/>
                <w:szCs w:val="17"/>
                <w:b w:val="1"/>
                <w:bCs w:val="1"/>
                <w:color w:val="auto"/>
              </w:rPr>
              <w:t>: 7</w:t>
            </w:r>
          </w:p>
        </w:tc>
        <w:tc>
          <w:tcPr>
            <w:tcW w:w="7580" w:type="dxa"/>
            <w:vAlign w:val="bottom"/>
            <w:tcBorders>
              <w:top w:val="single" w:sz="8" w:color="auto"/>
            </w:tcBorders>
          </w:tcPr>
          <w:p>
            <w:pPr>
              <w:ind w:left="1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OLE VOTING POWER</w:t>
            </w:r>
          </w:p>
        </w:tc>
      </w:tr>
      <w:tr>
        <w:trPr>
          <w:trHeight w:val="223"/>
        </w:trPr>
        <w:tc>
          <w:tcPr>
            <w:tcW w:w="2820" w:type="dxa"/>
            <w:vAlign w:val="bottom"/>
          </w:tcPr>
          <w:p>
            <w:pPr>
              <w:spacing w:after="0"/>
              <w:rPr>
                <w:sz w:val="19"/>
                <w:szCs w:val="19"/>
                <w:color w:val="auto"/>
              </w:rPr>
            </w:pPr>
          </w:p>
        </w:tc>
        <w:tc>
          <w:tcPr>
            <w:tcW w:w="1020" w:type="dxa"/>
            <w:vAlign w:val="bottom"/>
          </w:tcPr>
          <w:p>
            <w:pPr>
              <w:ind w:left="680"/>
              <w:spacing w:after="0"/>
              <w:rPr>
                <w:sz w:val="20"/>
                <w:szCs w:val="20"/>
                <w:color w:val="auto"/>
              </w:rPr>
            </w:pPr>
            <w:r>
              <w:rPr>
                <w:rFonts w:ascii="Arial" w:cs="Arial" w:eastAsia="Arial" w:hAnsi="Arial"/>
                <w:sz w:val="17"/>
                <w:szCs w:val="17"/>
                <w:b w:val="1"/>
                <w:bCs w:val="1"/>
                <w:color w:val="auto"/>
              </w:rPr>
              <w:t>:</w:t>
            </w:r>
          </w:p>
        </w:tc>
        <w:tc>
          <w:tcPr>
            <w:tcW w:w="758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420"/>
          </w:cols>
          <w:pgMar w:left="240" w:top="353" w:right="239" w:bottom="1440" w:gutter="0" w:footer="0" w:header="0"/>
        </w:sectPr>
      </w:pPr>
    </w:p>
    <w:p>
      <w:pPr>
        <w:jc w:val="center"/>
        <w:ind w:left="72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HARES</w:t>
      </w:r>
    </w:p>
    <w:p>
      <w:pPr>
        <w:spacing w:after="0" w:line="201"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ENEFICIALLY</w:t>
      </w:r>
    </w:p>
    <w:p>
      <w:pPr>
        <w:spacing w:after="0" w:line="218"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1"/>
          <w:szCs w:val="11"/>
          <w:b w:val="1"/>
          <w:bCs w:val="1"/>
          <w:color w:val="auto"/>
        </w:rPr>
        <w:t>WNED</w:t>
      </w:r>
    </w:p>
    <w:p>
      <w:pPr>
        <w:spacing w:after="0" w:line="218"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Y</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ACH</w:t>
      </w:r>
    </w:p>
    <w:p>
      <w:pPr>
        <w:spacing w:after="0" w:line="218"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EPORTING</w:t>
      </w:r>
    </w:p>
    <w:p>
      <w:pPr>
        <w:spacing w:after="0" w:line="218"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ERSON</w:t>
      </w:r>
    </w:p>
    <w:p>
      <w:pPr>
        <w:spacing w:after="0" w:line="218"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ITH</w:t>
      </w:r>
    </w:p>
    <w:p>
      <w:pPr>
        <w:spacing w:after="0" w:line="20" w:lineRule="exact"/>
        <w:rPr>
          <w:sz w:val="20"/>
          <w:szCs w:val="20"/>
          <w:color w:val="auto"/>
        </w:rPr>
      </w:pPr>
      <w:r>
        <w:rPr>
          <w:sz w:val="20"/>
          <w:szCs w:val="20"/>
          <w:color w:val="auto"/>
        </w:rPr>
        <w:br w:type="column"/>
      </w:r>
    </w:p>
    <w:p>
      <w:pPr>
        <w:ind w:left="500" w:hanging="499"/>
        <w:spacing w:after="0"/>
        <w:tabs>
          <w:tab w:leader="none" w:pos="50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50317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26" w:lineRule="exact"/>
        <w:rPr>
          <w:sz w:val="20"/>
          <w:szCs w:val="20"/>
          <w:color w:val="auto"/>
        </w:rPr>
      </w:pPr>
    </w:p>
    <w:p>
      <w:pPr>
        <w:ind w:left="100" w:hanging="99"/>
        <w:spacing w:after="0"/>
        <w:tabs>
          <w:tab w:leader="none" w:pos="10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8S</w:t>
      </w:r>
      <w:r>
        <w:rPr>
          <w:rFonts w:ascii="Arial" w:cs="Arial" w:eastAsia="Arial" w:hAnsi="Arial"/>
          <w:sz w:val="11"/>
          <w:szCs w:val="11"/>
          <w:b w:val="1"/>
          <w:bCs w:val="1"/>
          <w:color w:val="auto"/>
        </w:rPr>
        <w:t>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50317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 w:lineRule="exact"/>
        <w:rPr>
          <w:sz w:val="20"/>
          <w:szCs w:val="20"/>
          <w:color w:val="auto"/>
        </w:rPr>
      </w:pPr>
    </w:p>
    <w:p>
      <w:pPr>
        <w:ind w:left="500" w:hanging="499"/>
        <w:spacing w:after="0"/>
        <w:tabs>
          <w:tab w:leader="none" w:pos="50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50317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26" w:lineRule="exact"/>
        <w:rPr>
          <w:sz w:val="20"/>
          <w:szCs w:val="20"/>
          <w:color w:val="auto"/>
        </w:rPr>
      </w:pPr>
    </w:p>
    <w:p>
      <w:pPr>
        <w:ind w:left="100" w:hanging="99"/>
        <w:spacing w:after="0"/>
        <w:tabs>
          <w:tab w:leader="none" w:pos="10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9S</w:t>
      </w:r>
      <w:r>
        <w:rPr>
          <w:rFonts w:ascii="Arial" w:cs="Arial" w:eastAsia="Arial" w:hAnsi="Arial"/>
          <w:sz w:val="11"/>
          <w:szCs w:val="11"/>
          <w:b w:val="1"/>
          <w:bCs w:val="1"/>
          <w:color w:val="auto"/>
        </w:rPr>
        <w:t>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50317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 w:lineRule="exact"/>
        <w:rPr>
          <w:sz w:val="20"/>
          <w:szCs w:val="20"/>
          <w:color w:val="auto"/>
        </w:rPr>
      </w:pPr>
    </w:p>
    <w:p>
      <w:pPr>
        <w:ind w:left="500" w:hanging="499"/>
        <w:spacing w:after="0"/>
        <w:tabs>
          <w:tab w:leader="none" w:pos="50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50317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2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:10</w:t>
        <w:tab/>
        <w:t>S</w:t>
      </w:r>
      <w:r>
        <w:rPr>
          <w:rFonts w:ascii="Arial" w:cs="Arial" w:eastAsia="Arial" w:hAnsi="Arial"/>
          <w:sz w:val="11"/>
          <w:szCs w:val="11"/>
          <w:b w:val="1"/>
          <w:bCs w:val="1"/>
          <w:color w:val="auto"/>
        </w:rPr>
        <w:t>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50317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 w:lineRule="exact"/>
        <w:rPr>
          <w:sz w:val="20"/>
          <w:szCs w:val="20"/>
          <w:color w:val="auto"/>
        </w:rPr>
      </w:pPr>
    </w:p>
    <w:p>
      <w:pPr>
        <w:ind w:left="500" w:hanging="499"/>
        <w:spacing w:after="0"/>
        <w:tabs>
          <w:tab w:leader="none" w:pos="50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8255</wp:posOffset>
            </wp:positionV>
            <wp:extent cx="72529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2780" w:space="720"/>
            <w:col w:w="7920"/>
          </w:cols>
          <w:pgMar w:left="240" w:top="353" w:right="239" w:bottom="1440" w:gutter="0" w:footer="0" w:header="0"/>
          <w:type w:val="continuous"/>
        </w:sectPr>
      </w:pPr>
    </w:p>
    <w:p>
      <w:pPr>
        <w:ind w:left="900" w:right="5900" w:hanging="897"/>
        <w:spacing w:after="0" w:line="538" w:lineRule="auto"/>
        <w:tabs>
          <w:tab w:leader="none" w:pos="90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GGREGATE AMOUNT BENEFICIALLY OWNED BY EACH REPORTING PERSON</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ONE</w:t>
      </w:r>
    </w:p>
    <w:p>
      <w:pPr>
        <w:spacing w:after="0" w:line="1" w:lineRule="exact"/>
        <w:rPr>
          <w:rFonts w:ascii="Arial" w:cs="Arial" w:eastAsia="Arial" w:hAnsi="Arial"/>
          <w:sz w:val="17"/>
          <w:szCs w:val="17"/>
          <w:b w:val="1"/>
          <w:bCs w:val="1"/>
          <w:color w:val="auto"/>
        </w:rPr>
      </w:pPr>
    </w:p>
    <w:p>
      <w:pPr>
        <w:ind w:left="900" w:hanging="897"/>
        <w:spacing w:after="0"/>
        <w:tabs>
          <w:tab w:leader="none" w:pos="90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HECK BOX IF THE AGGREGATE AMOUNT IN ROW</w:t>
      </w:r>
      <w:r>
        <w:rPr>
          <w:rFonts w:ascii="Arial" w:cs="Arial" w:eastAsia="Arial" w:hAnsi="Arial"/>
          <w:sz w:val="17"/>
          <w:szCs w:val="17"/>
          <w:b w:val="1"/>
          <w:bCs w:val="1"/>
          <w:color w:val="auto"/>
        </w:rPr>
        <w:t xml:space="preserve"> (11) </w:t>
      </w:r>
      <w:r>
        <w:rPr>
          <w:rFonts w:ascii="Arial" w:cs="Arial" w:eastAsia="Arial" w:hAnsi="Arial"/>
          <w:sz w:val="11"/>
          <w:szCs w:val="11"/>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-677545</wp:posOffset>
            </wp:positionV>
            <wp:extent cx="72529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wp:posOffset>
            </wp:positionV>
            <wp:extent cx="72529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00" w:hanging="897"/>
        <w:spacing w:after="0"/>
        <w:tabs>
          <w:tab w:leader="none" w:pos="90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ERCENT OF CLASS REPRESENTED BY AMOUNT IN ROW</w:t>
      </w:r>
      <w:r>
        <w:rPr>
          <w:rFonts w:ascii="Arial" w:cs="Arial" w:eastAsia="Arial" w:hAnsi="Arial"/>
          <w:sz w:val="17"/>
          <w:szCs w:val="17"/>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p>
      <w:pPr>
        <w:ind w:left="900" w:hanging="897"/>
        <w:spacing w:after="0"/>
        <w:tabs>
          <w:tab w:leader="none" w:pos="90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YPE OF REPORTING PERSON</w:t>
      </w:r>
      <w:r>
        <w:rPr>
          <w:rFonts w:ascii="Arial" w:cs="Arial" w:eastAsia="Arial" w:hAnsi="Arial"/>
          <w:sz w:val="17"/>
          <w:szCs w:val="17"/>
          <w:b w:val="1"/>
          <w:bCs w:val="1"/>
          <w:color w:val="auto"/>
        </w:rPr>
        <w:t xml:space="preserve">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9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72529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type w:val="continuous"/>
        </w:sectPr>
      </w:pPr>
    </w:p>
    <w:bookmarkStart w:id="8" w:name="page9"/>
    <w:bookmarkEnd w:id="8"/>
    <w:p>
      <w:pPr>
        <w:spacing w:after="0"/>
        <w:tabs>
          <w:tab w:leader="none" w:pos="1840" w:val="left"/>
        </w:tabs>
        <w:rPr>
          <w:sz w:val="20"/>
          <w:szCs w:val="20"/>
          <w:color w:val="auto"/>
        </w:rPr>
      </w:pPr>
      <w:r>
        <w:rPr>
          <w:rFonts w:ascii="Arial" w:cs="Arial" w:eastAsia="Arial" w:hAnsi="Arial"/>
          <w:sz w:val="17"/>
          <w:szCs w:val="17"/>
          <w:color w:val="auto"/>
        </w:rPr>
        <w:t>Item 1.</w:t>
      </w:r>
      <w:r>
        <w:rPr>
          <w:sz w:val="20"/>
          <w:szCs w:val="20"/>
          <w:color w:val="auto"/>
        </w:rPr>
        <w:tab/>
      </w:r>
      <w:r>
        <w:rPr>
          <w:rFonts w:ascii="Arial" w:cs="Arial" w:eastAsia="Arial" w:hAnsi="Arial"/>
          <w:sz w:val="15"/>
          <w:szCs w:val="15"/>
          <w:u w:val="single" w:color="auto"/>
          <w:color w:val="auto"/>
        </w:rPr>
        <w:t>Security and Issuer</w:t>
      </w:r>
    </w:p>
    <w:p>
      <w:pPr>
        <w:spacing w:after="0" w:line="22"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This Amendment No. 2 to Schedule 13D on the Common Stock of Hawkins, Inc. (the “Issuer”) is being filed on behalf of the undersigned to amend the Schedule 13D, as amended (the “Schedule 13D”) which was originally filed on February 14, 2008. Unless otherwise indicated, all capitalized terms used herein but not defined herein shall have the same meanings as set forth in the Schedule 13D.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7"/>
                <w:szCs w:val="17"/>
                <w:color w:val="auto"/>
              </w:rPr>
              <w:t>Item 2.</w:t>
            </w:r>
          </w:p>
        </w:tc>
        <w:tc>
          <w:tcPr>
            <w:tcW w:w="100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Identity and Background</w:t>
            </w:r>
          </w:p>
        </w:tc>
        <w:tc>
          <w:tcPr>
            <w:tcW w:w="4320" w:type="dxa"/>
            <w:vAlign w:val="bottom"/>
          </w:tcPr>
          <w:p>
            <w:pPr>
              <w:spacing w:after="0"/>
              <w:rPr>
                <w:sz w:val="16"/>
                <w:szCs w:val="16"/>
                <w:color w:val="auto"/>
              </w:rPr>
            </w:pPr>
          </w:p>
        </w:tc>
      </w:tr>
      <w:tr>
        <w:trPr>
          <w:trHeight w:val="213"/>
        </w:trPr>
        <w:tc>
          <w:tcPr>
            <w:tcW w:w="860" w:type="dxa"/>
            <w:vAlign w:val="bottom"/>
          </w:tcPr>
          <w:p>
            <w:pPr>
              <w:spacing w:after="0"/>
              <w:rPr>
                <w:sz w:val="18"/>
                <w:szCs w:val="18"/>
                <w:color w:val="auto"/>
              </w:rPr>
            </w:pPr>
          </w:p>
        </w:tc>
        <w:tc>
          <w:tcPr>
            <w:tcW w:w="7040" w:type="dxa"/>
            <w:vAlign w:val="bottom"/>
            <w:gridSpan w:val="3"/>
          </w:tcPr>
          <w:p>
            <w:pPr>
              <w:ind w:left="380"/>
              <w:spacing w:after="0"/>
              <w:rPr>
                <w:sz w:val="20"/>
                <w:szCs w:val="20"/>
                <w:color w:val="auto"/>
              </w:rPr>
            </w:pPr>
            <w:r>
              <w:rPr>
                <w:rFonts w:ascii="Arial" w:cs="Arial" w:eastAsia="Arial" w:hAnsi="Arial"/>
                <w:sz w:val="17"/>
                <w:szCs w:val="17"/>
                <w:color w:val="auto"/>
              </w:rPr>
              <w:t>Item 2 to Schedule 13D is amended, in pertinent part, as follows:</w:t>
            </w:r>
          </w:p>
        </w:tc>
      </w:tr>
      <w:tr>
        <w:trPr>
          <w:trHeight w:val="217"/>
        </w:trPr>
        <w:tc>
          <w:tcPr>
            <w:tcW w:w="860" w:type="dxa"/>
            <w:vAlign w:val="bottom"/>
          </w:tcPr>
          <w:p>
            <w:pPr>
              <w:spacing w:after="0"/>
              <w:rPr>
                <w:sz w:val="18"/>
                <w:szCs w:val="18"/>
                <w:color w:val="auto"/>
              </w:rPr>
            </w:pPr>
          </w:p>
        </w:tc>
        <w:tc>
          <w:tcPr>
            <w:tcW w:w="7040" w:type="dxa"/>
            <w:vAlign w:val="bottom"/>
            <w:gridSpan w:val="3"/>
          </w:tcPr>
          <w:p>
            <w:pPr>
              <w:ind w:left="380"/>
              <w:spacing w:after="0"/>
              <w:rPr>
                <w:sz w:val="20"/>
                <w:szCs w:val="20"/>
                <w:color w:val="auto"/>
              </w:rPr>
            </w:pPr>
            <w:r>
              <w:rPr>
                <w:rFonts w:ascii="Arial" w:cs="Arial" w:eastAsia="Arial" w:hAnsi="Arial"/>
                <w:sz w:val="17"/>
                <w:szCs w:val="17"/>
                <w:color w:val="auto"/>
                <w:w w:val="93"/>
              </w:rPr>
              <w:t>This statement is being filed by Mario J. Gabelli (“Mario Gabelli”) and various entities which he</w:t>
            </w:r>
          </w:p>
        </w:tc>
      </w:tr>
    </w:tbl>
    <w:p>
      <w:pPr>
        <w:ind w:right="360"/>
        <w:spacing w:after="0" w:line="253" w:lineRule="auto"/>
        <w:rPr>
          <w:sz w:val="20"/>
          <w:szCs w:val="20"/>
          <w:color w:val="auto"/>
        </w:rPr>
      </w:pPr>
      <w:r>
        <w:rPr>
          <w:rFonts w:ascii="Arial" w:cs="Arial" w:eastAsia="Arial" w:hAnsi="Arial"/>
          <w:sz w:val="17"/>
          <w:szCs w:val="17"/>
          <w:color w:val="auto"/>
        </w:rPr>
        <w:t>directly or indirectly controls or for which he acts as chief investment officer. These entities engage in various aspects of the securities business, primarily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(a), (b) and (c) - This statement is being filed by one or more of the following persons: GGCP, Inc. (“GGCP”), GAMCO Investors, Inc. (“GBL”), Gabelli Funds, LLC (“Gabelli Funds”), GAMCO Asset Management Inc. (“GAMCO”), Teton Advisors, Inc. (“Teton Advisors”), Gabelli Securities, Inc. (“GSI”), Gabelli &amp; Company, Inc. (“Gabelli &amp; Company”), MJG Associates, Inc. (“MJG Associates”), Gabelli Foundation, Inc. (“Foundation”), and Mario Gabelli. Those of the foregoing persons signing this Schedule 13D are hereafter referred to as the “Reporting Persons”.</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GGCP makes investments for its own account and is the controlling shareholder of GBL. GBL, a public company listed on the New York Stock Exchange, is the parent company for a variety of companies engaged in the securities business, including those named below.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GAMCO, a wholly-owned subsidiary of GBL, is an investment adviser registered under the Investment Advisers Act of 1940, as amended (“Advisers</w:t>
      </w:r>
    </w:p>
    <w:p>
      <w:pPr>
        <w:spacing w:after="0" w:line="1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GSI, a majority-owned subsidiary of GBL, is an investment adviser registered under the Advisers Act and serves as a general partner or investment manager to limited partnerships and offshore investment companies. As a part of its business, GSI may purchase or sell securities for its own account. GSI is the general partner or investment manager of a number of funds or partnerships, including Gabelli Associates Fund, Gabelli Associates Fund II, Gabelli Associates Limited, ALCE Partners, L.P., Gabelli Capital Structure Arbitrage Fund LP, Gabelli Capital Structure Arbitrage Fund Limited, Gabelli Global Partners L.P., Gabelli Intermediate Credit Fund L.P., Gabelli Japanese Value Partners L.P., GAMA Select Energy + L.P., GAMCO Medical Opportunities L.P., GAMCO Long/Short Equity Fund, L.P. and Gabelli Multimedia Partners, L.P. GSI and Marc Gabelli own 45% and 55%, respectively, of Gabelli Securities International Limited (“GSIL”). GSIL provides investment advisory services to offshore funds and accounts. GSIL is an investment advisor of Gabelli International Gold Fund Limited and Gabelli Global Partners, Ltd.</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Gabelli Funds, a wholly owned subsidiary of GBL, is a limited liability company. Gabelli Funds is an investment adviser registered under the Advisers Act which presently provides discretionary managed account services for The Gabelli Equity Trust Inc., The Gabelli Asset Fund, The GAMCO Growth Fund, The Gabelli Convertible and Income Securities Fund Inc., The Gabelli Value Fund Inc., The Gabelli Small Cap Growth Fund, The Gabelli Equity Income Fund, The Gabelli ABC Fund, The GAMCO Global Telecommunications Fund, GAMCO Gold Fund, Inc., The Gabelli Global Multimedia Trust Inc., The GAMCO Global Convertible Securities Fund, Gabelli Capital Asset Fund, GAMCO International Growth Fund, Inc., The GAMCO Global Growth Fund, The Gabelli Utility Trust, The GAMCO Global Opportunity Fund, The Gabelli Utilities Fund, The Gabelli Blue Chip Value Fund, The GAMCO Mathers Fund, The Gabelli Woodland Small Cap Value Fund, The Comstock Capital Value Fund, The Gabelli Dividend and Income Trust, The Gabelli Global Utility &amp; Income Trust, The Gabelli Global Gold, Natural Resources, &amp; Income Trust, The Gabelli Global Deal Fund, Gabelli Enterprise M&amp;A Fund, The Gabelli SRI Fund, Inc. and The Gabelli Healthcare &amp; Wellness Rx Trust (collectively, the “Funds”), which are registered investment companies.</w:t>
      </w:r>
    </w:p>
    <w:p>
      <w:pPr>
        <w:ind w:right="80"/>
        <w:spacing w:after="0" w:line="211" w:lineRule="auto"/>
        <w:rPr>
          <w:sz w:val="20"/>
          <w:szCs w:val="20"/>
          <w:color w:val="auto"/>
        </w:rPr>
      </w:pPr>
      <w:r>
        <w:rPr>
          <w:rFonts w:ascii="Arial" w:cs="Arial" w:eastAsia="Arial" w:hAnsi="Arial"/>
          <w:sz w:val="17"/>
          <w:szCs w:val="17"/>
          <w:color w:val="auto"/>
        </w:rPr>
        <w:t>Teton Advisors, an investment adviser registered under the Advisers Act, provides discretionary advisory services to The GAMCO Westwood Mighty Mites</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Fund, The GAMCO Westwood Income Fund and The GAMCO Westwood SmallCap Equity Fund.</w:t>
      </w:r>
    </w:p>
    <w:p>
      <w:pPr>
        <w:spacing w:after="0" w:line="1"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pacing w:after="0" w:line="1" w:lineRule="exact"/>
        <w:rPr>
          <w:sz w:val="20"/>
          <w:szCs w:val="20"/>
          <w:color w:val="auto"/>
        </w:rPr>
      </w:pPr>
    </w:p>
    <w:p>
      <w:pPr>
        <w:ind w:right="4000" w:firstLine="1239"/>
        <w:spacing w:after="0" w:line="269" w:lineRule="auto"/>
        <w:rPr>
          <w:sz w:val="20"/>
          <w:szCs w:val="20"/>
          <w:color w:val="auto"/>
        </w:rPr>
      </w:pPr>
      <w:r>
        <w:rPr>
          <w:rFonts w:ascii="Arial" w:cs="Arial" w:eastAsia="Arial" w:hAnsi="Arial"/>
          <w:sz w:val="16"/>
          <w:szCs w:val="16"/>
          <w:color w:val="auto"/>
        </w:rPr>
        <w:t>The Foundation is a private foundation. Mario Gabelli is the Chairman, a Trustee and the Investment Manager of the Foundation. Elisa M. Wilson is the President of the Foundation.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Mario Gabelli is the majority stockholder, Chief Executive Officer and a director of GGCP and Chairman and Chief Executive Officer of GBL.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do not admit that they constitute a group.</w:t>
      </w:r>
    </w:p>
    <w:p>
      <w:pPr>
        <w:spacing w:after="0" w:line="1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GBL, GAMCO, and Gabelli &amp; Company are New York corporations and GSI and Teton Advisors are Delaware corporations, each having its principal business office at One Corporate Center, Rye, New York 10580. GGCP is a New York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w:t>
      </w:r>
    </w:p>
    <w:p>
      <w:pPr>
        <w:spacing w:after="0" w:line="2"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1" w:lineRule="exact"/>
        <w:rPr>
          <w:sz w:val="20"/>
          <w:szCs w:val="20"/>
          <w:color w:val="auto"/>
        </w:rPr>
      </w:pPr>
    </w:p>
    <w:p>
      <w:pPr>
        <w:ind w:right="140" w:firstLine="3"/>
        <w:spacing w:after="0" w:line="253" w:lineRule="auto"/>
        <w:tabs>
          <w:tab w:leader="none" w:pos="234" w:val="left"/>
        </w:tabs>
        <w:numPr>
          <w:ilvl w:val="0"/>
          <w:numId w:val="62"/>
        </w:numPr>
        <w:rPr>
          <w:rFonts w:ascii="Arial" w:cs="Arial" w:eastAsia="Arial" w:hAnsi="Arial"/>
          <w:sz w:val="17"/>
          <w:szCs w:val="17"/>
          <w:color w:val="auto"/>
        </w:rPr>
      </w:pPr>
      <w:r>
        <w:rPr>
          <w:rFonts w:ascii="Arial" w:cs="Arial" w:eastAsia="Arial" w:hAnsi="Arial"/>
          <w:sz w:val="17"/>
          <w:szCs w:val="17"/>
          <w:color w:val="auto"/>
        </w:rPr>
        <w:t>- On April 24, 2008, Gabelli Funds settled an administrative proceeding with the Securities and Exchange Commission (“Commission”) regarding frequent trading in shares of a mutual fund it advises, without admitting or denying the findings or allegations of the Commission. The inquiry involved Gabelli Funds’ treatment of one investor who had engaged in frequent trading in one fund (the prospectus of which did not at that time impose limits on frequent trading), and who had subsequently made an investment in a hedge fund managed by an affiliate of Gabelli Funds. The investor was banned from the fund in August 2002, only after certain other investors were banned. The principal terms of the settlement include an administrative cease and desist order from violating Section 206(2) of the Investment Advisers Act of 1940, Section 17(d) of the Investment Company Act of 1940 (“Company Act”), and Rule 17d-1 thereunder, and Section 12(d)(1)(B)(1) of the Company Act, and the payment of $11 million in disgorgement and prejudgment interest and $5 million in a civil monetary penalty. Gabelli Funds was also required to retain an independent distribution consultant to develop a plan and oversee distribution to shareholders of the monies paid to the Commission, and to make certain other undertakings.</w:t>
      </w:r>
    </w:p>
    <w:p>
      <w:pPr>
        <w:spacing w:after="0" w:line="4" w:lineRule="exact"/>
        <w:rPr>
          <w:sz w:val="20"/>
          <w:szCs w:val="20"/>
          <w:color w:val="auto"/>
        </w:rPr>
      </w:pPr>
    </w:p>
    <w:p>
      <w:pPr>
        <w:jc w:val="both"/>
        <w:ind w:firstLine="1536"/>
        <w:spacing w:after="0" w:line="294" w:lineRule="auto"/>
        <w:rPr>
          <w:sz w:val="20"/>
          <w:szCs w:val="20"/>
          <w:color w:val="auto"/>
        </w:rPr>
      </w:pPr>
      <w:r>
        <w:rPr>
          <w:rFonts w:ascii="Arial" w:cs="Arial" w:eastAsia="Arial" w:hAnsi="Arial"/>
          <w:sz w:val="15"/>
          <w:szCs w:val="15"/>
          <w:color w:val="auto"/>
        </w:rPr>
        <w:t>In September 2008, Gabelli Funds reached agreement in principle with the staff of the Commission, subject to Commission approval, on a previously disclosed matter that had been ongoing for several years involving compliance with Section 19(a) of the Investment Company Act of 1940 and Rule 19a-1 thereunder by two closed-end funds. The agreement was finalized with the Commission on January 12, 2009. The provisions of Section 19(a) and Rule 19a-1 require registered investment companies, when making a distribution in the nature of a dividend from sources other than net investment income, to contemporaneously provide written statements to shareholders that adequately disclose the source or sources of such distribution. While the two funds sent annual statements and provided other materials containing this information, the shareholders did not receive the notices required by Rule 19a-1 with any of the distributions that were made for 2002 and 2003. Gabelli Funds believes that the funds have been in compliance with Section 19(a) and Rule 19a-1 since the beginning of 2004. As part of the settlement, in which Gabelli Funds neither admits nor denies the findings by the Commission, Gabelli Funds agreed to pay a civil monetary</w:t>
      </w:r>
    </w:p>
    <w:p>
      <w:pPr>
        <w:sectPr>
          <w:pgSz w:w="11900" w:h="16838" w:orient="portrait"/>
          <w:cols w:equalWidth="0" w:num="1">
            <w:col w:w="11420"/>
          </w:cols>
          <w:pgMar w:left="240" w:top="359" w:right="239" w:bottom="0" w:gutter="0" w:footer="0" w:header="0"/>
        </w:sectPr>
      </w:pPr>
    </w:p>
    <w:bookmarkStart w:id="9" w:name="page10"/>
    <w:bookmarkEnd w:id="9"/>
    <w:p>
      <w:pPr>
        <w:spacing w:after="0" w:line="260" w:lineRule="auto"/>
        <w:rPr>
          <w:sz w:val="20"/>
          <w:szCs w:val="20"/>
          <w:color w:val="auto"/>
        </w:rPr>
      </w:pPr>
      <w:r>
        <w:rPr>
          <w:rFonts w:ascii="Arial" w:cs="Arial" w:eastAsia="Arial" w:hAnsi="Arial"/>
          <w:sz w:val="17"/>
          <w:szCs w:val="17"/>
          <w:color w:val="auto"/>
        </w:rPr>
        <w:t>penalty of $450,000 and to cease and desist from causing violations of Section 19(a) and Rule 19a-1. In connection with the settlement, the Commission noted the remedial actions previously undertaken by Gabelli Funds.</w:t>
      </w:r>
    </w:p>
    <w:p>
      <w:pPr>
        <w:ind w:left="940"/>
        <w:spacing w:after="0"/>
        <w:rPr>
          <w:sz w:val="20"/>
          <w:szCs w:val="20"/>
          <w:color w:val="auto"/>
        </w:rPr>
      </w:pPr>
      <w:r>
        <w:rPr>
          <w:rFonts w:ascii="Arial" w:cs="Arial" w:eastAsia="Arial" w:hAnsi="Arial"/>
          <w:sz w:val="17"/>
          <w:szCs w:val="17"/>
          <w:color w:val="auto"/>
        </w:rPr>
        <w:t>(f) - Reference is made to Schedule I hereto.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7"/>
                <w:szCs w:val="17"/>
                <w:color w:val="auto"/>
              </w:rPr>
              <w:t>Item 5.</w:t>
            </w:r>
          </w:p>
        </w:tc>
        <w:tc>
          <w:tcPr>
            <w:tcW w:w="1000" w:type="dxa"/>
            <w:vAlign w:val="bottom"/>
          </w:tcPr>
          <w:p>
            <w:pPr>
              <w:spacing w:after="0"/>
              <w:rPr>
                <w:sz w:val="16"/>
                <w:szCs w:val="16"/>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1"/>
              </w:rPr>
              <w:t>Interest In Securities Of The Issuer</w:t>
            </w:r>
          </w:p>
        </w:tc>
        <w:tc>
          <w:tcPr>
            <w:tcW w:w="1440" w:type="dxa"/>
            <w:vAlign w:val="bottom"/>
          </w:tcPr>
          <w:p>
            <w:pPr>
              <w:spacing w:after="0"/>
              <w:rPr>
                <w:sz w:val="16"/>
                <w:szCs w:val="16"/>
                <w:color w:val="auto"/>
              </w:rPr>
            </w:pPr>
          </w:p>
        </w:tc>
      </w:tr>
      <w:tr>
        <w:trPr>
          <w:trHeight w:val="224"/>
        </w:trPr>
        <w:tc>
          <w:tcPr>
            <w:tcW w:w="860" w:type="dxa"/>
            <w:vAlign w:val="bottom"/>
          </w:tcPr>
          <w:p>
            <w:pPr>
              <w:spacing w:after="0"/>
              <w:rPr>
                <w:sz w:val="19"/>
                <w:szCs w:val="19"/>
                <w:color w:val="auto"/>
              </w:rPr>
            </w:pPr>
          </w:p>
        </w:tc>
        <w:tc>
          <w:tcPr>
            <w:tcW w:w="4860" w:type="dxa"/>
            <w:vAlign w:val="bottom"/>
            <w:gridSpan w:val="3"/>
          </w:tcPr>
          <w:p>
            <w:pPr>
              <w:ind w:left="380"/>
              <w:spacing w:after="0"/>
              <w:rPr>
                <w:sz w:val="20"/>
                <w:szCs w:val="20"/>
                <w:color w:val="auto"/>
              </w:rPr>
            </w:pPr>
            <w:r>
              <w:rPr>
                <w:rFonts w:ascii="Arial" w:cs="Arial" w:eastAsia="Arial" w:hAnsi="Arial"/>
                <w:sz w:val="17"/>
                <w:szCs w:val="17"/>
                <w:color w:val="auto"/>
                <w:w w:val="91"/>
              </w:rPr>
              <w:t>Item 5 to Schedule 13D is amended, in pertinent part, as follows:</w:t>
            </w:r>
          </w:p>
        </w:tc>
      </w:tr>
    </w:tbl>
    <w:p>
      <w:pPr>
        <w:ind w:right="100" w:firstLine="1242"/>
        <w:spacing w:after="0" w:line="253" w:lineRule="auto"/>
        <w:tabs>
          <w:tab w:leader="none" w:pos="147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aggregate number of Securities to which this Schedule 13D relates is 478,370 shares, representing 4.65% of the approximately 10,282,458 shares outstanding as reported by the Issuer in its Form 10-Q for the quarterly period ended September 30, 2009. The Reporting Persons beneficially own those Securities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4540" w:type="dxa"/>
            <w:vAlign w:val="bottom"/>
          </w:tcPr>
          <w:p>
            <w:pPr>
              <w:jc w:val="center"/>
              <w:ind w:left="894"/>
              <w:spacing w:after="0"/>
              <w:rPr>
                <w:sz w:val="20"/>
                <w:szCs w:val="20"/>
                <w:color w:val="auto"/>
              </w:rPr>
            </w:pPr>
            <w:r>
              <w:rPr>
                <w:rFonts w:ascii="Arial" w:cs="Arial" w:eastAsia="Arial" w:hAnsi="Arial"/>
                <w:sz w:val="17"/>
                <w:szCs w:val="17"/>
                <w:color w:val="auto"/>
                <w:w w:val="87"/>
              </w:rPr>
              <w:t>Shares of</w:t>
            </w:r>
          </w:p>
        </w:tc>
        <w:tc>
          <w:tcPr>
            <w:tcW w:w="3600" w:type="dxa"/>
            <w:vAlign w:val="bottom"/>
          </w:tcPr>
          <w:p>
            <w:pPr>
              <w:jc w:val="center"/>
              <w:ind w:right="114"/>
              <w:spacing w:after="0"/>
              <w:rPr>
                <w:sz w:val="20"/>
                <w:szCs w:val="20"/>
                <w:color w:val="auto"/>
              </w:rPr>
            </w:pPr>
            <w:r>
              <w:rPr>
                <w:rFonts w:ascii="Arial" w:cs="Arial" w:eastAsia="Arial" w:hAnsi="Arial"/>
                <w:sz w:val="17"/>
                <w:szCs w:val="17"/>
                <w:color w:val="auto"/>
                <w:w w:val="91"/>
              </w:rPr>
              <w:t>% of Class of</w:t>
            </w:r>
          </w:p>
        </w:tc>
      </w:tr>
      <w:tr>
        <w:trPr>
          <w:trHeight w:val="225"/>
        </w:trPr>
        <w:tc>
          <w:tcPr>
            <w:tcW w:w="3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4540" w:type="dxa"/>
            <w:vAlign w:val="bottom"/>
            <w:tcBorders>
              <w:bottom w:val="single" w:sz="8" w:color="auto"/>
            </w:tcBorders>
          </w:tcPr>
          <w:p>
            <w:pPr>
              <w:jc w:val="center"/>
              <w:ind w:left="894"/>
              <w:spacing w:after="0"/>
              <w:rPr>
                <w:sz w:val="20"/>
                <w:szCs w:val="20"/>
                <w:color w:val="auto"/>
              </w:rPr>
            </w:pPr>
            <w:r>
              <w:rPr>
                <w:rFonts w:ascii="Arial" w:cs="Arial" w:eastAsia="Arial" w:hAnsi="Arial"/>
                <w:sz w:val="17"/>
                <w:szCs w:val="17"/>
                <w:color w:val="auto"/>
                <w:w w:val="92"/>
              </w:rPr>
              <w:t>Common Stock</w:t>
            </w:r>
          </w:p>
        </w:tc>
        <w:tc>
          <w:tcPr>
            <w:tcW w:w="36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2"/>
              </w:rPr>
              <w:t>Common</w:t>
            </w:r>
          </w:p>
        </w:tc>
      </w:tr>
      <w:tr>
        <w:trPr>
          <w:trHeight w:val="411"/>
        </w:trPr>
        <w:tc>
          <w:tcPr>
            <w:tcW w:w="3280" w:type="dxa"/>
            <w:vAlign w:val="bottom"/>
          </w:tcPr>
          <w:p>
            <w:pPr>
              <w:spacing w:after="0"/>
              <w:rPr>
                <w:sz w:val="20"/>
                <w:szCs w:val="20"/>
                <w:color w:val="auto"/>
              </w:rPr>
            </w:pPr>
            <w:r>
              <w:rPr>
                <w:rFonts w:ascii="Arial" w:cs="Arial" w:eastAsia="Arial" w:hAnsi="Arial"/>
                <w:sz w:val="17"/>
                <w:szCs w:val="17"/>
                <w:color w:val="auto"/>
              </w:rPr>
              <w:t>Gabelli Funds</w:t>
            </w:r>
          </w:p>
        </w:tc>
        <w:tc>
          <w:tcPr>
            <w:tcW w:w="4540" w:type="dxa"/>
            <w:vAlign w:val="bottom"/>
          </w:tcPr>
          <w:p>
            <w:pPr>
              <w:jc w:val="center"/>
              <w:ind w:left="894"/>
              <w:spacing w:after="0"/>
              <w:rPr>
                <w:sz w:val="20"/>
                <w:szCs w:val="20"/>
                <w:color w:val="auto"/>
              </w:rPr>
            </w:pPr>
            <w:r>
              <w:rPr>
                <w:rFonts w:ascii="Arial" w:cs="Arial" w:eastAsia="Arial" w:hAnsi="Arial"/>
                <w:sz w:val="17"/>
                <w:szCs w:val="17"/>
                <w:color w:val="auto"/>
                <w:w w:val="91"/>
              </w:rPr>
              <w:t>150,000</w:t>
            </w:r>
          </w:p>
        </w:tc>
        <w:tc>
          <w:tcPr>
            <w:tcW w:w="3600" w:type="dxa"/>
            <w:vAlign w:val="bottom"/>
          </w:tcPr>
          <w:p>
            <w:pPr>
              <w:jc w:val="center"/>
              <w:ind w:right="114"/>
              <w:spacing w:after="0"/>
              <w:rPr>
                <w:sz w:val="20"/>
                <w:szCs w:val="20"/>
                <w:color w:val="auto"/>
              </w:rPr>
            </w:pPr>
            <w:r>
              <w:rPr>
                <w:rFonts w:ascii="Arial" w:cs="Arial" w:eastAsia="Arial" w:hAnsi="Arial"/>
                <w:sz w:val="17"/>
                <w:szCs w:val="17"/>
                <w:color w:val="auto"/>
                <w:w w:val="91"/>
              </w:rPr>
              <w:t>1.46%</w:t>
            </w:r>
          </w:p>
        </w:tc>
      </w:tr>
      <w:tr>
        <w:trPr>
          <w:trHeight w:val="413"/>
        </w:trPr>
        <w:tc>
          <w:tcPr>
            <w:tcW w:w="3280" w:type="dxa"/>
            <w:vAlign w:val="bottom"/>
          </w:tcPr>
          <w:p>
            <w:pPr>
              <w:spacing w:after="0"/>
              <w:rPr>
                <w:sz w:val="20"/>
                <w:szCs w:val="20"/>
                <w:color w:val="auto"/>
              </w:rPr>
            </w:pPr>
            <w:r>
              <w:rPr>
                <w:rFonts w:ascii="Arial" w:cs="Arial" w:eastAsia="Arial" w:hAnsi="Arial"/>
                <w:sz w:val="17"/>
                <w:szCs w:val="17"/>
                <w:color w:val="auto"/>
              </w:rPr>
              <w:t>GAMCO</w:t>
            </w:r>
          </w:p>
        </w:tc>
        <w:tc>
          <w:tcPr>
            <w:tcW w:w="4540" w:type="dxa"/>
            <w:vAlign w:val="bottom"/>
          </w:tcPr>
          <w:p>
            <w:pPr>
              <w:jc w:val="center"/>
              <w:ind w:left="894"/>
              <w:spacing w:after="0"/>
              <w:rPr>
                <w:sz w:val="20"/>
                <w:szCs w:val="20"/>
                <w:color w:val="auto"/>
              </w:rPr>
            </w:pPr>
            <w:r>
              <w:rPr>
                <w:rFonts w:ascii="Arial" w:cs="Arial" w:eastAsia="Arial" w:hAnsi="Arial"/>
                <w:sz w:val="17"/>
                <w:szCs w:val="17"/>
                <w:color w:val="auto"/>
                <w:w w:val="91"/>
              </w:rPr>
              <w:t>281,370</w:t>
            </w:r>
          </w:p>
        </w:tc>
        <w:tc>
          <w:tcPr>
            <w:tcW w:w="3600" w:type="dxa"/>
            <w:vAlign w:val="bottom"/>
          </w:tcPr>
          <w:p>
            <w:pPr>
              <w:jc w:val="center"/>
              <w:ind w:right="114"/>
              <w:spacing w:after="0"/>
              <w:rPr>
                <w:sz w:val="20"/>
                <w:szCs w:val="20"/>
                <w:color w:val="auto"/>
              </w:rPr>
            </w:pPr>
            <w:r>
              <w:rPr>
                <w:rFonts w:ascii="Arial" w:cs="Arial" w:eastAsia="Arial" w:hAnsi="Arial"/>
                <w:sz w:val="17"/>
                <w:szCs w:val="17"/>
                <w:color w:val="auto"/>
                <w:w w:val="91"/>
              </w:rPr>
              <w:t>2.74%</w:t>
            </w:r>
          </w:p>
        </w:tc>
      </w:tr>
      <w:tr>
        <w:trPr>
          <w:trHeight w:val="413"/>
        </w:trPr>
        <w:tc>
          <w:tcPr>
            <w:tcW w:w="3280" w:type="dxa"/>
            <w:vAlign w:val="bottom"/>
          </w:tcPr>
          <w:p>
            <w:pPr>
              <w:spacing w:after="0"/>
              <w:rPr>
                <w:sz w:val="20"/>
                <w:szCs w:val="20"/>
                <w:color w:val="auto"/>
              </w:rPr>
            </w:pPr>
            <w:r>
              <w:rPr>
                <w:rFonts w:ascii="Arial" w:cs="Arial" w:eastAsia="Arial" w:hAnsi="Arial"/>
                <w:sz w:val="17"/>
                <w:szCs w:val="17"/>
                <w:color w:val="auto"/>
              </w:rPr>
              <w:t>Teton Advisors</w:t>
            </w:r>
          </w:p>
        </w:tc>
        <w:tc>
          <w:tcPr>
            <w:tcW w:w="4540" w:type="dxa"/>
            <w:vAlign w:val="bottom"/>
          </w:tcPr>
          <w:p>
            <w:pPr>
              <w:jc w:val="center"/>
              <w:ind w:left="894"/>
              <w:spacing w:after="0"/>
              <w:rPr>
                <w:sz w:val="20"/>
                <w:szCs w:val="20"/>
                <w:color w:val="auto"/>
              </w:rPr>
            </w:pPr>
            <w:r>
              <w:rPr>
                <w:rFonts w:ascii="Arial" w:cs="Arial" w:eastAsia="Arial" w:hAnsi="Arial"/>
                <w:sz w:val="17"/>
                <w:szCs w:val="17"/>
                <w:color w:val="auto"/>
                <w:w w:val="92"/>
              </w:rPr>
              <w:t>47,000</w:t>
            </w:r>
          </w:p>
        </w:tc>
        <w:tc>
          <w:tcPr>
            <w:tcW w:w="3600" w:type="dxa"/>
            <w:vAlign w:val="bottom"/>
          </w:tcPr>
          <w:p>
            <w:pPr>
              <w:jc w:val="center"/>
              <w:ind w:right="114"/>
              <w:spacing w:after="0"/>
              <w:rPr>
                <w:sz w:val="20"/>
                <w:szCs w:val="20"/>
                <w:color w:val="auto"/>
              </w:rPr>
            </w:pPr>
            <w:r>
              <w:rPr>
                <w:rFonts w:ascii="Arial" w:cs="Arial" w:eastAsia="Arial" w:hAnsi="Arial"/>
                <w:sz w:val="17"/>
                <w:szCs w:val="17"/>
                <w:color w:val="auto"/>
                <w:w w:val="91"/>
              </w:rPr>
              <w:t>0.46%</w:t>
            </w:r>
          </w:p>
        </w:tc>
      </w:tr>
    </w:tbl>
    <w:p>
      <w:pPr>
        <w:spacing w:after="0" w:line="222"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Mario Gabelli is deemed to have beneficial ownership of the Securities owned beneficially by each of the foregoing persons. GSI is deemed to have beneficial ownership of the Securities owned beneficially by Gabelli &amp; Company. GBL and GGCP are deemed to have beneficial ownership of the Securities owned beneficially by each of the foregoing persons other than Mario Gabelli and the Foundation.</w:t>
      </w:r>
    </w:p>
    <w:p>
      <w:pPr>
        <w:spacing w:after="0" w:line="2" w:lineRule="exact"/>
        <w:rPr>
          <w:sz w:val="20"/>
          <w:szCs w:val="20"/>
          <w:color w:val="auto"/>
        </w:rPr>
      </w:pPr>
    </w:p>
    <w:p>
      <w:pPr>
        <w:ind w:right="20" w:firstLine="1242"/>
        <w:spacing w:after="0" w:line="287" w:lineRule="auto"/>
        <w:tabs>
          <w:tab w:leader="none" w:pos="1483" w:val="left"/>
        </w:tabs>
        <w:numPr>
          <w:ilvl w:val="1"/>
          <w:numId w:val="64"/>
        </w:numPr>
        <w:rPr>
          <w:rFonts w:ascii="Arial" w:cs="Arial" w:eastAsia="Arial" w:hAnsi="Arial"/>
          <w:sz w:val="15"/>
          <w:szCs w:val="15"/>
          <w:color w:val="auto"/>
        </w:rPr>
      </w:pPr>
      <w:r>
        <w:rPr>
          <w:rFonts w:ascii="Arial" w:cs="Arial" w:eastAsia="Arial" w:hAnsi="Arial"/>
          <w:sz w:val="15"/>
          <w:szCs w:val="15"/>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7,000 of its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w:t>
      </w:r>
    </w:p>
    <w:p>
      <w:pPr>
        <w:spacing w:after="0" w:line="1" w:lineRule="exact"/>
        <w:rPr>
          <w:rFonts w:ascii="Arial" w:cs="Arial" w:eastAsia="Arial" w:hAnsi="Arial"/>
          <w:sz w:val="15"/>
          <w:szCs w:val="15"/>
          <w:color w:val="auto"/>
        </w:rPr>
      </w:pPr>
    </w:p>
    <w:p>
      <w:pPr>
        <w:ind w:left="300" w:hanging="297"/>
        <w:spacing w:after="0"/>
        <w:tabs>
          <w:tab w:leader="none" w:pos="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power of Mario Gabelli, GBL, and GGCP is indirect with respect to Securities beneficially owned directly by other Reporting Persons.</w:t>
      </w:r>
    </w:p>
    <w:p>
      <w:pPr>
        <w:spacing w:after="0" w:line="11" w:lineRule="exact"/>
        <w:rPr>
          <w:sz w:val="20"/>
          <w:szCs w:val="20"/>
          <w:color w:val="auto"/>
        </w:rPr>
      </w:pPr>
    </w:p>
    <w:p>
      <w:pPr>
        <w:ind w:right="480" w:firstLine="3"/>
        <w:spacing w:after="0" w:line="287" w:lineRule="auto"/>
        <w:tabs>
          <w:tab w:leader="none" w:pos="234"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ind w:left="1480" w:hanging="238"/>
        <w:spacing w:after="0"/>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Reporting Persons ceased to be beneficial owners of 5% or more of the issuer’s common stock on December 8,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Signature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3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December 31, 2009</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GGCP,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Douglas R. Jamieson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Douglas R. Jamieson</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GABELLI FUNDS, LLC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TETON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Bruce N. Alpert</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Bruce N. Alpert</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Chief Operating Officer – Gabelli Funds, LLC</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Chairman – Teton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GAMCO ASSET MANAGEMENT INC.</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Douglas R. Jamieson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Douglas R. Jamieson</w:t>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President &amp; Chief Operating Officer – GAMCO Investors, Inc.</w:t>
      </w:r>
    </w:p>
    <w:p>
      <w:pPr>
        <w:spacing w:after="0" w:line="1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President – GAMCO Asset Management Inc.</w:t>
      </w:r>
    </w:p>
    <w:p>
      <w:pPr>
        <w:spacing w:after="0" w:line="37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560"/>
          </w:cols>
          <w:pgMar w:left="240" w:top="501" w:right="1099" w:bottom="1440" w:gutter="0" w:footer="0" w:header="0"/>
        </w:sectPr>
      </w:pPr>
    </w:p>
    <w:bookmarkStart w:id="11" w:name="page12"/>
    <w:bookmarkEnd w:id="11"/>
    <w:p>
      <w:pPr>
        <w:ind w:left="572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CHEDULE</w:t>
      </w:r>
      <w:r>
        <w:rPr>
          <w:rFonts w:ascii="Arial" w:cs="Arial" w:eastAsia="Arial" w:hAnsi="Arial"/>
          <w:sz w:val="17"/>
          <w:szCs w:val="17"/>
          <w:color w:val="auto"/>
        </w:rPr>
        <w:t xml:space="preserve"> I</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Information with Respect to Executive</w:t>
      </w:r>
    </w:p>
    <w:p>
      <w:pPr>
        <w:spacing w:after="0" w:line="1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Officers and Directors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-15875</wp:posOffset>
            </wp:positionV>
            <wp:extent cx="37503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50310" cy="8255"/>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7"/>
          <w:szCs w:val="17"/>
          <w:color w:val="auto"/>
        </w:rPr>
        <w:t>Schedule I to Schedule 13D is amended, in pertinent part, as follows: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Gabelli &amp; Company, Inc., Teton Advisors,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GGCP,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05"/>
        </w:trPr>
        <w:tc>
          <w:tcPr>
            <w:tcW w:w="3160" w:type="dxa"/>
            <w:vAlign w:val="bottom"/>
          </w:tcPr>
          <w:p>
            <w:pPr>
              <w:spacing w:after="0"/>
              <w:rPr>
                <w:sz w:val="20"/>
                <w:szCs w:val="20"/>
                <w:color w:val="auto"/>
              </w:rPr>
            </w:pPr>
            <w:r>
              <w:rPr>
                <w:rFonts w:ascii="Arial" w:cs="Arial" w:eastAsia="Arial" w:hAnsi="Arial"/>
                <w:sz w:val="17"/>
                <w:szCs w:val="17"/>
                <w:color w:val="auto"/>
              </w:rPr>
              <w:t>Vincent J. Amabile</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Business Consultant</w:t>
            </w:r>
          </w:p>
        </w:tc>
      </w:tr>
      <w:tr>
        <w:trPr>
          <w:trHeight w:val="390"/>
        </w:trPr>
        <w:tc>
          <w:tcPr>
            <w:tcW w:w="3160" w:type="dxa"/>
            <w:vAlign w:val="bottom"/>
          </w:tcPr>
          <w:p>
            <w:pPr>
              <w:ind w:left="640"/>
              <w:spacing w:after="0"/>
              <w:rPr>
                <w:sz w:val="20"/>
                <w:szCs w:val="20"/>
                <w:color w:val="auto"/>
              </w:rPr>
            </w:pPr>
            <w:r>
              <w:rPr>
                <w:rFonts w:ascii="Arial" w:cs="Arial" w:eastAsia="Arial" w:hAnsi="Arial"/>
                <w:sz w:val="17"/>
                <w:szCs w:val="17"/>
                <w:color w:val="auto"/>
              </w:rPr>
              <w:t>Mario J. Gabelli</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w w:val="94"/>
              </w:rPr>
              <w:t>Chief Executive Officer of GGCP, Inc., and Chairman &amp; Chief Executive Officer of GAMCO Investors,</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Inc.; Director/Trustee of all registered investment companies advised by Gabelli Funds, LLC.</w:t>
            </w:r>
          </w:p>
        </w:tc>
      </w:tr>
      <w:tr>
        <w:trPr>
          <w:trHeight w:val="413"/>
        </w:trPr>
        <w:tc>
          <w:tcPr>
            <w:tcW w:w="3160" w:type="dxa"/>
            <w:vAlign w:val="bottom"/>
          </w:tcPr>
          <w:p>
            <w:pPr>
              <w:spacing w:after="0"/>
              <w:rPr>
                <w:sz w:val="20"/>
                <w:szCs w:val="20"/>
                <w:color w:val="auto"/>
              </w:rPr>
            </w:pPr>
            <w:r>
              <w:rPr>
                <w:rFonts w:ascii="Arial" w:cs="Arial" w:eastAsia="Arial" w:hAnsi="Arial"/>
                <w:sz w:val="17"/>
                <w:szCs w:val="17"/>
                <w:color w:val="auto"/>
              </w:rPr>
              <w:t>Marc J. Gabelli</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Chairman of The LGL Group, Inc.</w:t>
            </w:r>
          </w:p>
        </w:tc>
      </w:tr>
      <w:tr>
        <w:trPr>
          <w:trHeight w:val="402"/>
        </w:trPr>
        <w:tc>
          <w:tcPr>
            <w:tcW w:w="3160" w:type="dxa"/>
            <w:vAlign w:val="bottom"/>
          </w:tcPr>
          <w:p>
            <w:pPr>
              <w:spacing w:after="0"/>
              <w:rPr>
                <w:sz w:val="20"/>
                <w:szCs w:val="20"/>
                <w:color w:val="auto"/>
              </w:rPr>
            </w:pPr>
            <w:r>
              <w:rPr>
                <w:rFonts w:ascii="Arial" w:cs="Arial" w:eastAsia="Arial" w:hAnsi="Arial"/>
                <w:sz w:val="17"/>
                <w:szCs w:val="17"/>
                <w:color w:val="auto"/>
              </w:rPr>
              <w:t>Matthew R. Gabelli</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Vice President – Trading</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Gabelli &amp; Company, Inc.</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One Corporate Center</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Rye, New York 10580</w:t>
            </w:r>
          </w:p>
        </w:tc>
      </w:tr>
      <w:tr>
        <w:trPr>
          <w:trHeight w:val="402"/>
        </w:trPr>
        <w:tc>
          <w:tcPr>
            <w:tcW w:w="3160" w:type="dxa"/>
            <w:vAlign w:val="bottom"/>
          </w:tcPr>
          <w:p>
            <w:pPr>
              <w:spacing w:after="0"/>
              <w:rPr>
                <w:sz w:val="20"/>
                <w:szCs w:val="20"/>
                <w:color w:val="auto"/>
              </w:rPr>
            </w:pPr>
            <w:r>
              <w:rPr>
                <w:rFonts w:ascii="Arial" w:cs="Arial" w:eastAsia="Arial" w:hAnsi="Arial"/>
                <w:sz w:val="17"/>
                <w:szCs w:val="17"/>
                <w:color w:val="auto"/>
              </w:rPr>
              <w:t>Charles C. Baum</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Secretary &amp; Treasurer</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United Holdings Co., Inc.</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2545 Wilkens Avenue</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Baltimore, MD  21223</w:t>
            </w:r>
          </w:p>
        </w:tc>
      </w:tr>
      <w:tr>
        <w:trPr>
          <w:trHeight w:val="413"/>
        </w:trPr>
        <w:tc>
          <w:tcPr>
            <w:tcW w:w="3160" w:type="dxa"/>
            <w:vAlign w:val="bottom"/>
          </w:tcPr>
          <w:p>
            <w:pPr>
              <w:ind w:left="640"/>
              <w:spacing w:after="0"/>
              <w:rPr>
                <w:sz w:val="20"/>
                <w:szCs w:val="20"/>
                <w:color w:val="auto"/>
              </w:rPr>
            </w:pPr>
            <w:r>
              <w:rPr>
                <w:rFonts w:ascii="Arial" w:cs="Arial" w:eastAsia="Arial" w:hAnsi="Arial"/>
                <w:sz w:val="17"/>
                <w:szCs w:val="17"/>
                <w:color w:val="auto"/>
              </w:rPr>
              <w:t>Douglas R. Jamieson</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See below</w:t>
            </w:r>
          </w:p>
        </w:tc>
      </w:tr>
      <w:tr>
        <w:trPr>
          <w:trHeight w:val="413"/>
        </w:trPr>
        <w:tc>
          <w:tcPr>
            <w:tcW w:w="3160" w:type="dxa"/>
            <w:vAlign w:val="bottom"/>
          </w:tcPr>
          <w:p>
            <w:pPr>
              <w:ind w:left="620"/>
              <w:spacing w:after="0"/>
              <w:rPr>
                <w:sz w:val="20"/>
                <w:szCs w:val="20"/>
                <w:color w:val="auto"/>
              </w:rPr>
            </w:pPr>
            <w:r>
              <w:rPr>
                <w:rFonts w:ascii="Arial" w:cs="Arial" w:eastAsia="Arial" w:hAnsi="Arial"/>
                <w:sz w:val="17"/>
                <w:szCs w:val="17"/>
                <w:color w:val="auto"/>
              </w:rPr>
              <w:t>Joseph R. Rindler, Jr.</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Account Executive for GAMCO Asset Management Inc.</w:t>
            </w:r>
          </w:p>
        </w:tc>
      </w:tr>
      <w:tr>
        <w:trPr>
          <w:trHeight w:val="402"/>
        </w:trPr>
        <w:tc>
          <w:tcPr>
            <w:tcW w:w="3160" w:type="dxa"/>
            <w:vAlign w:val="bottom"/>
          </w:tcPr>
          <w:p>
            <w:pPr>
              <w:ind w:left="640"/>
              <w:spacing w:after="0"/>
              <w:rPr>
                <w:sz w:val="20"/>
                <w:szCs w:val="20"/>
                <w:color w:val="auto"/>
              </w:rPr>
            </w:pPr>
            <w:r>
              <w:rPr>
                <w:rFonts w:ascii="Arial" w:cs="Arial" w:eastAsia="Arial" w:hAnsi="Arial"/>
                <w:sz w:val="17"/>
                <w:szCs w:val="17"/>
                <w:color w:val="auto"/>
              </w:rPr>
              <w:t>Fredric V. Salerno</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Chairman; Former Vice Chairman and Chief Financial Officer</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Verizon Communications</w:t>
            </w:r>
          </w:p>
        </w:tc>
      </w:tr>
      <w:tr>
        <w:trPr>
          <w:trHeight w:val="413"/>
        </w:trPr>
        <w:tc>
          <w:tcPr>
            <w:tcW w:w="3160" w:type="dxa"/>
            <w:vAlign w:val="bottom"/>
          </w:tcPr>
          <w:p>
            <w:pPr>
              <w:ind w:left="620"/>
              <w:spacing w:after="0"/>
              <w:rPr>
                <w:sz w:val="20"/>
                <w:szCs w:val="20"/>
                <w:color w:val="auto"/>
              </w:rPr>
            </w:pPr>
            <w:r>
              <w:rPr>
                <w:rFonts w:ascii="Arial" w:cs="Arial" w:eastAsia="Arial" w:hAnsi="Arial"/>
                <w:sz w:val="17"/>
                <w:szCs w:val="17"/>
                <w:color w:val="auto"/>
              </w:rPr>
              <w:t>Vincent Capurso</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Vice President Taxes, Barnes &amp; Noble, Inc.</w:t>
            </w:r>
          </w:p>
        </w:tc>
      </w:tr>
      <w:tr>
        <w:trPr>
          <w:trHeight w:val="413"/>
        </w:trPr>
        <w:tc>
          <w:tcPr>
            <w:tcW w:w="3160" w:type="dxa"/>
            <w:vAlign w:val="bottom"/>
          </w:tcPr>
          <w:p>
            <w:pPr>
              <w:ind w:left="620"/>
              <w:spacing w:after="0"/>
              <w:rPr>
                <w:sz w:val="20"/>
                <w:szCs w:val="20"/>
                <w:color w:val="auto"/>
              </w:rPr>
            </w:pPr>
            <w:r>
              <w:rPr>
                <w:rFonts w:ascii="Arial" w:cs="Arial" w:eastAsia="Arial" w:hAnsi="Arial"/>
                <w:sz w:val="17"/>
                <w:szCs w:val="17"/>
                <w:color w:val="auto"/>
              </w:rPr>
              <w:t>Vincent S. Tese</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Former Director GAMCO Investors, Inc.</w:t>
            </w:r>
          </w:p>
        </w:tc>
      </w:tr>
      <w:tr>
        <w:trPr>
          <w:trHeight w:val="413"/>
        </w:trPr>
        <w:tc>
          <w:tcPr>
            <w:tcW w:w="3160" w:type="dxa"/>
            <w:vAlign w:val="bottom"/>
          </w:tcPr>
          <w:p>
            <w:pPr>
              <w:ind w:left="640"/>
              <w:spacing w:after="0"/>
              <w:rPr>
                <w:sz w:val="20"/>
                <w:szCs w:val="20"/>
                <w:color w:val="auto"/>
              </w:rPr>
            </w:pPr>
            <w:r>
              <w:rPr>
                <w:rFonts w:ascii="Arial" w:cs="Arial" w:eastAsia="Arial" w:hAnsi="Arial"/>
                <w:sz w:val="17"/>
                <w:szCs w:val="17"/>
                <w:color w:val="auto"/>
              </w:rPr>
              <w:t>Michael Gabelli</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Director</w:t>
            </w:r>
          </w:p>
        </w:tc>
      </w:tr>
      <w:tr>
        <w:trPr>
          <w:trHeight w:val="413"/>
        </w:trPr>
        <w:tc>
          <w:tcPr>
            <w:tcW w:w="3160" w:type="dxa"/>
            <w:vAlign w:val="bottom"/>
          </w:tcPr>
          <w:p>
            <w:pPr>
              <w:ind w:left="640"/>
              <w:spacing w:after="0"/>
              <w:rPr>
                <w:sz w:val="20"/>
                <w:szCs w:val="20"/>
                <w:color w:val="auto"/>
              </w:rPr>
            </w:pPr>
            <w:r>
              <w:rPr>
                <w:rFonts w:ascii="Arial" w:cs="Arial" w:eastAsia="Arial" w:hAnsi="Arial"/>
                <w:sz w:val="17"/>
                <w:szCs w:val="17"/>
                <w:color w:val="auto"/>
              </w:rPr>
              <w:t>John Gabelli</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Director</w:t>
            </w:r>
          </w:p>
        </w:tc>
      </w:tr>
      <w:tr>
        <w:trPr>
          <w:trHeight w:val="815"/>
        </w:trPr>
        <w:tc>
          <w:tcPr>
            <w:tcW w:w="3160" w:type="dxa"/>
            <w:vAlign w:val="bottom"/>
          </w:tcPr>
          <w:p>
            <w:pPr>
              <w:spacing w:after="0"/>
              <w:rPr>
                <w:sz w:val="20"/>
                <w:szCs w:val="20"/>
                <w:color w:val="auto"/>
              </w:rPr>
            </w:pPr>
            <w:r>
              <w:rPr>
                <w:rFonts w:ascii="Arial" w:cs="Arial" w:eastAsia="Arial" w:hAnsi="Arial"/>
                <w:sz w:val="17"/>
                <w:szCs w:val="17"/>
                <w:color w:val="auto"/>
              </w:rPr>
              <w:t>Officers: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7"/>
                <w:szCs w:val="17"/>
                <w:color w:val="auto"/>
              </w:rPr>
              <w:t>Mario J. Gabelli</w:t>
            </w:r>
          </w:p>
        </w:tc>
        <w:tc>
          <w:tcPr>
            <w:tcW w:w="980" w:type="dxa"/>
            <w:vAlign w:val="bottom"/>
          </w:tcPr>
          <w:p>
            <w:pPr>
              <w:spacing w:after="0"/>
              <w:rPr>
                <w:sz w:val="18"/>
                <w:szCs w:val="18"/>
                <w:color w:val="auto"/>
              </w:rPr>
            </w:pPr>
          </w:p>
        </w:tc>
        <w:tc>
          <w:tcPr>
            <w:tcW w:w="7180" w:type="dxa"/>
            <w:vAlign w:val="bottom"/>
            <w:gridSpan w:val="2"/>
          </w:tcPr>
          <w:p>
            <w:pPr>
              <w:ind w:left="40"/>
              <w:spacing w:after="0"/>
              <w:rPr>
                <w:sz w:val="20"/>
                <w:szCs w:val="20"/>
                <w:color w:val="auto"/>
              </w:rPr>
            </w:pPr>
            <w:r>
              <w:rPr>
                <w:rFonts w:ascii="Arial" w:cs="Arial" w:eastAsia="Arial" w:hAnsi="Arial"/>
                <w:sz w:val="17"/>
                <w:szCs w:val="17"/>
                <w:color w:val="auto"/>
              </w:rPr>
              <w:t>Chief Executive Officer and Chief Investment Officer</w:t>
            </w:r>
          </w:p>
        </w:tc>
      </w:tr>
      <w:tr>
        <w:trPr>
          <w:trHeight w:val="413"/>
        </w:trPr>
        <w:tc>
          <w:tcPr>
            <w:tcW w:w="3160" w:type="dxa"/>
            <w:vAlign w:val="bottom"/>
          </w:tcPr>
          <w:p>
            <w:pPr>
              <w:spacing w:after="0"/>
              <w:rPr>
                <w:sz w:val="20"/>
                <w:szCs w:val="20"/>
                <w:color w:val="auto"/>
              </w:rPr>
            </w:pPr>
            <w:r>
              <w:rPr>
                <w:rFonts w:ascii="Arial" w:cs="Arial" w:eastAsia="Arial" w:hAnsi="Arial"/>
                <w:sz w:val="17"/>
                <w:szCs w:val="17"/>
                <w:color w:val="auto"/>
              </w:rPr>
              <w:t>Michael G. Chieco</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Chief Financial Officer, Secretary</w:t>
            </w:r>
          </w:p>
        </w:tc>
      </w:tr>
      <w:tr>
        <w:trPr>
          <w:trHeight w:val="609"/>
        </w:trPr>
        <w:tc>
          <w:tcPr>
            <w:tcW w:w="3160" w:type="dxa"/>
            <w:vAlign w:val="bottom"/>
          </w:tcPr>
          <w:p>
            <w:pPr>
              <w:spacing w:after="0"/>
              <w:rPr>
                <w:sz w:val="20"/>
                <w:szCs w:val="20"/>
                <w:color w:val="auto"/>
              </w:rPr>
            </w:pPr>
            <w:r>
              <w:rPr>
                <w:rFonts w:ascii="Arial" w:cs="Arial" w:eastAsia="Arial" w:hAnsi="Arial"/>
                <w:sz w:val="17"/>
                <w:szCs w:val="17"/>
                <w:color w:val="auto"/>
              </w:rPr>
              <w:t>GAMCO Investors, Inc.</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25"/>
        </w:trPr>
        <w:tc>
          <w:tcPr>
            <w:tcW w:w="3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Directors:</w:t>
            </w:r>
          </w:p>
        </w:tc>
        <w:tc>
          <w:tcPr>
            <w:tcW w:w="98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6200" w:type="dxa"/>
            <w:vAlign w:val="bottom"/>
          </w:tcPr>
          <w:p>
            <w:pPr>
              <w:spacing w:after="0"/>
              <w:rPr>
                <w:sz w:val="19"/>
                <w:szCs w:val="19"/>
                <w:color w:val="auto"/>
              </w:rPr>
            </w:pPr>
          </w:p>
        </w:tc>
      </w:tr>
      <w:tr>
        <w:trPr>
          <w:trHeight w:val="401"/>
        </w:trPr>
        <w:tc>
          <w:tcPr>
            <w:tcW w:w="3160" w:type="dxa"/>
            <w:vAlign w:val="bottom"/>
          </w:tcPr>
          <w:p>
            <w:pPr>
              <w:ind w:left="640"/>
              <w:spacing w:after="0"/>
              <w:rPr>
                <w:sz w:val="20"/>
                <w:szCs w:val="20"/>
                <w:color w:val="auto"/>
              </w:rPr>
            </w:pPr>
            <w:r>
              <w:rPr>
                <w:rFonts w:ascii="Arial" w:cs="Arial" w:eastAsia="Arial" w:hAnsi="Arial"/>
                <w:sz w:val="17"/>
                <w:szCs w:val="17"/>
                <w:color w:val="auto"/>
              </w:rPr>
              <w:t>Edwin L. Artzt</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Former Chairman and Chief Executive Officer</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Procter &amp; Gamble Company</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900 Adams Crossing</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Cincinnati, OH 45202</w:t>
            </w:r>
          </w:p>
        </w:tc>
      </w:tr>
      <w:tr>
        <w:trPr>
          <w:trHeight w:val="402"/>
        </w:trPr>
        <w:tc>
          <w:tcPr>
            <w:tcW w:w="3160" w:type="dxa"/>
            <w:vAlign w:val="bottom"/>
          </w:tcPr>
          <w:p>
            <w:pPr>
              <w:ind w:left="620"/>
              <w:spacing w:after="0"/>
              <w:rPr>
                <w:sz w:val="20"/>
                <w:szCs w:val="20"/>
                <w:color w:val="auto"/>
              </w:rPr>
            </w:pPr>
            <w:r>
              <w:rPr>
                <w:rFonts w:ascii="Arial" w:cs="Arial" w:eastAsia="Arial" w:hAnsi="Arial"/>
                <w:sz w:val="17"/>
                <w:szCs w:val="17"/>
                <w:color w:val="auto"/>
              </w:rPr>
              <w:t>Raymond C. Avansino</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Chairman &amp; Chief Executive Officer</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E.L. Wiegand Foundation</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Reno, NV 89501</w:t>
            </w:r>
          </w:p>
        </w:tc>
      </w:tr>
      <w:tr>
        <w:trPr>
          <w:trHeight w:val="402"/>
        </w:trPr>
        <w:tc>
          <w:tcPr>
            <w:tcW w:w="3160" w:type="dxa"/>
            <w:vAlign w:val="bottom"/>
          </w:tcPr>
          <w:p>
            <w:pPr>
              <w:ind w:left="600"/>
              <w:spacing w:after="0"/>
              <w:rPr>
                <w:sz w:val="20"/>
                <w:szCs w:val="20"/>
                <w:color w:val="auto"/>
              </w:rPr>
            </w:pPr>
            <w:r>
              <w:rPr>
                <w:rFonts w:ascii="Arial" w:cs="Arial" w:eastAsia="Arial" w:hAnsi="Arial"/>
                <w:sz w:val="17"/>
                <w:szCs w:val="17"/>
                <w:color w:val="auto"/>
              </w:rPr>
              <w:t>Richard L. Bready</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Chairman and Chief Executive Officer</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Nortek, Inc.</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50 Kennedy Plaza</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Providence, RI 02903</w:t>
            </w:r>
          </w:p>
        </w:tc>
      </w:tr>
      <w:tr>
        <w:trPr>
          <w:trHeight w:val="413"/>
        </w:trPr>
        <w:tc>
          <w:tcPr>
            <w:tcW w:w="3160" w:type="dxa"/>
            <w:vAlign w:val="bottom"/>
          </w:tcPr>
          <w:p>
            <w:pPr>
              <w:spacing w:after="0"/>
              <w:rPr>
                <w:sz w:val="20"/>
                <w:szCs w:val="20"/>
                <w:color w:val="auto"/>
              </w:rPr>
            </w:pPr>
            <w:r>
              <w:rPr>
                <w:rFonts w:ascii="Arial" w:cs="Arial" w:eastAsia="Arial" w:hAnsi="Arial"/>
                <w:sz w:val="17"/>
                <w:szCs w:val="17"/>
                <w:color w:val="auto"/>
              </w:rPr>
              <w:t>Mario J. Gabelli</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See above</w:t>
            </w:r>
          </w:p>
        </w:tc>
      </w:tr>
      <w:tr>
        <w:trPr>
          <w:trHeight w:val="413"/>
        </w:trPr>
        <w:tc>
          <w:tcPr>
            <w:tcW w:w="3160" w:type="dxa"/>
            <w:vAlign w:val="bottom"/>
          </w:tcPr>
          <w:p>
            <w:pPr>
              <w:ind w:left="640"/>
              <w:spacing w:after="0"/>
              <w:rPr>
                <w:sz w:val="20"/>
                <w:szCs w:val="20"/>
                <w:color w:val="auto"/>
              </w:rPr>
            </w:pPr>
            <w:r>
              <w:rPr>
                <w:rFonts w:ascii="Arial" w:cs="Arial" w:eastAsia="Arial" w:hAnsi="Arial"/>
                <w:sz w:val="17"/>
                <w:szCs w:val="17"/>
                <w:color w:val="auto"/>
              </w:rPr>
              <w:t>Elisa M. Wilson</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Director</w:t>
            </w:r>
          </w:p>
        </w:tc>
      </w:tr>
      <w:tr>
        <w:trPr>
          <w:trHeight w:val="402"/>
        </w:trPr>
        <w:tc>
          <w:tcPr>
            <w:tcW w:w="3160" w:type="dxa"/>
            <w:vAlign w:val="bottom"/>
          </w:tcPr>
          <w:p>
            <w:pPr>
              <w:ind w:left="640"/>
              <w:spacing w:after="0"/>
              <w:rPr>
                <w:sz w:val="20"/>
                <w:szCs w:val="20"/>
                <w:color w:val="auto"/>
              </w:rPr>
            </w:pPr>
            <w:r>
              <w:rPr>
                <w:rFonts w:ascii="Arial" w:cs="Arial" w:eastAsia="Arial" w:hAnsi="Arial"/>
                <w:sz w:val="17"/>
                <w:szCs w:val="17"/>
                <w:color w:val="auto"/>
              </w:rPr>
              <w:t>Eugene R. McGrath</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Former Chairman and Chief Executive Officer</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Consolidated Edison, Inc.</w:t>
            </w:r>
          </w:p>
        </w:tc>
      </w:tr>
      <w:tr>
        <w:trPr>
          <w:trHeight w:val="402"/>
        </w:trPr>
        <w:tc>
          <w:tcPr>
            <w:tcW w:w="3160" w:type="dxa"/>
            <w:vAlign w:val="bottom"/>
          </w:tcPr>
          <w:p>
            <w:pPr>
              <w:ind w:left="640"/>
              <w:spacing w:after="0"/>
              <w:rPr>
                <w:sz w:val="20"/>
                <w:szCs w:val="20"/>
                <w:color w:val="auto"/>
              </w:rPr>
            </w:pPr>
            <w:r>
              <w:rPr>
                <w:rFonts w:ascii="Arial" w:cs="Arial" w:eastAsia="Arial" w:hAnsi="Arial"/>
                <w:sz w:val="17"/>
                <w:szCs w:val="17"/>
                <w:color w:val="auto"/>
              </w:rPr>
              <w:t>Robert S. Prather</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President &amp; Chief Operating Officer</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Gray Television, Inc.</w:t>
            </w:r>
          </w:p>
        </w:tc>
      </w:tr>
      <w:tr>
        <w:trPr>
          <w:trHeight w:val="206"/>
        </w:trPr>
        <w:tc>
          <w:tcPr>
            <w:tcW w:w="3160" w:type="dxa"/>
            <w:vAlign w:val="bottom"/>
          </w:tcPr>
          <w:p>
            <w:pPr>
              <w:spacing w:after="0"/>
              <w:rPr>
                <w:sz w:val="17"/>
                <w:szCs w:val="17"/>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4370 Peachtree Road, NE</w:t>
            </w:r>
          </w:p>
        </w:tc>
      </w:tr>
      <w:tr>
        <w:trPr>
          <w:trHeight w:val="217"/>
        </w:trPr>
        <w:tc>
          <w:tcPr>
            <w:tcW w:w="3160" w:type="dxa"/>
            <w:vAlign w:val="bottom"/>
          </w:tcPr>
          <w:p>
            <w:pPr>
              <w:spacing w:after="0"/>
              <w:rPr>
                <w:sz w:val="18"/>
                <w:szCs w:val="18"/>
                <w:color w:val="auto"/>
              </w:rPr>
            </w:pP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Atlanta, GA 30319</w:t>
            </w:r>
          </w:p>
        </w:tc>
      </w:tr>
      <w:tr>
        <w:trPr>
          <w:trHeight w:val="402"/>
        </w:trPr>
        <w:tc>
          <w:tcPr>
            <w:tcW w:w="3160" w:type="dxa"/>
            <w:vAlign w:val="bottom"/>
          </w:tcPr>
          <w:p>
            <w:pPr>
              <w:spacing w:after="0"/>
              <w:rPr>
                <w:sz w:val="20"/>
                <w:szCs w:val="20"/>
                <w:color w:val="auto"/>
              </w:rPr>
            </w:pPr>
            <w:r>
              <w:rPr>
                <w:rFonts w:ascii="Arial" w:cs="Arial" w:eastAsia="Arial" w:hAnsi="Arial"/>
                <w:sz w:val="17"/>
                <w:szCs w:val="17"/>
                <w:color w:val="auto"/>
              </w:rPr>
              <w:t>Officers: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7"/>
                <w:szCs w:val="17"/>
                <w:color w:val="auto"/>
              </w:rPr>
              <w:t>Mario J. Gabelli</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Chairman and Chief Executive Officer</w:t>
            </w:r>
          </w:p>
        </w:tc>
      </w:tr>
      <w:tr>
        <w:trPr>
          <w:trHeight w:val="413"/>
        </w:trPr>
        <w:tc>
          <w:tcPr>
            <w:tcW w:w="3160" w:type="dxa"/>
            <w:vAlign w:val="bottom"/>
          </w:tcPr>
          <w:p>
            <w:pPr>
              <w:ind w:left="620"/>
              <w:spacing w:after="0"/>
              <w:rPr>
                <w:sz w:val="20"/>
                <w:szCs w:val="20"/>
                <w:color w:val="auto"/>
              </w:rPr>
            </w:pPr>
            <w:r>
              <w:rPr>
                <w:rFonts w:ascii="Arial" w:cs="Arial" w:eastAsia="Arial" w:hAnsi="Arial"/>
                <w:sz w:val="17"/>
                <w:szCs w:val="17"/>
                <w:color w:val="auto"/>
              </w:rPr>
              <w:t>Douglas R. Jamieson</w:t>
            </w:r>
          </w:p>
        </w:tc>
        <w:tc>
          <w:tcPr>
            <w:tcW w:w="8160" w:type="dxa"/>
            <w:vAlign w:val="bottom"/>
            <w:gridSpan w:val="3"/>
          </w:tcPr>
          <w:p>
            <w:pPr>
              <w:ind w:left="980"/>
              <w:spacing w:after="0"/>
              <w:rPr>
                <w:sz w:val="20"/>
                <w:szCs w:val="20"/>
                <w:color w:val="auto"/>
              </w:rPr>
            </w:pPr>
            <w:r>
              <w:rPr>
                <w:rFonts w:ascii="Arial" w:cs="Arial" w:eastAsia="Arial" w:hAnsi="Arial"/>
                <w:sz w:val="17"/>
                <w:szCs w:val="17"/>
                <w:color w:val="auto"/>
              </w:rPr>
              <w:t>President and Chief Operating Officer</w:t>
            </w:r>
          </w:p>
        </w:tc>
      </w:tr>
    </w:tbl>
    <w:p>
      <w:pPr>
        <w:sectPr>
          <w:pgSz w:w="11900" w:h="16838" w:orient="portrait"/>
          <w:cols w:equalWidth="0" w:num="1">
            <w:col w:w="11320"/>
          </w:cols>
          <w:pgMar w:left="240" w:top="824"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ind w:left="620"/>
              <w:spacing w:after="0"/>
              <w:rPr>
                <w:sz w:val="20"/>
                <w:szCs w:val="20"/>
                <w:color w:val="auto"/>
              </w:rPr>
            </w:pPr>
            <w:r>
              <w:rPr>
                <w:rFonts w:ascii="Arial" w:cs="Arial" w:eastAsia="Arial" w:hAnsi="Arial"/>
                <w:sz w:val="17"/>
                <w:szCs w:val="17"/>
                <w:color w:val="auto"/>
              </w:rPr>
              <w:t>Henry G. Van der Eb</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Senior Vice President</w:t>
            </w:r>
          </w:p>
        </w:tc>
      </w:tr>
      <w:tr>
        <w:trPr>
          <w:trHeight w:val="413"/>
        </w:trPr>
        <w:tc>
          <w:tcPr>
            <w:tcW w:w="3240" w:type="dxa"/>
            <w:vAlign w:val="bottom"/>
          </w:tcPr>
          <w:p>
            <w:pPr>
              <w:ind w:left="620"/>
              <w:spacing w:after="0"/>
              <w:rPr>
                <w:sz w:val="20"/>
                <w:szCs w:val="20"/>
                <w:color w:val="auto"/>
              </w:rPr>
            </w:pPr>
            <w:r>
              <w:rPr>
                <w:rFonts w:ascii="Arial" w:cs="Arial" w:eastAsia="Arial" w:hAnsi="Arial"/>
                <w:sz w:val="17"/>
                <w:szCs w:val="17"/>
                <w:color w:val="auto"/>
              </w:rPr>
              <w:t>Bruce N. Alpert</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Senior Vice President</w:t>
            </w:r>
          </w:p>
        </w:tc>
      </w:tr>
      <w:tr>
        <w:trPr>
          <w:trHeight w:val="413"/>
        </w:trPr>
        <w:tc>
          <w:tcPr>
            <w:tcW w:w="3240" w:type="dxa"/>
            <w:vAlign w:val="bottom"/>
          </w:tcPr>
          <w:p>
            <w:pPr>
              <w:ind w:left="620"/>
              <w:spacing w:after="0"/>
              <w:rPr>
                <w:sz w:val="20"/>
                <w:szCs w:val="20"/>
                <w:color w:val="auto"/>
              </w:rPr>
            </w:pPr>
            <w:r>
              <w:rPr>
                <w:rFonts w:ascii="Arial" w:cs="Arial" w:eastAsia="Arial" w:hAnsi="Arial"/>
                <w:sz w:val="17"/>
                <w:szCs w:val="17"/>
                <w:color w:val="auto"/>
              </w:rPr>
              <w:t>Jeffrey M. Farber</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w w:val="97"/>
              </w:rPr>
              <w:t>Executive Vice President and Chief Financial Officer</w:t>
            </w:r>
          </w:p>
        </w:tc>
      </w:tr>
      <w:tr>
        <w:trPr>
          <w:trHeight w:val="413"/>
        </w:trPr>
        <w:tc>
          <w:tcPr>
            <w:tcW w:w="3240" w:type="dxa"/>
            <w:vAlign w:val="bottom"/>
          </w:tcPr>
          <w:p>
            <w:pPr>
              <w:ind w:left="620"/>
              <w:spacing w:after="0"/>
              <w:rPr>
                <w:sz w:val="20"/>
                <w:szCs w:val="20"/>
                <w:color w:val="auto"/>
              </w:rPr>
            </w:pPr>
            <w:r>
              <w:rPr>
                <w:rFonts w:ascii="Arial" w:cs="Arial" w:eastAsia="Arial" w:hAnsi="Arial"/>
                <w:sz w:val="17"/>
                <w:szCs w:val="17"/>
                <w:color w:val="auto"/>
              </w:rPr>
              <w:t>Christopher Michailoff</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Acting Secretary</w:t>
            </w:r>
          </w:p>
        </w:tc>
      </w:tr>
      <w:tr>
        <w:trPr>
          <w:trHeight w:val="402"/>
        </w:trPr>
        <w:tc>
          <w:tcPr>
            <w:tcW w:w="3240" w:type="dxa"/>
            <w:vAlign w:val="bottom"/>
          </w:tcPr>
          <w:p>
            <w:pPr>
              <w:spacing w:after="0"/>
              <w:rPr>
                <w:sz w:val="20"/>
                <w:szCs w:val="20"/>
                <w:color w:val="auto"/>
              </w:rPr>
            </w:pPr>
            <w:r>
              <w:rPr>
                <w:rFonts w:ascii="Arial" w:cs="Arial" w:eastAsia="Arial" w:hAnsi="Arial"/>
                <w:sz w:val="17"/>
                <w:szCs w:val="17"/>
                <w:color w:val="auto"/>
              </w:rPr>
              <w:t>GAMCO Asset Management Inc.</w:t>
            </w:r>
          </w:p>
        </w:tc>
        <w:tc>
          <w:tcPr>
            <w:tcW w:w="9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7"/>
                <w:szCs w:val="17"/>
                <w:color w:val="auto"/>
              </w:rPr>
              <w:t>Directors:</w:t>
            </w:r>
          </w:p>
        </w:tc>
        <w:tc>
          <w:tcPr>
            <w:tcW w:w="9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4"/>
        </w:trPr>
        <w:tc>
          <w:tcPr>
            <w:tcW w:w="3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60" w:type="dxa"/>
            <w:vAlign w:val="bottom"/>
          </w:tcPr>
          <w:p>
            <w:pPr>
              <w:spacing w:after="0"/>
              <w:rPr>
                <w:sz w:val="18"/>
                <w:szCs w:val="18"/>
                <w:color w:val="auto"/>
              </w:rPr>
            </w:pPr>
          </w:p>
        </w:tc>
      </w:tr>
      <w:tr>
        <w:trPr>
          <w:trHeight w:val="194"/>
        </w:trPr>
        <w:tc>
          <w:tcPr>
            <w:tcW w:w="3240" w:type="dxa"/>
            <w:vAlign w:val="bottom"/>
          </w:tcPr>
          <w:p>
            <w:pPr>
              <w:spacing w:after="0" w:line="194" w:lineRule="exact"/>
              <w:rPr>
                <w:sz w:val="20"/>
                <w:szCs w:val="20"/>
                <w:color w:val="auto"/>
              </w:rPr>
            </w:pPr>
            <w:r>
              <w:rPr>
                <w:rFonts w:ascii="Arial" w:cs="Arial" w:eastAsia="Arial" w:hAnsi="Arial"/>
                <w:sz w:val="17"/>
                <w:szCs w:val="17"/>
                <w:color w:val="auto"/>
              </w:rPr>
              <w:t>Douglas R. Jamieson</w:t>
            </w:r>
          </w:p>
        </w:tc>
        <w:tc>
          <w:tcPr>
            <w:tcW w:w="90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7"/>
                <w:szCs w:val="17"/>
                <w:color w:val="auto"/>
              </w:rPr>
              <w:t>Regina M. Pitaro</w:t>
            </w:r>
          </w:p>
        </w:tc>
        <w:tc>
          <w:tcPr>
            <w:tcW w:w="90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7"/>
                <w:szCs w:val="17"/>
                <w:color w:val="auto"/>
              </w:rPr>
              <w:t>William S. Selby</w:t>
            </w:r>
          </w:p>
        </w:tc>
        <w:tc>
          <w:tcPr>
            <w:tcW w:w="9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413"/>
        </w:trPr>
        <w:tc>
          <w:tcPr>
            <w:tcW w:w="3240" w:type="dxa"/>
            <w:vAlign w:val="bottom"/>
          </w:tcPr>
          <w:p>
            <w:pPr>
              <w:spacing w:after="0"/>
              <w:rPr>
                <w:sz w:val="20"/>
                <w:szCs w:val="20"/>
                <w:color w:val="auto"/>
              </w:rPr>
            </w:pPr>
            <w:r>
              <w:rPr>
                <w:rFonts w:ascii="Arial" w:cs="Arial" w:eastAsia="Arial" w:hAnsi="Arial"/>
                <w:sz w:val="17"/>
                <w:szCs w:val="17"/>
                <w:color w:val="auto"/>
              </w:rPr>
              <w:t>Officers:</w:t>
            </w:r>
          </w:p>
        </w:tc>
        <w:tc>
          <w:tcPr>
            <w:tcW w:w="9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13"/>
        </w:trPr>
        <w:tc>
          <w:tcPr>
            <w:tcW w:w="3240" w:type="dxa"/>
            <w:vAlign w:val="bottom"/>
          </w:tcPr>
          <w:p>
            <w:pPr>
              <w:spacing w:after="0"/>
              <w:rPr>
                <w:sz w:val="20"/>
                <w:szCs w:val="20"/>
                <w:color w:val="auto"/>
              </w:rPr>
            </w:pPr>
            <w:r>
              <w:rPr>
                <w:rFonts w:ascii="Arial" w:cs="Arial" w:eastAsia="Arial" w:hAnsi="Arial"/>
                <w:sz w:val="17"/>
                <w:szCs w:val="17"/>
                <w:color w:val="auto"/>
              </w:rPr>
              <w:t>Mario J. Gabelli</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Chief Investment Officer – Value Portfolios</w:t>
            </w:r>
          </w:p>
        </w:tc>
      </w:tr>
      <w:tr>
        <w:trPr>
          <w:trHeight w:val="619"/>
        </w:trPr>
        <w:tc>
          <w:tcPr>
            <w:tcW w:w="3240" w:type="dxa"/>
            <w:vAlign w:val="bottom"/>
          </w:tcPr>
          <w:p>
            <w:pPr>
              <w:spacing w:after="0"/>
              <w:rPr>
                <w:sz w:val="20"/>
                <w:szCs w:val="20"/>
                <w:color w:val="auto"/>
              </w:rPr>
            </w:pPr>
            <w:r>
              <w:rPr>
                <w:rFonts w:ascii="Arial" w:cs="Arial" w:eastAsia="Arial" w:hAnsi="Arial"/>
                <w:sz w:val="17"/>
                <w:szCs w:val="17"/>
                <w:color w:val="auto"/>
              </w:rPr>
              <w:t>Douglas R. Jamieson</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President</w:t>
            </w:r>
          </w:p>
        </w:tc>
      </w:tr>
      <w:tr>
        <w:trPr>
          <w:trHeight w:val="619"/>
        </w:trPr>
        <w:tc>
          <w:tcPr>
            <w:tcW w:w="3240" w:type="dxa"/>
            <w:vAlign w:val="bottom"/>
          </w:tcPr>
          <w:p>
            <w:pPr>
              <w:ind w:left="620"/>
              <w:spacing w:after="0"/>
              <w:rPr>
                <w:sz w:val="20"/>
                <w:szCs w:val="20"/>
                <w:color w:val="auto"/>
              </w:rPr>
            </w:pPr>
            <w:r>
              <w:rPr>
                <w:rFonts w:ascii="Arial" w:cs="Arial" w:eastAsia="Arial" w:hAnsi="Arial"/>
                <w:sz w:val="17"/>
                <w:szCs w:val="17"/>
                <w:color w:val="auto"/>
              </w:rPr>
              <w:t>Jeffrey M. Farber</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Chief Financial Officer</w:t>
            </w:r>
          </w:p>
        </w:tc>
      </w:tr>
      <w:tr>
        <w:trPr>
          <w:trHeight w:val="619"/>
        </w:trPr>
        <w:tc>
          <w:tcPr>
            <w:tcW w:w="3240" w:type="dxa"/>
            <w:vAlign w:val="bottom"/>
          </w:tcPr>
          <w:p>
            <w:pPr>
              <w:ind w:left="640"/>
              <w:spacing w:after="0"/>
              <w:rPr>
                <w:sz w:val="20"/>
                <w:szCs w:val="20"/>
                <w:color w:val="auto"/>
              </w:rPr>
            </w:pPr>
            <w:r>
              <w:rPr>
                <w:rFonts w:ascii="Arial" w:cs="Arial" w:eastAsia="Arial" w:hAnsi="Arial"/>
                <w:sz w:val="17"/>
                <w:szCs w:val="17"/>
                <w:color w:val="auto"/>
              </w:rPr>
              <w:t>Chistopher J. Michailoff</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General Counsel and Secretary</w:t>
            </w:r>
          </w:p>
        </w:tc>
      </w:tr>
      <w:tr>
        <w:trPr>
          <w:trHeight w:val="402"/>
        </w:trPr>
        <w:tc>
          <w:tcPr>
            <w:tcW w:w="3240" w:type="dxa"/>
            <w:vAlign w:val="bottom"/>
          </w:tcPr>
          <w:p>
            <w:pPr>
              <w:spacing w:after="0"/>
              <w:rPr>
                <w:sz w:val="20"/>
                <w:szCs w:val="20"/>
                <w:color w:val="auto"/>
              </w:rPr>
            </w:pPr>
            <w:r>
              <w:rPr>
                <w:rFonts w:ascii="Arial" w:cs="Arial" w:eastAsia="Arial" w:hAnsi="Arial"/>
                <w:sz w:val="17"/>
                <w:szCs w:val="17"/>
                <w:color w:val="auto"/>
              </w:rPr>
              <w:t>Gabelli Funds, LLC</w:t>
            </w:r>
          </w:p>
        </w:tc>
        <w:tc>
          <w:tcPr>
            <w:tcW w:w="9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7"/>
                <w:szCs w:val="17"/>
                <w:color w:val="auto"/>
              </w:rPr>
              <w:t>Officers:</w:t>
            </w:r>
          </w:p>
        </w:tc>
        <w:tc>
          <w:tcPr>
            <w:tcW w:w="9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4"/>
        </w:trPr>
        <w:tc>
          <w:tcPr>
            <w:tcW w:w="3240" w:type="dxa"/>
            <w:vAlign w:val="bottom"/>
          </w:tcPr>
          <w:p>
            <w:pPr>
              <w:spacing w:after="0"/>
              <w:rPr>
                <w:sz w:val="18"/>
                <w:szCs w:val="18"/>
                <w:color w:val="auto"/>
              </w:rPr>
            </w:pPr>
          </w:p>
        </w:tc>
        <w:tc>
          <w:tcPr>
            <w:tcW w:w="4760" w:type="dxa"/>
            <w:vAlign w:val="bottom"/>
            <w:gridSpan w:val="2"/>
          </w:tcPr>
          <w:p>
            <w:pPr>
              <w:spacing w:after="0"/>
              <w:rPr>
                <w:sz w:val="18"/>
                <w:szCs w:val="18"/>
                <w:color w:val="auto"/>
              </w:rPr>
            </w:pPr>
          </w:p>
        </w:tc>
      </w:tr>
      <w:tr>
        <w:trPr>
          <w:trHeight w:val="217"/>
        </w:trPr>
        <w:tc>
          <w:tcPr>
            <w:tcW w:w="3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Mario J. Gabelli</w:t>
            </w:r>
          </w:p>
        </w:tc>
        <w:tc>
          <w:tcPr>
            <w:tcW w:w="900" w:type="dxa"/>
            <w:vAlign w:val="bottom"/>
            <w:tcBorders>
              <w:top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Chief Investment Officer – Value Portfolios</w:t>
            </w:r>
          </w:p>
        </w:tc>
      </w:tr>
      <w:tr>
        <w:trPr>
          <w:trHeight w:val="401"/>
        </w:trPr>
        <w:tc>
          <w:tcPr>
            <w:tcW w:w="3240" w:type="dxa"/>
            <w:vAlign w:val="bottom"/>
          </w:tcPr>
          <w:p>
            <w:pPr>
              <w:spacing w:after="0"/>
              <w:rPr>
                <w:sz w:val="20"/>
                <w:szCs w:val="20"/>
                <w:color w:val="auto"/>
              </w:rPr>
            </w:pPr>
            <w:r>
              <w:rPr>
                <w:rFonts w:ascii="Arial" w:cs="Arial" w:eastAsia="Arial" w:hAnsi="Arial"/>
                <w:sz w:val="17"/>
                <w:szCs w:val="17"/>
                <w:color w:val="auto"/>
              </w:rPr>
              <w:t>Bruce N. Alpert</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w w:val="96"/>
              </w:rPr>
              <w:t>Executive Vice President and Chief Operating Officer</w:t>
            </w:r>
          </w:p>
        </w:tc>
      </w:tr>
      <w:tr>
        <w:trPr>
          <w:trHeight w:val="413"/>
        </w:trPr>
        <w:tc>
          <w:tcPr>
            <w:tcW w:w="3240" w:type="dxa"/>
            <w:vAlign w:val="bottom"/>
          </w:tcPr>
          <w:p>
            <w:pPr>
              <w:ind w:left="640"/>
              <w:spacing w:after="0"/>
              <w:rPr>
                <w:sz w:val="20"/>
                <w:szCs w:val="20"/>
                <w:color w:val="auto"/>
              </w:rPr>
            </w:pPr>
            <w:r>
              <w:rPr>
                <w:rFonts w:ascii="Arial" w:cs="Arial" w:eastAsia="Arial" w:hAnsi="Arial"/>
                <w:sz w:val="17"/>
                <w:szCs w:val="17"/>
                <w:color w:val="auto"/>
              </w:rPr>
              <w:t>Agnes Mullady</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w w:val="91"/>
              </w:rPr>
              <w:t>Vice President and President Closed-End Fund Division</w:t>
            </w:r>
          </w:p>
        </w:tc>
      </w:tr>
      <w:tr>
        <w:trPr>
          <w:trHeight w:val="815"/>
        </w:trPr>
        <w:tc>
          <w:tcPr>
            <w:tcW w:w="3240" w:type="dxa"/>
            <w:vAlign w:val="bottom"/>
          </w:tcPr>
          <w:p>
            <w:pPr>
              <w:spacing w:after="0"/>
              <w:rPr>
                <w:sz w:val="20"/>
                <w:szCs w:val="20"/>
                <w:color w:val="auto"/>
              </w:rPr>
            </w:pPr>
            <w:r>
              <w:rPr>
                <w:rFonts w:ascii="Arial" w:cs="Arial" w:eastAsia="Arial" w:hAnsi="Arial"/>
                <w:sz w:val="17"/>
                <w:szCs w:val="17"/>
                <w:color w:val="auto"/>
              </w:rPr>
              <w:t>Teton Advisors, Inc.</w:t>
            </w:r>
          </w:p>
        </w:tc>
        <w:tc>
          <w:tcPr>
            <w:tcW w:w="9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7"/>
                <w:szCs w:val="17"/>
                <w:color w:val="auto"/>
              </w:rPr>
              <w:t>Directors:</w:t>
            </w:r>
          </w:p>
        </w:tc>
        <w:tc>
          <w:tcPr>
            <w:tcW w:w="9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4"/>
        </w:trPr>
        <w:tc>
          <w:tcPr>
            <w:tcW w:w="3240" w:type="dxa"/>
            <w:vAlign w:val="bottom"/>
          </w:tcPr>
          <w:p>
            <w:pPr>
              <w:spacing w:after="0"/>
              <w:rPr>
                <w:sz w:val="18"/>
                <w:szCs w:val="18"/>
                <w:color w:val="auto"/>
              </w:rPr>
            </w:pPr>
          </w:p>
        </w:tc>
        <w:tc>
          <w:tcPr>
            <w:tcW w:w="4760" w:type="dxa"/>
            <w:vAlign w:val="bottom"/>
            <w:gridSpan w:val="2"/>
          </w:tcPr>
          <w:p>
            <w:pPr>
              <w:spacing w:after="0"/>
              <w:rPr>
                <w:sz w:val="18"/>
                <w:szCs w:val="18"/>
                <w:color w:val="auto"/>
              </w:rPr>
            </w:pPr>
          </w:p>
        </w:tc>
      </w:tr>
      <w:tr>
        <w:trPr>
          <w:trHeight w:val="217"/>
        </w:trPr>
        <w:tc>
          <w:tcPr>
            <w:tcW w:w="3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Bruce N. Alpert</w:t>
            </w:r>
          </w:p>
        </w:tc>
        <w:tc>
          <w:tcPr>
            <w:tcW w:w="900" w:type="dxa"/>
            <w:vAlign w:val="bottom"/>
            <w:tcBorders>
              <w:top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Chairman</w:t>
            </w:r>
          </w:p>
        </w:tc>
      </w:tr>
      <w:tr>
        <w:trPr>
          <w:trHeight w:val="401"/>
        </w:trPr>
        <w:tc>
          <w:tcPr>
            <w:tcW w:w="3240" w:type="dxa"/>
            <w:vAlign w:val="bottom"/>
          </w:tcPr>
          <w:p>
            <w:pPr>
              <w:ind w:left="640"/>
              <w:spacing w:after="0"/>
              <w:rPr>
                <w:sz w:val="20"/>
                <w:szCs w:val="20"/>
                <w:color w:val="auto"/>
              </w:rPr>
            </w:pPr>
            <w:r>
              <w:rPr>
                <w:rFonts w:ascii="Arial" w:cs="Arial" w:eastAsia="Arial" w:hAnsi="Arial"/>
                <w:sz w:val="17"/>
                <w:szCs w:val="17"/>
                <w:color w:val="auto"/>
              </w:rPr>
              <w:t>Douglas R. Jamieson</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See above</w:t>
            </w:r>
          </w:p>
        </w:tc>
      </w:tr>
      <w:tr>
        <w:trPr>
          <w:trHeight w:val="413"/>
        </w:trPr>
        <w:tc>
          <w:tcPr>
            <w:tcW w:w="3240" w:type="dxa"/>
            <w:vAlign w:val="bottom"/>
          </w:tcPr>
          <w:p>
            <w:pPr>
              <w:ind w:left="640"/>
              <w:spacing w:after="0"/>
              <w:rPr>
                <w:sz w:val="20"/>
                <w:szCs w:val="20"/>
                <w:color w:val="auto"/>
              </w:rPr>
            </w:pPr>
            <w:r>
              <w:rPr>
                <w:rFonts w:ascii="Arial" w:cs="Arial" w:eastAsia="Arial" w:hAnsi="Arial"/>
                <w:sz w:val="17"/>
                <w:szCs w:val="17"/>
                <w:color w:val="auto"/>
              </w:rPr>
              <w:t>Nicholas F. Galluccio</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Chief Executive Officer and President</w:t>
            </w:r>
          </w:p>
        </w:tc>
      </w:tr>
      <w:tr>
        <w:trPr>
          <w:trHeight w:val="401"/>
        </w:trPr>
        <w:tc>
          <w:tcPr>
            <w:tcW w:w="3240" w:type="dxa"/>
            <w:vAlign w:val="bottom"/>
          </w:tcPr>
          <w:p>
            <w:pPr>
              <w:ind w:left="640"/>
              <w:spacing w:after="0"/>
              <w:rPr>
                <w:sz w:val="20"/>
                <w:szCs w:val="20"/>
                <w:color w:val="auto"/>
              </w:rPr>
            </w:pPr>
            <w:r>
              <w:rPr>
                <w:rFonts w:ascii="Arial" w:cs="Arial" w:eastAsia="Arial" w:hAnsi="Arial"/>
                <w:sz w:val="17"/>
                <w:szCs w:val="17"/>
                <w:color w:val="auto"/>
              </w:rPr>
              <w:t>Alfred W. Fiore</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1270 Avenue of the Americas</w:t>
            </w:r>
          </w:p>
        </w:tc>
      </w:tr>
      <w:tr>
        <w:trPr>
          <w:trHeight w:val="208"/>
        </w:trPr>
        <w:tc>
          <w:tcPr>
            <w:tcW w:w="3240" w:type="dxa"/>
            <w:vAlign w:val="bottom"/>
          </w:tcPr>
          <w:p>
            <w:pPr>
              <w:spacing w:after="0"/>
              <w:rPr>
                <w:sz w:val="18"/>
                <w:szCs w:val="18"/>
                <w:color w:val="auto"/>
              </w:rPr>
            </w:pPr>
          </w:p>
        </w:tc>
        <w:tc>
          <w:tcPr>
            <w:tcW w:w="4760" w:type="dxa"/>
            <w:vAlign w:val="bottom"/>
            <w:gridSpan w:val="2"/>
          </w:tcPr>
          <w:p>
            <w:pPr>
              <w:ind w:left="900"/>
              <w:spacing w:after="0" w:line="207" w:lineRule="exact"/>
              <w:rPr>
                <w:sz w:val="20"/>
                <w:szCs w:val="20"/>
                <w:color w:val="auto"/>
              </w:rPr>
            </w:pPr>
            <w:r>
              <w:rPr>
                <w:rFonts w:ascii="Arial" w:cs="Arial" w:eastAsia="Arial" w:hAnsi="Arial"/>
                <w:sz w:val="17"/>
                <w:szCs w:val="17"/>
                <w:color w:val="auto"/>
              </w:rPr>
              <w:t>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w:t>
            </w:r>
          </w:p>
        </w:tc>
      </w:tr>
      <w:tr>
        <w:trPr>
          <w:trHeight w:val="217"/>
        </w:trPr>
        <w:tc>
          <w:tcPr>
            <w:tcW w:w="3240" w:type="dxa"/>
            <w:vAlign w:val="bottom"/>
          </w:tcPr>
          <w:p>
            <w:pPr>
              <w:spacing w:after="0"/>
              <w:rPr>
                <w:sz w:val="18"/>
                <w:szCs w:val="18"/>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New York, NY 10020</w:t>
            </w:r>
          </w:p>
        </w:tc>
      </w:tr>
      <w:tr>
        <w:trPr>
          <w:trHeight w:val="402"/>
        </w:trPr>
        <w:tc>
          <w:tcPr>
            <w:tcW w:w="3240" w:type="dxa"/>
            <w:vAlign w:val="bottom"/>
          </w:tcPr>
          <w:p>
            <w:pPr>
              <w:ind w:left="700"/>
              <w:spacing w:after="0"/>
              <w:rPr>
                <w:sz w:val="20"/>
                <w:szCs w:val="20"/>
                <w:color w:val="auto"/>
              </w:rPr>
            </w:pPr>
            <w:r>
              <w:rPr>
                <w:rFonts w:ascii="Arial" w:cs="Arial" w:eastAsia="Arial" w:hAnsi="Arial"/>
                <w:sz w:val="17"/>
                <w:szCs w:val="17"/>
                <w:color w:val="auto"/>
              </w:rPr>
              <w:t>Edward T. Tokar</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Beacon Trust</w:t>
            </w:r>
          </w:p>
        </w:tc>
      </w:tr>
      <w:tr>
        <w:trPr>
          <w:trHeight w:val="206"/>
        </w:trPr>
        <w:tc>
          <w:tcPr>
            <w:tcW w:w="3240" w:type="dxa"/>
            <w:vAlign w:val="bottom"/>
          </w:tcPr>
          <w:p>
            <w:pPr>
              <w:spacing w:after="0"/>
              <w:rPr>
                <w:sz w:val="17"/>
                <w:szCs w:val="17"/>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Senior Managing Director</w:t>
            </w:r>
          </w:p>
        </w:tc>
      </w:tr>
      <w:tr>
        <w:trPr>
          <w:trHeight w:val="206"/>
        </w:trPr>
        <w:tc>
          <w:tcPr>
            <w:tcW w:w="3240" w:type="dxa"/>
            <w:vAlign w:val="bottom"/>
          </w:tcPr>
          <w:p>
            <w:pPr>
              <w:spacing w:after="0"/>
              <w:rPr>
                <w:sz w:val="17"/>
                <w:szCs w:val="17"/>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333 Main Street</w:t>
            </w:r>
          </w:p>
        </w:tc>
      </w:tr>
      <w:tr>
        <w:trPr>
          <w:trHeight w:val="217"/>
        </w:trPr>
        <w:tc>
          <w:tcPr>
            <w:tcW w:w="3240" w:type="dxa"/>
            <w:vAlign w:val="bottom"/>
          </w:tcPr>
          <w:p>
            <w:pPr>
              <w:spacing w:after="0"/>
              <w:rPr>
                <w:sz w:val="18"/>
                <w:szCs w:val="18"/>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Madison, NJ 07940</w:t>
            </w:r>
          </w:p>
        </w:tc>
      </w:tr>
      <w:tr>
        <w:trPr>
          <w:trHeight w:val="402"/>
        </w:trPr>
        <w:tc>
          <w:tcPr>
            <w:tcW w:w="3240" w:type="dxa"/>
            <w:vAlign w:val="bottom"/>
          </w:tcPr>
          <w:p>
            <w:pPr>
              <w:ind w:left="740"/>
              <w:spacing w:after="0"/>
              <w:rPr>
                <w:sz w:val="20"/>
                <w:szCs w:val="20"/>
                <w:color w:val="auto"/>
              </w:rPr>
            </w:pPr>
            <w:r>
              <w:rPr>
                <w:rFonts w:ascii="Arial" w:cs="Arial" w:eastAsia="Arial" w:hAnsi="Arial"/>
                <w:sz w:val="17"/>
                <w:szCs w:val="17"/>
                <w:color w:val="auto"/>
              </w:rPr>
              <w:t>Howard F. Ward</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Portfolio Manager</w:t>
            </w:r>
          </w:p>
        </w:tc>
      </w:tr>
      <w:tr>
        <w:trPr>
          <w:trHeight w:val="206"/>
        </w:trPr>
        <w:tc>
          <w:tcPr>
            <w:tcW w:w="3240" w:type="dxa"/>
            <w:vAlign w:val="bottom"/>
          </w:tcPr>
          <w:p>
            <w:pPr>
              <w:spacing w:after="0"/>
              <w:rPr>
                <w:sz w:val="17"/>
                <w:szCs w:val="17"/>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GAMCO Investors, Inc.</w:t>
            </w:r>
          </w:p>
        </w:tc>
      </w:tr>
      <w:tr>
        <w:trPr>
          <w:trHeight w:val="206"/>
        </w:trPr>
        <w:tc>
          <w:tcPr>
            <w:tcW w:w="3240" w:type="dxa"/>
            <w:vAlign w:val="bottom"/>
          </w:tcPr>
          <w:p>
            <w:pPr>
              <w:spacing w:after="0"/>
              <w:rPr>
                <w:sz w:val="17"/>
                <w:szCs w:val="17"/>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One Corporate Center</w:t>
            </w:r>
          </w:p>
        </w:tc>
      </w:tr>
      <w:tr>
        <w:trPr>
          <w:trHeight w:val="217"/>
        </w:trPr>
        <w:tc>
          <w:tcPr>
            <w:tcW w:w="3240" w:type="dxa"/>
            <w:vAlign w:val="bottom"/>
          </w:tcPr>
          <w:p>
            <w:pPr>
              <w:spacing w:after="0"/>
              <w:rPr>
                <w:sz w:val="18"/>
                <w:szCs w:val="18"/>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Rye, NY 10580</w:t>
            </w:r>
          </w:p>
        </w:tc>
      </w:tr>
      <w:tr>
        <w:trPr>
          <w:trHeight w:val="413"/>
        </w:trPr>
        <w:tc>
          <w:tcPr>
            <w:tcW w:w="3240" w:type="dxa"/>
            <w:vAlign w:val="bottom"/>
          </w:tcPr>
          <w:p>
            <w:pPr>
              <w:spacing w:after="0"/>
              <w:rPr>
                <w:sz w:val="20"/>
                <w:szCs w:val="20"/>
                <w:color w:val="auto"/>
              </w:rPr>
            </w:pPr>
            <w:r>
              <w:rPr>
                <w:rFonts w:ascii="Arial" w:cs="Arial" w:eastAsia="Arial" w:hAnsi="Arial"/>
                <w:sz w:val="17"/>
                <w:szCs w:val="17"/>
                <w:color w:val="auto"/>
              </w:rPr>
              <w:t>Officers:</w:t>
            </w:r>
          </w:p>
        </w:tc>
        <w:tc>
          <w:tcPr>
            <w:tcW w:w="9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13"/>
        </w:trPr>
        <w:tc>
          <w:tcPr>
            <w:tcW w:w="3240" w:type="dxa"/>
            <w:vAlign w:val="bottom"/>
          </w:tcPr>
          <w:p>
            <w:pPr>
              <w:spacing w:after="0"/>
              <w:rPr>
                <w:sz w:val="20"/>
                <w:szCs w:val="20"/>
                <w:color w:val="auto"/>
              </w:rPr>
            </w:pPr>
            <w:r>
              <w:rPr>
                <w:rFonts w:ascii="Arial" w:cs="Arial" w:eastAsia="Arial" w:hAnsi="Arial"/>
                <w:sz w:val="17"/>
                <w:szCs w:val="17"/>
                <w:color w:val="auto"/>
              </w:rPr>
              <w:t>Bruce N. Alpert</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See above</w:t>
            </w:r>
          </w:p>
        </w:tc>
      </w:tr>
      <w:tr>
        <w:trPr>
          <w:trHeight w:val="413"/>
        </w:trPr>
        <w:tc>
          <w:tcPr>
            <w:tcW w:w="3240" w:type="dxa"/>
            <w:vAlign w:val="bottom"/>
          </w:tcPr>
          <w:p>
            <w:pPr>
              <w:ind w:left="640"/>
              <w:spacing w:after="0"/>
              <w:rPr>
                <w:sz w:val="20"/>
                <w:szCs w:val="20"/>
                <w:color w:val="auto"/>
              </w:rPr>
            </w:pPr>
            <w:r>
              <w:rPr>
                <w:rFonts w:ascii="Arial" w:cs="Arial" w:eastAsia="Arial" w:hAnsi="Arial"/>
                <w:sz w:val="17"/>
                <w:szCs w:val="17"/>
                <w:color w:val="auto"/>
              </w:rPr>
              <w:t>Nicholas F. Galluccio</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See above</w:t>
            </w:r>
          </w:p>
        </w:tc>
      </w:tr>
      <w:tr>
        <w:trPr>
          <w:trHeight w:val="413"/>
        </w:trPr>
        <w:tc>
          <w:tcPr>
            <w:tcW w:w="3240" w:type="dxa"/>
            <w:vAlign w:val="bottom"/>
          </w:tcPr>
          <w:p>
            <w:pPr>
              <w:ind w:left="640"/>
              <w:spacing w:after="0"/>
              <w:rPr>
                <w:sz w:val="20"/>
                <w:szCs w:val="20"/>
                <w:color w:val="auto"/>
              </w:rPr>
            </w:pPr>
            <w:r>
              <w:rPr>
                <w:rFonts w:ascii="Arial" w:cs="Arial" w:eastAsia="Arial" w:hAnsi="Arial"/>
                <w:sz w:val="17"/>
                <w:szCs w:val="17"/>
                <w:color w:val="auto"/>
              </w:rPr>
              <w:t>Jeffrey M. Farber</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Chief Financial Officer</w:t>
            </w:r>
          </w:p>
        </w:tc>
      </w:tr>
      <w:tr>
        <w:trPr>
          <w:trHeight w:val="413"/>
        </w:trPr>
        <w:tc>
          <w:tcPr>
            <w:tcW w:w="3240" w:type="dxa"/>
            <w:vAlign w:val="bottom"/>
          </w:tcPr>
          <w:p>
            <w:pPr>
              <w:spacing w:after="0"/>
              <w:rPr>
                <w:sz w:val="20"/>
                <w:szCs w:val="20"/>
                <w:color w:val="auto"/>
              </w:rPr>
            </w:pPr>
            <w:r>
              <w:rPr>
                <w:rFonts w:ascii="Arial" w:cs="Arial" w:eastAsia="Arial" w:hAnsi="Arial"/>
                <w:sz w:val="17"/>
                <w:szCs w:val="17"/>
                <w:color w:val="auto"/>
              </w:rPr>
              <w:t>Gabelli Securities, Inc.</w:t>
            </w:r>
          </w:p>
        </w:tc>
        <w:tc>
          <w:tcPr>
            <w:tcW w:w="9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4"/>
        </w:trPr>
        <w:tc>
          <w:tcPr>
            <w:tcW w:w="3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60" w:type="dxa"/>
            <w:vAlign w:val="bottom"/>
          </w:tcPr>
          <w:p>
            <w:pPr>
              <w:spacing w:after="0"/>
              <w:rPr>
                <w:sz w:val="18"/>
                <w:szCs w:val="18"/>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7"/>
                <w:szCs w:val="17"/>
                <w:color w:val="auto"/>
              </w:rPr>
              <w:t>Directors:</w:t>
            </w:r>
          </w:p>
        </w:tc>
        <w:tc>
          <w:tcPr>
            <w:tcW w:w="9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390"/>
        </w:trPr>
        <w:tc>
          <w:tcPr>
            <w:tcW w:w="3240" w:type="dxa"/>
            <w:vAlign w:val="bottom"/>
          </w:tcPr>
          <w:p>
            <w:pPr>
              <w:spacing w:after="0"/>
              <w:rPr>
                <w:sz w:val="20"/>
                <w:szCs w:val="20"/>
                <w:color w:val="auto"/>
              </w:rPr>
            </w:pPr>
            <w:r>
              <w:rPr>
                <w:rFonts w:ascii="Arial" w:cs="Arial" w:eastAsia="Arial" w:hAnsi="Arial"/>
                <w:sz w:val="17"/>
                <w:szCs w:val="17"/>
                <w:color w:val="auto"/>
              </w:rPr>
              <w:t>Robert W. Blake</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President of W. R. Blake &amp; Sons, Inc.</w:t>
            </w:r>
          </w:p>
        </w:tc>
      </w:tr>
      <w:tr>
        <w:trPr>
          <w:trHeight w:val="206"/>
        </w:trPr>
        <w:tc>
          <w:tcPr>
            <w:tcW w:w="3240" w:type="dxa"/>
            <w:vAlign w:val="bottom"/>
          </w:tcPr>
          <w:p>
            <w:pPr>
              <w:spacing w:after="0"/>
              <w:rPr>
                <w:sz w:val="17"/>
                <w:szCs w:val="17"/>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196-20 Northern Boulevard</w:t>
            </w:r>
          </w:p>
        </w:tc>
      </w:tr>
      <w:tr>
        <w:trPr>
          <w:trHeight w:val="217"/>
        </w:trPr>
        <w:tc>
          <w:tcPr>
            <w:tcW w:w="3240" w:type="dxa"/>
            <w:vAlign w:val="bottom"/>
          </w:tcPr>
          <w:p>
            <w:pPr>
              <w:spacing w:after="0"/>
              <w:rPr>
                <w:sz w:val="18"/>
                <w:szCs w:val="18"/>
                <w:color w:val="auto"/>
              </w:rPr>
            </w:pP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Flushing, NY  11358</w:t>
            </w:r>
          </w:p>
        </w:tc>
      </w:tr>
      <w:tr>
        <w:trPr>
          <w:trHeight w:val="413"/>
        </w:trPr>
        <w:tc>
          <w:tcPr>
            <w:tcW w:w="3240" w:type="dxa"/>
            <w:vAlign w:val="bottom"/>
          </w:tcPr>
          <w:p>
            <w:pPr>
              <w:spacing w:after="0"/>
              <w:rPr>
                <w:sz w:val="20"/>
                <w:szCs w:val="20"/>
                <w:color w:val="auto"/>
              </w:rPr>
            </w:pPr>
            <w:r>
              <w:rPr>
                <w:rFonts w:ascii="Arial" w:cs="Arial" w:eastAsia="Arial" w:hAnsi="Arial"/>
                <w:sz w:val="17"/>
                <w:szCs w:val="17"/>
                <w:color w:val="auto"/>
              </w:rPr>
              <w:t>Douglas G. DeVivo</w:t>
            </w:r>
          </w:p>
        </w:tc>
        <w:tc>
          <w:tcPr>
            <w:tcW w:w="4760" w:type="dxa"/>
            <w:vAlign w:val="bottom"/>
            <w:gridSpan w:val="2"/>
          </w:tcPr>
          <w:p>
            <w:pPr>
              <w:ind w:left="900"/>
              <w:spacing w:after="0"/>
              <w:rPr>
                <w:sz w:val="20"/>
                <w:szCs w:val="20"/>
                <w:color w:val="auto"/>
              </w:rPr>
            </w:pPr>
            <w:r>
              <w:rPr>
                <w:rFonts w:ascii="Arial" w:cs="Arial" w:eastAsia="Arial" w:hAnsi="Arial"/>
                <w:sz w:val="17"/>
                <w:szCs w:val="17"/>
                <w:color w:val="auto"/>
              </w:rPr>
              <w:t>General Partner of ALCE Partners, L.P.</w:t>
            </w:r>
          </w:p>
        </w:tc>
      </w:tr>
    </w:tbl>
    <w:p>
      <w:pPr>
        <w:sectPr>
          <w:pgSz w:w="11900" w:h="16838" w:orient="portrait"/>
          <w:cols w:equalWidth="0" w:num="1">
            <w:col w:w="10219"/>
          </w:cols>
          <w:pgMar w:left="240" w:top="127"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60" w:type="dxa"/>
            <w:vAlign w:val="bottom"/>
          </w:tcPr>
          <w:p>
            <w:pPr>
              <w:spacing w:after="0"/>
              <w:rPr>
                <w:sz w:val="17"/>
                <w:szCs w:val="17"/>
                <w:color w:val="auto"/>
              </w:rPr>
            </w:pPr>
          </w:p>
        </w:tc>
        <w:tc>
          <w:tcPr>
            <w:tcW w:w="4440" w:type="dxa"/>
            <w:vAlign w:val="bottom"/>
            <w:gridSpan w:val="2"/>
          </w:tcPr>
          <w:p>
            <w:pPr>
              <w:ind w:left="880"/>
              <w:spacing w:after="0"/>
              <w:rPr>
                <w:sz w:val="20"/>
                <w:szCs w:val="20"/>
                <w:color w:val="auto"/>
              </w:rPr>
            </w:pPr>
            <w:r>
              <w:rPr>
                <w:rFonts w:ascii="Arial" w:cs="Arial" w:eastAsia="Arial" w:hAnsi="Arial"/>
                <w:sz w:val="17"/>
                <w:szCs w:val="17"/>
                <w:color w:val="auto"/>
              </w:rPr>
              <w:t>One First Street, Suite 16</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18"/>
                <w:szCs w:val="18"/>
                <w:color w:val="auto"/>
              </w:rPr>
            </w:pPr>
          </w:p>
        </w:tc>
        <w:tc>
          <w:tcPr>
            <w:tcW w:w="4440" w:type="dxa"/>
            <w:vAlign w:val="bottom"/>
            <w:gridSpan w:val="2"/>
          </w:tcPr>
          <w:p>
            <w:pPr>
              <w:ind w:left="880"/>
              <w:spacing w:after="0"/>
              <w:rPr>
                <w:sz w:val="20"/>
                <w:szCs w:val="20"/>
                <w:color w:val="auto"/>
              </w:rPr>
            </w:pPr>
            <w:r>
              <w:rPr>
                <w:rFonts w:ascii="Arial" w:cs="Arial" w:eastAsia="Arial" w:hAnsi="Arial"/>
                <w:sz w:val="17"/>
                <w:szCs w:val="17"/>
                <w:color w:val="auto"/>
              </w:rPr>
              <w:t>Los Altos, CA  94022</w:t>
            </w:r>
          </w:p>
        </w:tc>
        <w:tc>
          <w:tcPr>
            <w:tcW w:w="0" w:type="dxa"/>
            <w:vAlign w:val="bottom"/>
          </w:tcPr>
          <w:p>
            <w:pPr>
              <w:spacing w:after="0"/>
              <w:rPr>
                <w:sz w:val="1"/>
                <w:szCs w:val="1"/>
                <w:color w:val="auto"/>
              </w:rPr>
            </w:pPr>
          </w:p>
        </w:tc>
      </w:tr>
      <w:tr>
        <w:trPr>
          <w:trHeight w:val="619"/>
        </w:trPr>
        <w:tc>
          <w:tcPr>
            <w:tcW w:w="3260" w:type="dxa"/>
            <w:vAlign w:val="bottom"/>
          </w:tcPr>
          <w:p>
            <w:pPr>
              <w:ind w:left="640"/>
              <w:spacing w:after="0"/>
              <w:rPr>
                <w:sz w:val="20"/>
                <w:szCs w:val="20"/>
                <w:color w:val="auto"/>
              </w:rPr>
            </w:pPr>
            <w:r>
              <w:rPr>
                <w:rFonts w:ascii="Arial" w:cs="Arial" w:eastAsia="Arial" w:hAnsi="Arial"/>
                <w:sz w:val="17"/>
                <w:szCs w:val="17"/>
                <w:color w:val="auto"/>
              </w:rPr>
              <w:t>Douglas R. Jamieson</w:t>
            </w:r>
          </w:p>
        </w:tc>
        <w:tc>
          <w:tcPr>
            <w:tcW w:w="4440" w:type="dxa"/>
            <w:vAlign w:val="bottom"/>
            <w:gridSpan w:val="2"/>
          </w:tcPr>
          <w:p>
            <w:pPr>
              <w:ind w:left="880"/>
              <w:spacing w:after="0"/>
              <w:rPr>
                <w:sz w:val="20"/>
                <w:szCs w:val="20"/>
                <w:color w:val="auto"/>
              </w:rPr>
            </w:pPr>
            <w:r>
              <w:rPr>
                <w:rFonts w:ascii="Arial" w:cs="Arial" w:eastAsia="Arial" w:hAnsi="Arial"/>
                <w:sz w:val="17"/>
                <w:szCs w:val="17"/>
                <w:color w:val="auto"/>
              </w:rPr>
              <w:t>President</w:t>
            </w:r>
          </w:p>
        </w:tc>
        <w:tc>
          <w:tcPr>
            <w:tcW w:w="0" w:type="dxa"/>
            <w:vAlign w:val="bottom"/>
          </w:tcPr>
          <w:p>
            <w:pPr>
              <w:spacing w:after="0"/>
              <w:rPr>
                <w:sz w:val="1"/>
                <w:szCs w:val="1"/>
                <w:color w:val="auto"/>
              </w:rPr>
            </w:pPr>
          </w:p>
        </w:tc>
      </w:tr>
      <w:tr>
        <w:trPr>
          <w:trHeight w:val="645"/>
        </w:trPr>
        <w:tc>
          <w:tcPr>
            <w:tcW w:w="3260" w:type="dxa"/>
            <w:vAlign w:val="bottom"/>
          </w:tcPr>
          <w:p>
            <w:pPr>
              <w:spacing w:after="0"/>
              <w:rPr>
                <w:sz w:val="20"/>
                <w:szCs w:val="20"/>
                <w:color w:val="auto"/>
              </w:rPr>
            </w:pPr>
            <w:r>
              <w:rPr>
                <w:rFonts w:ascii="Arial" w:cs="Arial" w:eastAsia="Arial" w:hAnsi="Arial"/>
                <w:sz w:val="17"/>
                <w:szCs w:val="17"/>
                <w:color w:val="auto"/>
              </w:rPr>
              <w:t>Officers:</w:t>
            </w:r>
          </w:p>
        </w:tc>
        <w:tc>
          <w:tcPr>
            <w:tcW w:w="1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260" w:type="dxa"/>
            <w:vAlign w:val="bottom"/>
          </w:tcPr>
          <w:p>
            <w:pPr>
              <w:spacing w:after="0"/>
              <w:rPr>
                <w:sz w:val="20"/>
                <w:szCs w:val="20"/>
                <w:color w:val="auto"/>
              </w:rPr>
            </w:pPr>
            <w:r>
              <w:rPr>
                <w:rFonts w:ascii="Arial" w:cs="Arial" w:eastAsia="Arial" w:hAnsi="Arial"/>
                <w:sz w:val="17"/>
                <w:szCs w:val="17"/>
                <w:color w:val="auto"/>
              </w:rPr>
              <w:t>Douglas R. Jamieson</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See above</w:t>
            </w:r>
          </w:p>
        </w:tc>
        <w:tc>
          <w:tcPr>
            <w:tcW w:w="0" w:type="dxa"/>
            <w:vAlign w:val="bottom"/>
          </w:tcPr>
          <w:p>
            <w:pPr>
              <w:spacing w:after="0"/>
              <w:rPr>
                <w:sz w:val="1"/>
                <w:szCs w:val="1"/>
                <w:color w:val="auto"/>
              </w:rPr>
            </w:pPr>
          </w:p>
        </w:tc>
      </w:tr>
      <w:tr>
        <w:trPr>
          <w:trHeight w:val="413"/>
        </w:trPr>
        <w:tc>
          <w:tcPr>
            <w:tcW w:w="3260" w:type="dxa"/>
            <w:vAlign w:val="bottom"/>
          </w:tcPr>
          <w:p>
            <w:pPr>
              <w:ind w:left="640"/>
              <w:spacing w:after="0"/>
              <w:rPr>
                <w:sz w:val="20"/>
                <w:szCs w:val="20"/>
                <w:color w:val="auto"/>
              </w:rPr>
            </w:pPr>
            <w:r>
              <w:rPr>
                <w:rFonts w:ascii="Arial" w:cs="Arial" w:eastAsia="Arial" w:hAnsi="Arial"/>
                <w:sz w:val="17"/>
                <w:szCs w:val="17"/>
                <w:color w:val="auto"/>
              </w:rPr>
              <w:t>Christopher J. Michailoff</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Secretary</w:t>
            </w:r>
          </w:p>
        </w:tc>
        <w:tc>
          <w:tcPr>
            <w:tcW w:w="0" w:type="dxa"/>
            <w:vAlign w:val="bottom"/>
          </w:tcPr>
          <w:p>
            <w:pPr>
              <w:spacing w:after="0"/>
              <w:rPr>
                <w:sz w:val="1"/>
                <w:szCs w:val="1"/>
                <w:color w:val="auto"/>
              </w:rPr>
            </w:pPr>
          </w:p>
        </w:tc>
      </w:tr>
      <w:tr>
        <w:trPr>
          <w:trHeight w:val="413"/>
        </w:trPr>
        <w:tc>
          <w:tcPr>
            <w:tcW w:w="3260" w:type="dxa"/>
            <w:vAlign w:val="bottom"/>
          </w:tcPr>
          <w:p>
            <w:pPr>
              <w:ind w:left="640"/>
              <w:spacing w:after="0"/>
              <w:rPr>
                <w:sz w:val="20"/>
                <w:szCs w:val="20"/>
                <w:color w:val="auto"/>
              </w:rPr>
            </w:pPr>
            <w:r>
              <w:rPr>
                <w:rFonts w:ascii="Arial" w:cs="Arial" w:eastAsia="Arial" w:hAnsi="Arial"/>
                <w:sz w:val="17"/>
                <w:szCs w:val="17"/>
                <w:color w:val="auto"/>
              </w:rPr>
              <w:t>Jeffrey M. Farber</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609"/>
        </w:trPr>
        <w:tc>
          <w:tcPr>
            <w:tcW w:w="3260" w:type="dxa"/>
            <w:vAlign w:val="bottom"/>
          </w:tcPr>
          <w:p>
            <w:pPr>
              <w:spacing w:after="0"/>
              <w:rPr>
                <w:sz w:val="20"/>
                <w:szCs w:val="20"/>
                <w:color w:val="auto"/>
              </w:rPr>
            </w:pPr>
            <w:r>
              <w:rPr>
                <w:rFonts w:ascii="Arial" w:cs="Arial" w:eastAsia="Arial" w:hAnsi="Arial"/>
                <w:sz w:val="17"/>
                <w:szCs w:val="17"/>
                <w:color w:val="auto"/>
              </w:rPr>
              <w:t>Gabelli &amp; Company, Inc.</w:t>
            </w:r>
          </w:p>
        </w:tc>
        <w:tc>
          <w:tcPr>
            <w:tcW w:w="1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7"/>
                <w:szCs w:val="17"/>
                <w:color w:val="auto"/>
              </w:rPr>
              <w:t>Directors:</w:t>
            </w:r>
          </w:p>
        </w:tc>
        <w:tc>
          <w:tcPr>
            <w:tcW w:w="1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20" w:type="dxa"/>
            <w:vAlign w:val="bottom"/>
            <w:vMerge w:val="restart"/>
          </w:tcPr>
          <w:p>
            <w:pPr>
              <w:spacing w:after="0"/>
              <w:rPr>
                <w:sz w:val="20"/>
                <w:szCs w:val="20"/>
                <w:color w:val="auto"/>
              </w:rPr>
            </w:pPr>
            <w:r>
              <w:rPr>
                <w:rFonts w:ascii="Arial" w:cs="Arial" w:eastAsia="Arial" w:hAnsi="Arial"/>
                <w:sz w:val="17"/>
                <w:szCs w:val="17"/>
                <w:color w:val="auto"/>
              </w:rPr>
              <w:t>Chairman &amp; Interim President</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7"/>
                <w:szCs w:val="17"/>
                <w:color w:val="auto"/>
              </w:rPr>
              <w:t>James G. Webster, III</w:t>
            </w:r>
          </w:p>
        </w:tc>
        <w:tc>
          <w:tcPr>
            <w:tcW w:w="122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3260" w:type="dxa"/>
            <w:vAlign w:val="bottom"/>
          </w:tcPr>
          <w:p>
            <w:pPr>
              <w:spacing w:after="0"/>
              <w:rPr>
                <w:sz w:val="20"/>
                <w:szCs w:val="20"/>
                <w:color w:val="auto"/>
              </w:rPr>
            </w:pPr>
            <w:r>
              <w:rPr>
                <w:rFonts w:ascii="Arial" w:cs="Arial" w:eastAsia="Arial" w:hAnsi="Arial"/>
                <w:sz w:val="17"/>
                <w:szCs w:val="17"/>
                <w:color w:val="auto"/>
              </w:rPr>
              <w:t>Irene Smolicz</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Senior Trader</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Gabelli &amp; Company, Inc.</w:t>
            </w:r>
          </w:p>
        </w:tc>
        <w:tc>
          <w:tcPr>
            <w:tcW w:w="0" w:type="dxa"/>
            <w:vAlign w:val="bottom"/>
          </w:tcPr>
          <w:p>
            <w:pPr>
              <w:spacing w:after="0"/>
              <w:rPr>
                <w:sz w:val="1"/>
                <w:szCs w:val="1"/>
                <w:color w:val="auto"/>
              </w:rPr>
            </w:pPr>
          </w:p>
        </w:tc>
      </w:tr>
      <w:tr>
        <w:trPr>
          <w:trHeight w:val="609"/>
        </w:trPr>
        <w:tc>
          <w:tcPr>
            <w:tcW w:w="3260" w:type="dxa"/>
            <w:vAlign w:val="bottom"/>
          </w:tcPr>
          <w:p>
            <w:pPr>
              <w:spacing w:after="0"/>
              <w:rPr>
                <w:sz w:val="20"/>
                <w:szCs w:val="20"/>
                <w:color w:val="auto"/>
              </w:rPr>
            </w:pPr>
            <w:r>
              <w:rPr>
                <w:rFonts w:ascii="Arial" w:cs="Arial" w:eastAsia="Arial" w:hAnsi="Arial"/>
                <w:sz w:val="17"/>
                <w:szCs w:val="17"/>
                <w:color w:val="auto"/>
              </w:rPr>
              <w:t>Officers:</w:t>
            </w:r>
          </w:p>
        </w:tc>
        <w:tc>
          <w:tcPr>
            <w:tcW w:w="1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7"/>
                <w:szCs w:val="17"/>
                <w:color w:val="auto"/>
              </w:rPr>
              <w:t>James G. Webster, III</w:t>
            </w:r>
          </w:p>
        </w:tc>
        <w:tc>
          <w:tcPr>
            <w:tcW w:w="12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See Above</w:t>
            </w:r>
          </w:p>
        </w:tc>
        <w:tc>
          <w:tcPr>
            <w:tcW w:w="0" w:type="dxa"/>
            <w:vAlign w:val="bottom"/>
          </w:tcPr>
          <w:p>
            <w:pPr>
              <w:spacing w:after="0"/>
              <w:rPr>
                <w:sz w:val="1"/>
                <w:szCs w:val="1"/>
                <w:color w:val="auto"/>
              </w:rPr>
            </w:pPr>
          </w:p>
        </w:tc>
      </w:tr>
      <w:tr>
        <w:trPr>
          <w:trHeight w:val="413"/>
        </w:trPr>
        <w:tc>
          <w:tcPr>
            <w:tcW w:w="3260" w:type="dxa"/>
            <w:vAlign w:val="bottom"/>
          </w:tcPr>
          <w:p>
            <w:pPr>
              <w:spacing w:after="0"/>
              <w:rPr>
                <w:sz w:val="20"/>
                <w:szCs w:val="20"/>
                <w:color w:val="auto"/>
              </w:rPr>
            </w:pPr>
            <w:r>
              <w:rPr>
                <w:rFonts w:ascii="Arial" w:cs="Arial" w:eastAsia="Arial" w:hAnsi="Arial"/>
                <w:sz w:val="17"/>
                <w:szCs w:val="17"/>
                <w:color w:val="auto"/>
              </w:rPr>
              <w:t>Bruce N. Alpert</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Vice President - Mutual Funds</w:t>
            </w:r>
          </w:p>
        </w:tc>
        <w:tc>
          <w:tcPr>
            <w:tcW w:w="0" w:type="dxa"/>
            <w:vAlign w:val="bottom"/>
          </w:tcPr>
          <w:p>
            <w:pPr>
              <w:spacing w:after="0"/>
              <w:rPr>
                <w:sz w:val="1"/>
                <w:szCs w:val="1"/>
                <w:color w:val="auto"/>
              </w:rPr>
            </w:pPr>
          </w:p>
        </w:tc>
      </w:tr>
      <w:tr>
        <w:trPr>
          <w:trHeight w:val="413"/>
        </w:trPr>
        <w:tc>
          <w:tcPr>
            <w:tcW w:w="3260" w:type="dxa"/>
            <w:vAlign w:val="bottom"/>
          </w:tcPr>
          <w:p>
            <w:pPr>
              <w:ind w:left="640"/>
              <w:spacing w:after="0"/>
              <w:rPr>
                <w:sz w:val="20"/>
                <w:szCs w:val="20"/>
                <w:color w:val="auto"/>
              </w:rPr>
            </w:pPr>
            <w:r>
              <w:rPr>
                <w:rFonts w:ascii="Arial" w:cs="Arial" w:eastAsia="Arial" w:hAnsi="Arial"/>
                <w:sz w:val="17"/>
                <w:szCs w:val="17"/>
                <w:color w:val="auto"/>
              </w:rPr>
              <w:t>Diane M. LaPointe</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Treasurer</w:t>
            </w:r>
          </w:p>
        </w:tc>
        <w:tc>
          <w:tcPr>
            <w:tcW w:w="0" w:type="dxa"/>
            <w:vAlign w:val="bottom"/>
          </w:tcPr>
          <w:p>
            <w:pPr>
              <w:spacing w:after="0"/>
              <w:rPr>
                <w:sz w:val="1"/>
                <w:szCs w:val="1"/>
                <w:color w:val="auto"/>
              </w:rPr>
            </w:pPr>
          </w:p>
        </w:tc>
      </w:tr>
      <w:tr>
        <w:trPr>
          <w:trHeight w:val="413"/>
        </w:trPr>
        <w:tc>
          <w:tcPr>
            <w:tcW w:w="3260" w:type="dxa"/>
            <w:vAlign w:val="bottom"/>
          </w:tcPr>
          <w:p>
            <w:pPr>
              <w:ind w:left="640"/>
              <w:spacing w:after="0"/>
              <w:rPr>
                <w:sz w:val="20"/>
                <w:szCs w:val="20"/>
                <w:color w:val="auto"/>
              </w:rPr>
            </w:pPr>
            <w:r>
              <w:rPr>
                <w:rFonts w:ascii="Arial" w:cs="Arial" w:eastAsia="Arial" w:hAnsi="Arial"/>
                <w:sz w:val="17"/>
                <w:szCs w:val="17"/>
                <w:color w:val="auto"/>
              </w:rPr>
              <w:t>Douglas R. Jamieson</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Secretary</w:t>
            </w:r>
          </w:p>
        </w:tc>
        <w:tc>
          <w:tcPr>
            <w:tcW w:w="0" w:type="dxa"/>
            <w:vAlign w:val="bottom"/>
          </w:tcPr>
          <w:p>
            <w:pPr>
              <w:spacing w:after="0"/>
              <w:rPr>
                <w:sz w:val="1"/>
                <w:szCs w:val="1"/>
                <w:color w:val="auto"/>
              </w:rPr>
            </w:pPr>
          </w:p>
        </w:tc>
      </w:tr>
      <w:tr>
        <w:trPr>
          <w:trHeight w:val="815"/>
        </w:trPr>
        <w:tc>
          <w:tcPr>
            <w:tcW w:w="3260" w:type="dxa"/>
            <w:vAlign w:val="bottom"/>
          </w:tcPr>
          <w:p>
            <w:pPr>
              <w:spacing w:after="0"/>
              <w:rPr>
                <w:sz w:val="20"/>
                <w:szCs w:val="20"/>
                <w:color w:val="auto"/>
              </w:rPr>
            </w:pPr>
            <w:r>
              <w:rPr>
                <w:rFonts w:ascii="Arial" w:cs="Arial" w:eastAsia="Arial" w:hAnsi="Arial"/>
                <w:sz w:val="17"/>
                <w:szCs w:val="17"/>
                <w:color w:val="auto"/>
              </w:rPr>
              <w:t>Gabelli Foundation, Inc.</w:t>
            </w:r>
          </w:p>
        </w:tc>
        <w:tc>
          <w:tcPr>
            <w:tcW w:w="1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7"/>
                <w:szCs w:val="17"/>
                <w:color w:val="auto"/>
              </w:rPr>
              <w:t>Officers:</w:t>
            </w:r>
          </w:p>
        </w:tc>
        <w:tc>
          <w:tcPr>
            <w:tcW w:w="1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20" w:type="dxa"/>
            <w:vAlign w:val="bottom"/>
            <w:vMerge w:val="restart"/>
          </w:tcPr>
          <w:p>
            <w:pPr>
              <w:spacing w:after="0"/>
              <w:rPr>
                <w:sz w:val="20"/>
                <w:szCs w:val="20"/>
                <w:color w:val="auto"/>
              </w:rPr>
            </w:pPr>
            <w:r>
              <w:rPr>
                <w:rFonts w:ascii="Arial" w:cs="Arial" w:eastAsia="Arial" w:hAnsi="Arial"/>
                <w:sz w:val="17"/>
                <w:szCs w:val="17"/>
                <w:color w:val="auto"/>
                <w:w w:val="93"/>
              </w:rPr>
              <w:t>Chairman, Trustee &amp; Chief Investment Officer</w:t>
            </w:r>
          </w:p>
        </w:tc>
        <w:tc>
          <w:tcPr>
            <w:tcW w:w="0" w:type="dxa"/>
            <w:vAlign w:val="bottom"/>
          </w:tcPr>
          <w:p>
            <w:pPr>
              <w:spacing w:after="0"/>
              <w:rPr>
                <w:sz w:val="1"/>
                <w:szCs w:val="1"/>
                <w:color w:val="auto"/>
              </w:rPr>
            </w:pPr>
          </w:p>
        </w:tc>
      </w:tr>
      <w:tr>
        <w:trPr>
          <w:trHeight w:val="217"/>
        </w:trPr>
        <w:tc>
          <w:tcPr>
            <w:tcW w:w="3260" w:type="dxa"/>
            <w:vAlign w:val="bottom"/>
          </w:tcPr>
          <w:p>
            <w:pPr>
              <w:ind w:left="700"/>
              <w:spacing w:after="0"/>
              <w:rPr>
                <w:sz w:val="20"/>
                <w:szCs w:val="20"/>
                <w:color w:val="auto"/>
              </w:rPr>
            </w:pPr>
            <w:r>
              <w:rPr>
                <w:rFonts w:ascii="Arial" w:cs="Arial" w:eastAsia="Arial" w:hAnsi="Arial"/>
                <w:sz w:val="17"/>
                <w:szCs w:val="17"/>
                <w:color w:val="auto"/>
              </w:rPr>
              <w:t>Mario J. Gabelli</w:t>
            </w:r>
          </w:p>
        </w:tc>
        <w:tc>
          <w:tcPr>
            <w:tcW w:w="122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260" w:type="dxa"/>
            <w:vAlign w:val="bottom"/>
          </w:tcPr>
          <w:p>
            <w:pPr>
              <w:ind w:left="700"/>
              <w:spacing w:after="0"/>
              <w:rPr>
                <w:sz w:val="20"/>
                <w:szCs w:val="20"/>
                <w:color w:val="auto"/>
              </w:rPr>
            </w:pPr>
            <w:r>
              <w:rPr>
                <w:rFonts w:ascii="Arial" w:cs="Arial" w:eastAsia="Arial" w:hAnsi="Arial"/>
                <w:sz w:val="17"/>
                <w:szCs w:val="17"/>
                <w:color w:val="auto"/>
              </w:rPr>
              <w:t>Elisa M. Wilson</w:t>
            </w:r>
          </w:p>
        </w:tc>
        <w:tc>
          <w:tcPr>
            <w:tcW w:w="122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President</w:t>
            </w:r>
          </w:p>
        </w:tc>
        <w:tc>
          <w:tcPr>
            <w:tcW w:w="0" w:type="dxa"/>
            <w:vAlign w:val="bottom"/>
          </w:tcPr>
          <w:p>
            <w:pPr>
              <w:spacing w:after="0"/>
              <w:rPr>
                <w:sz w:val="1"/>
                <w:szCs w:val="1"/>
                <w:color w:val="auto"/>
              </w:rPr>
            </w:pPr>
          </w:p>
        </w:tc>
      </w:tr>
      <w:tr>
        <w:trPr>
          <w:trHeight w:val="609"/>
        </w:trPr>
        <w:tc>
          <w:tcPr>
            <w:tcW w:w="3260" w:type="dxa"/>
            <w:vAlign w:val="bottom"/>
          </w:tcPr>
          <w:p>
            <w:pPr>
              <w:spacing w:after="0"/>
              <w:rPr>
                <w:sz w:val="20"/>
                <w:szCs w:val="20"/>
                <w:color w:val="auto"/>
              </w:rPr>
            </w:pPr>
            <w:r>
              <w:rPr>
                <w:rFonts w:ascii="Arial" w:cs="Arial" w:eastAsia="Arial" w:hAnsi="Arial"/>
                <w:sz w:val="17"/>
                <w:szCs w:val="17"/>
                <w:color w:val="auto"/>
              </w:rPr>
              <w:t>MJG-IV Limited Partnership</w:t>
            </w:r>
          </w:p>
        </w:tc>
        <w:tc>
          <w:tcPr>
            <w:tcW w:w="1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7"/>
                <w:szCs w:val="17"/>
                <w:color w:val="auto"/>
              </w:rPr>
              <w:t>Officers:</w:t>
            </w:r>
          </w:p>
        </w:tc>
        <w:tc>
          <w:tcPr>
            <w:tcW w:w="1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20" w:type="dxa"/>
            <w:vAlign w:val="bottom"/>
            <w:vMerge w:val="restart"/>
          </w:tcPr>
          <w:p>
            <w:pPr>
              <w:spacing w:after="0"/>
              <w:rPr>
                <w:sz w:val="20"/>
                <w:szCs w:val="20"/>
                <w:color w:val="auto"/>
              </w:rPr>
            </w:pPr>
            <w:r>
              <w:rPr>
                <w:rFonts w:ascii="Arial" w:cs="Arial" w:eastAsia="Arial" w:hAnsi="Arial"/>
                <w:sz w:val="17"/>
                <w:szCs w:val="17"/>
                <w:color w:val="auto"/>
              </w:rPr>
              <w:t>General Partner</w:t>
            </w:r>
          </w:p>
        </w:tc>
        <w:tc>
          <w:tcPr>
            <w:tcW w:w="0" w:type="dxa"/>
            <w:vAlign w:val="bottom"/>
          </w:tcPr>
          <w:p>
            <w:pPr>
              <w:spacing w:after="0"/>
              <w:rPr>
                <w:sz w:val="1"/>
                <w:szCs w:val="1"/>
                <w:color w:val="auto"/>
              </w:rPr>
            </w:pPr>
          </w:p>
        </w:tc>
      </w:tr>
      <w:tr>
        <w:trPr>
          <w:trHeight w:val="217"/>
        </w:trPr>
        <w:tc>
          <w:tcPr>
            <w:tcW w:w="3260" w:type="dxa"/>
            <w:vAlign w:val="bottom"/>
          </w:tcPr>
          <w:p>
            <w:pPr>
              <w:ind w:left="740"/>
              <w:spacing w:after="0"/>
              <w:rPr>
                <w:sz w:val="20"/>
                <w:szCs w:val="20"/>
                <w:color w:val="auto"/>
              </w:rPr>
            </w:pPr>
            <w:r>
              <w:rPr>
                <w:rFonts w:ascii="Arial" w:cs="Arial" w:eastAsia="Arial" w:hAnsi="Arial"/>
                <w:sz w:val="17"/>
                <w:szCs w:val="17"/>
                <w:color w:val="auto"/>
              </w:rPr>
              <w:t>Mario J. Gabelli</w:t>
            </w:r>
          </w:p>
        </w:tc>
        <w:tc>
          <w:tcPr>
            <w:tcW w:w="122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5" w:name="page16"/>
    <w:bookmarkEnd w:id="15"/>
    <w:p>
      <w:pPr>
        <w:ind w:left="1680"/>
        <w:spacing w:after="0"/>
        <w:rPr>
          <w:sz w:val="20"/>
          <w:szCs w:val="20"/>
          <w:color w:val="auto"/>
        </w:rPr>
      </w:pPr>
      <w:r>
        <w:rPr>
          <w:rFonts w:ascii="Arial" w:cs="Arial" w:eastAsia="Arial" w:hAnsi="Arial"/>
          <w:sz w:val="17"/>
          <w:szCs w:val="17"/>
          <w:color w:val="auto"/>
        </w:rPr>
        <w:t>SCHEDULE II</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INFORMATION WITH RESPECT TO</w:t>
      </w:r>
    </w:p>
    <w:p>
      <w:pPr>
        <w:spacing w:after="0" w:line="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TRANSACTIONS EFFECTED DURING THE PAST SIXTY DAYS OR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SINCE THE MOST RECENT FILING ON SCHEDULE 13D (1)</w:t>
      </w:r>
    </w:p>
    <w:p>
      <w:pPr>
        <w:sectPr>
          <w:pgSz w:w="11900" w:h="16838" w:orient="portrait"/>
          <w:cols w:equalWidth="0" w:num="1">
            <w:col w:w="10219"/>
          </w:cols>
          <w:pgMar w:left="240" w:top="501" w:right="1440" w:bottom="1440" w:gutter="0" w:footer="0" w:header="0"/>
        </w:sectPr>
      </w:pPr>
    </w:p>
    <w:p>
      <w:pPr>
        <w:spacing w:after="0" w:line="20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jc w:val="center"/>
        <w:ind w:right="5859"/>
        <w:spacing w:after="0"/>
        <w:tabs>
          <w:tab w:leader="none" w:pos="300" w:val="left"/>
        </w:tabs>
        <w:rPr>
          <w:sz w:val="20"/>
          <w:szCs w:val="20"/>
          <w:color w:val="auto"/>
        </w:rPr>
      </w:pPr>
      <w:r>
        <w:rPr>
          <w:rFonts w:ascii="Arial" w:cs="Arial" w:eastAsia="Arial" w:hAnsi="Arial"/>
          <w:sz w:val="17"/>
          <w:szCs w:val="17"/>
          <w:color w:val="auto"/>
        </w:rPr>
        <w:t>SHARES PURCHASED</w:t>
      </w:r>
      <w:r>
        <w:rPr>
          <w:sz w:val="20"/>
          <w:szCs w:val="20"/>
          <w:color w:val="auto"/>
        </w:rPr>
        <w:tab/>
      </w:r>
      <w:r>
        <w:rPr>
          <w:rFonts w:ascii="Arial" w:cs="Arial" w:eastAsia="Arial" w:hAnsi="Arial"/>
          <w:sz w:val="16"/>
          <w:szCs w:val="16"/>
          <w:color w:val="auto"/>
        </w:rPr>
        <w:t>AVERAGE</w:t>
      </w:r>
    </w:p>
    <w:p>
      <w:pPr>
        <w:spacing w:after="0" w:line="11" w:lineRule="exact"/>
        <w:rPr>
          <w:sz w:val="20"/>
          <w:szCs w:val="20"/>
          <w:color w:val="auto"/>
        </w:rPr>
      </w:pPr>
    </w:p>
    <w:p>
      <w:pPr>
        <w:jc w:val="center"/>
        <w:ind w:right="5859"/>
        <w:spacing w:after="0"/>
        <w:tabs>
          <w:tab w:leader="none" w:pos="540" w:val="left"/>
        </w:tabs>
        <w:rPr>
          <w:sz w:val="20"/>
          <w:szCs w:val="20"/>
          <w:color w:val="auto"/>
        </w:rPr>
      </w:pPr>
      <w:r>
        <w:rPr>
          <w:rFonts w:ascii="Arial" w:cs="Arial" w:eastAsia="Arial" w:hAnsi="Arial"/>
          <w:sz w:val="17"/>
          <w:szCs w:val="17"/>
          <w:color w:val="auto"/>
        </w:rPr>
        <w:t>SOLD(-)</w:t>
      </w:r>
      <w:r>
        <w:rPr>
          <w:sz w:val="20"/>
          <w:szCs w:val="20"/>
          <w:color w:val="auto"/>
        </w:rPr>
        <w:tab/>
      </w:r>
      <w:r>
        <w:rPr>
          <w:rFonts w:ascii="Arial" w:cs="Arial" w:eastAsia="Arial" w:hAnsi="Arial"/>
          <w:sz w:val="15"/>
          <w:szCs w:val="15"/>
          <w:color w:val="auto"/>
        </w:rPr>
        <w:t>PRICE(2)</w:t>
      </w:r>
    </w:p>
    <w:p>
      <w:pPr>
        <w:spacing w:after="0" w:line="200" w:lineRule="exact"/>
        <w:rPr>
          <w:sz w:val="20"/>
          <w:szCs w:val="20"/>
          <w:color w:val="auto"/>
        </w:rPr>
      </w:pPr>
    </w:p>
    <w:p>
      <w:pPr>
        <w:sectPr>
          <w:pgSz w:w="11900" w:h="16838" w:orient="portrait"/>
          <w:cols w:equalWidth="0" w:num="2">
            <w:col w:w="1480" w:space="20"/>
            <w:col w:w="8719"/>
          </w:cols>
          <w:pgMar w:left="240" w:top="50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COMMON STOCK-HAWKINS, INC.</w:t>
      </w:r>
    </w:p>
    <w:p>
      <w:pPr>
        <w:spacing w:after="0" w:line="2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GAMCO ASSET MANAGEMENT INC.</w:t>
      </w:r>
    </w:p>
    <w:p>
      <w:pPr>
        <w:spacing w:after="0" w:line="22"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1340" w:type="dxa"/>
            <w:vAlign w:val="bottom"/>
          </w:tcPr>
          <w:p>
            <w:pPr>
              <w:ind w:left="460"/>
              <w:spacing w:after="0"/>
              <w:rPr>
                <w:sz w:val="20"/>
                <w:szCs w:val="20"/>
                <w:color w:val="auto"/>
              </w:rPr>
            </w:pPr>
            <w:r>
              <w:rPr>
                <w:rFonts w:ascii="Arial" w:cs="Arial" w:eastAsia="Arial" w:hAnsi="Arial"/>
                <w:sz w:val="17"/>
                <w:szCs w:val="17"/>
                <w:color w:val="auto"/>
              </w:rPr>
              <w:t>12/23/09</w:t>
            </w: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500-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21.6999</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12/18/09</w:t>
            </w: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200-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21.5300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12/17/09</w:t>
            </w: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694-</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21.4976</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12/16/09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2,000-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21.3383</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12/16/09</w:t>
            </w: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93"/>
              </w:rPr>
              <w:t>900-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20.9844</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12/16/09</w:t>
            </w: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93"/>
              </w:rPr>
              <w:t>800-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21.5030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12/16/09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21.4208</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12/15/09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2,200-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20.9143</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12/15/09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20.9620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12/10/09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1,300-</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21.2201</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11/30/09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21.4800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11/24/09</w:t>
            </w: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93"/>
              </w:rPr>
              <w:t>700-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22.2902</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11/18/09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2,000-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21.7200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11/12/09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1,500-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21.6936</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11/11/09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21.8500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11/10/09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3,000-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21.2848</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11/09/09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5,000-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21.5249</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11/06/09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8,000-</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21.4999</w:t>
            </w:r>
          </w:p>
        </w:tc>
      </w:tr>
      <w:tr>
        <w:trPr>
          <w:trHeight w:val="206"/>
        </w:trPr>
        <w:tc>
          <w:tcPr>
            <w:tcW w:w="2240" w:type="dxa"/>
            <w:vAlign w:val="bottom"/>
            <w:gridSpan w:val="2"/>
          </w:tcPr>
          <w:p>
            <w:pPr>
              <w:spacing w:after="0"/>
              <w:rPr>
                <w:sz w:val="20"/>
                <w:szCs w:val="20"/>
                <w:color w:val="auto"/>
              </w:rPr>
            </w:pPr>
            <w:r>
              <w:rPr>
                <w:rFonts w:ascii="Arial" w:cs="Arial" w:eastAsia="Arial" w:hAnsi="Arial"/>
                <w:sz w:val="17"/>
                <w:szCs w:val="17"/>
                <w:color w:val="auto"/>
              </w:rPr>
              <w:t>TETON ADVISORS, INC.</w:t>
            </w:r>
          </w:p>
        </w:tc>
        <w:tc>
          <w:tcPr>
            <w:tcW w:w="980" w:type="dxa"/>
            <w:vAlign w:val="bottom"/>
          </w:tcPr>
          <w:p>
            <w:pPr>
              <w:spacing w:after="0"/>
              <w:rPr>
                <w:sz w:val="17"/>
                <w:szCs w:val="17"/>
                <w:color w:val="auto"/>
              </w:rPr>
            </w:pP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12/24/09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1,000-</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21.9300</w:t>
            </w:r>
          </w:p>
        </w:tc>
      </w:tr>
      <w:tr>
        <w:trPr>
          <w:trHeight w:val="206"/>
        </w:trPr>
        <w:tc>
          <w:tcPr>
            <w:tcW w:w="2240" w:type="dxa"/>
            <w:vAlign w:val="bottom"/>
            <w:gridSpan w:val="2"/>
          </w:tcPr>
          <w:p>
            <w:pPr>
              <w:spacing w:after="0"/>
              <w:rPr>
                <w:sz w:val="20"/>
                <w:szCs w:val="20"/>
                <w:color w:val="auto"/>
              </w:rPr>
            </w:pPr>
            <w:r>
              <w:rPr>
                <w:rFonts w:ascii="Arial" w:cs="Arial" w:eastAsia="Arial" w:hAnsi="Arial"/>
                <w:sz w:val="17"/>
                <w:szCs w:val="17"/>
                <w:color w:val="auto"/>
              </w:rPr>
              <w:t>GABELLI FUNDS, LLC.</w:t>
            </w:r>
          </w:p>
        </w:tc>
        <w:tc>
          <w:tcPr>
            <w:tcW w:w="980" w:type="dxa"/>
            <w:vAlign w:val="bottom"/>
          </w:tcPr>
          <w:p>
            <w:pPr>
              <w:spacing w:after="0"/>
              <w:rPr>
                <w:sz w:val="17"/>
                <w:szCs w:val="17"/>
                <w:color w:val="auto"/>
              </w:rPr>
            </w:pPr>
          </w:p>
        </w:tc>
      </w:tr>
      <w:tr>
        <w:trPr>
          <w:trHeight w:val="206"/>
        </w:trPr>
        <w:tc>
          <w:tcPr>
            <w:tcW w:w="3220" w:type="dxa"/>
            <w:vAlign w:val="bottom"/>
            <w:gridSpan w:val="3"/>
          </w:tcPr>
          <w:p>
            <w:pPr>
              <w:ind w:left="160"/>
              <w:spacing w:after="0"/>
              <w:rPr>
                <w:sz w:val="20"/>
                <w:szCs w:val="20"/>
                <w:color w:val="auto"/>
              </w:rPr>
            </w:pPr>
            <w:r>
              <w:rPr>
                <w:rFonts w:ascii="Arial" w:cs="Arial" w:eastAsia="Arial" w:hAnsi="Arial"/>
                <w:sz w:val="17"/>
                <w:szCs w:val="17"/>
                <w:color w:val="auto"/>
                <w:w w:val="99"/>
              </w:rPr>
              <w:t>GABELLI SMALL CAP GROWTH FUND</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12/28/09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2,000-</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21.8050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12/08/09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2,000-</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21.1569</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11/10/09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4,000-</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21.2500</w:t>
            </w:r>
          </w:p>
        </w:tc>
      </w:tr>
      <w:tr>
        <w:trPr>
          <w:trHeight w:val="206"/>
        </w:trPr>
        <w:tc>
          <w:tcPr>
            <w:tcW w:w="3220" w:type="dxa"/>
            <w:vAlign w:val="bottom"/>
            <w:gridSpan w:val="3"/>
          </w:tcPr>
          <w:p>
            <w:pPr>
              <w:ind w:left="160"/>
              <w:spacing w:after="0"/>
              <w:rPr>
                <w:sz w:val="20"/>
                <w:szCs w:val="20"/>
                <w:color w:val="auto"/>
              </w:rPr>
            </w:pPr>
            <w:r>
              <w:rPr>
                <w:rFonts w:ascii="Arial" w:cs="Arial" w:eastAsia="Arial" w:hAnsi="Arial"/>
                <w:sz w:val="17"/>
                <w:szCs w:val="17"/>
                <w:color w:val="auto"/>
              </w:rPr>
              <w:t>GABELLI CAPITAL ASSET FUND</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12/14/09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2,000-</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20.9960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11/24/09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1,000-</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22.4500</w:t>
            </w:r>
          </w:p>
        </w:tc>
      </w:tr>
      <w:tr>
        <w:trPr>
          <w:trHeight w:val="206"/>
        </w:trPr>
        <w:tc>
          <w:tcPr>
            <w:tcW w:w="1340" w:type="dxa"/>
            <w:vAlign w:val="bottom"/>
          </w:tcPr>
          <w:p>
            <w:pPr>
              <w:ind w:left="460"/>
              <w:spacing w:after="0"/>
              <w:rPr>
                <w:sz w:val="20"/>
                <w:szCs w:val="20"/>
                <w:color w:val="auto"/>
              </w:rPr>
            </w:pPr>
            <w:r>
              <w:rPr>
                <w:rFonts w:ascii="Arial" w:cs="Arial" w:eastAsia="Arial" w:hAnsi="Arial"/>
                <w:sz w:val="17"/>
                <w:szCs w:val="17"/>
                <w:color w:val="auto"/>
              </w:rPr>
              <w:t>11/23/09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1,000-</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21.7500</w:t>
            </w:r>
          </w:p>
        </w:tc>
      </w:tr>
      <w:tr>
        <w:trPr>
          <w:trHeight w:val="217"/>
        </w:trPr>
        <w:tc>
          <w:tcPr>
            <w:tcW w:w="1340" w:type="dxa"/>
            <w:vAlign w:val="bottom"/>
          </w:tcPr>
          <w:p>
            <w:pPr>
              <w:ind w:left="460"/>
              <w:spacing w:after="0"/>
              <w:rPr>
                <w:sz w:val="20"/>
                <w:szCs w:val="20"/>
                <w:color w:val="auto"/>
              </w:rPr>
            </w:pPr>
            <w:r>
              <w:rPr>
                <w:rFonts w:ascii="Arial" w:cs="Arial" w:eastAsia="Arial" w:hAnsi="Arial"/>
                <w:sz w:val="17"/>
                <w:szCs w:val="17"/>
                <w:color w:val="auto"/>
              </w:rPr>
              <w:t>11/09/09</w:t>
            </w: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4,000-</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21.5249</w:t>
            </w:r>
          </w:p>
        </w:tc>
      </w:tr>
    </w:tbl>
    <w:p>
      <w:pPr>
        <w:spacing w:after="0" w:line="196" w:lineRule="exact"/>
        <w:rPr>
          <w:sz w:val="20"/>
          <w:szCs w:val="20"/>
          <w:color w:val="auto"/>
        </w:rPr>
      </w:pPr>
    </w:p>
    <w:p>
      <w:pPr>
        <w:ind w:left="180" w:right="4139" w:hanging="177"/>
        <w:spacing w:after="0" w:line="280" w:lineRule="auto"/>
        <w:tabs>
          <w:tab w:leader="none" w:pos="2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UNLESS OTHERWISE INDICATED, ALL TRANSACTIONS WERE EFFECTED ON THE NASDAQ GLOBAL MARKET.</w:t>
      </w:r>
    </w:p>
    <w:p>
      <w:pPr>
        <w:spacing w:after="0" w:line="163" w:lineRule="exact"/>
        <w:rPr>
          <w:rFonts w:ascii="Arial" w:cs="Arial" w:eastAsia="Arial" w:hAnsi="Arial"/>
          <w:sz w:val="17"/>
          <w:szCs w:val="17"/>
          <w:color w:val="auto"/>
        </w:rPr>
      </w:pPr>
    </w:p>
    <w:p>
      <w:pPr>
        <w:ind w:left="240" w:hanging="237"/>
        <w:spacing w:after="0"/>
        <w:tabs>
          <w:tab w:leader="none" w:pos="2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PRICE EXCLUDES COMMISSION.</w:t>
      </w: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1" w:right="1440" w:bottom="1440" w:gutter="0" w:footer="0" w:header="0"/>
          <w:type w:val="continuous"/>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bullet"/>
      <w:start w:val="1"/>
    </w:lvl>
  </w:abstractNum>
  <w:abstractNum w:abstractNumId="1">
    <w:nsid w:val="419AC241"/>
    <w:multiLevelType w:val="hybridMultilevel"/>
    <w:lvl w:ilvl="0">
      <w:lvlJc w:val="left"/>
      <w:lvlText w:val="2"/>
      <w:numFmt w:val="bullet"/>
      <w:start w:val="1"/>
    </w:lvl>
  </w:abstractNum>
  <w:abstractNum w:abstractNumId="2">
    <w:nsid w:val="5577F8E1"/>
    <w:multiLevelType w:val="hybridMultilevel"/>
    <w:lvl w:ilvl="0">
      <w:lvlJc w:val="left"/>
      <w:lvlText w:val="3"/>
      <w:numFmt w:val="bullet"/>
      <w:start w:val="1"/>
    </w:lvl>
  </w:abstractNum>
  <w:abstractNum w:abstractNumId="3">
    <w:nsid w:val="440BADFC"/>
    <w:multiLevelType w:val="hybridMultilevel"/>
    <w:lvl w:ilvl="0">
      <w:lvlJc w:val="left"/>
      <w:lvlText w:val="4"/>
      <w:numFmt w:val="bullet"/>
      <w:start w:val="1"/>
    </w:lvl>
  </w:abstractNum>
  <w:abstractNum w:abstractNumId="4">
    <w:nsid w:val="5072367"/>
    <w:multiLevelType w:val="hybridMultilevel"/>
    <w:lvl w:ilvl="0">
      <w:lvlJc w:val="left"/>
      <w:lvlText w:val="5"/>
      <w:numFmt w:val="bullet"/>
      <w:start w:val="1"/>
    </w:lvl>
  </w:abstractNum>
  <w:abstractNum w:abstractNumId="5">
    <w:nsid w:val="3804823E"/>
    <w:multiLevelType w:val="hybridMultilevel"/>
    <w:lvl w:ilvl="0">
      <w:lvlJc w:val="left"/>
      <w:lvlText w:val="6"/>
      <w:numFmt w:val="bullet"/>
      <w:start w:val="1"/>
    </w:lvl>
  </w:abstractNum>
  <w:abstractNum w:abstractNumId="6">
    <w:nsid w:val="77465F01"/>
    <w:multiLevelType w:val="hybridMultilevel"/>
    <w:lvl w:ilvl="0">
      <w:lvlJc w:val="left"/>
      <w:lvlText w:val="%1"/>
      <w:numFmt w:val="decimal"/>
      <w:start w:val="11"/>
    </w:lvl>
  </w:abstractNum>
  <w:abstractNum w:abstractNumId="7">
    <w:nsid w:val="7724C67E"/>
    <w:multiLevelType w:val="hybridMultilevel"/>
    <w:lvl w:ilvl="0">
      <w:lvlJc w:val="left"/>
      <w:lvlText w:val="%1"/>
      <w:numFmt w:val="decimal"/>
      <w:start w:val="12"/>
    </w:lvl>
  </w:abstractNum>
  <w:abstractNum w:abstractNumId="8">
    <w:nsid w:val="5C482A97"/>
    <w:multiLevelType w:val="hybridMultilevel"/>
    <w:lvl w:ilvl="0">
      <w:lvlJc w:val="left"/>
      <w:lvlText w:val="%1"/>
      <w:numFmt w:val="decimal"/>
      <w:start w:val="13"/>
    </w:lvl>
  </w:abstractNum>
  <w:abstractNum w:abstractNumId="9">
    <w:nsid w:val="2463B9EA"/>
    <w:multiLevelType w:val="hybridMultilevel"/>
    <w:lvl w:ilvl="0">
      <w:lvlJc w:val="left"/>
      <w:lvlText w:val="%1"/>
      <w:numFmt w:val="decimal"/>
      <w:start w:val="14"/>
    </w:lvl>
  </w:abstractNum>
  <w:abstractNum w:abstractNumId="10">
    <w:nsid w:val="5E884ADC"/>
    <w:multiLevelType w:val="hybridMultilevel"/>
    <w:lvl w:ilvl="0">
      <w:lvlJc w:val="left"/>
      <w:lvlText w:val="1"/>
      <w:numFmt w:val="bullet"/>
      <w:start w:val="1"/>
    </w:lvl>
  </w:abstractNum>
  <w:abstractNum w:abstractNumId="11">
    <w:nsid w:val="51EAD36B"/>
    <w:multiLevelType w:val="hybridMultilevel"/>
    <w:lvl w:ilvl="0">
      <w:lvlJc w:val="left"/>
      <w:lvlText w:val="2"/>
      <w:numFmt w:val="bullet"/>
      <w:start w:val="1"/>
    </w:lvl>
  </w:abstractNum>
  <w:abstractNum w:abstractNumId="12">
    <w:nsid w:val="2D517796"/>
    <w:multiLevelType w:val="hybridMultilevel"/>
    <w:lvl w:ilvl="0">
      <w:lvlJc w:val="left"/>
      <w:lvlText w:val="3"/>
      <w:numFmt w:val="bullet"/>
      <w:start w:val="1"/>
    </w:lvl>
  </w:abstractNum>
  <w:abstractNum w:abstractNumId="13">
    <w:nsid w:val="580BD78F"/>
    <w:multiLevelType w:val="hybridMultilevel"/>
    <w:lvl w:ilvl="0">
      <w:lvlJc w:val="left"/>
      <w:lvlText w:val="4"/>
      <w:numFmt w:val="bullet"/>
      <w:start w:val="1"/>
    </w:lvl>
  </w:abstractNum>
  <w:abstractNum w:abstractNumId="14">
    <w:nsid w:val="153EA438"/>
    <w:multiLevelType w:val="hybridMultilevel"/>
    <w:lvl w:ilvl="0">
      <w:lvlJc w:val="left"/>
      <w:lvlText w:val="5"/>
      <w:numFmt w:val="bullet"/>
      <w:start w:val="1"/>
    </w:lvl>
  </w:abstractNum>
  <w:abstractNum w:abstractNumId="15">
    <w:nsid w:val="3855585C"/>
    <w:multiLevelType w:val="hybridMultilevel"/>
    <w:lvl w:ilvl="0">
      <w:lvlJc w:val="left"/>
      <w:lvlText w:val="6"/>
      <w:numFmt w:val="bullet"/>
      <w:start w:val="1"/>
    </w:lvl>
  </w:abstractNum>
  <w:abstractNum w:abstractNumId="16">
    <w:nsid w:val="70A64E2A"/>
    <w:multiLevelType w:val="hybridMultilevel"/>
    <w:lvl w:ilvl="0">
      <w:lvlJc w:val="left"/>
      <w:lvlText w:val="%1"/>
      <w:numFmt w:val="decimal"/>
      <w:start w:val="11"/>
    </w:lvl>
  </w:abstractNum>
  <w:abstractNum w:abstractNumId="17">
    <w:nsid w:val="6A2342EC"/>
    <w:multiLevelType w:val="hybridMultilevel"/>
    <w:lvl w:ilvl="0">
      <w:lvlJc w:val="left"/>
      <w:lvlText w:val="%1"/>
      <w:numFmt w:val="decimal"/>
      <w:start w:val="12"/>
    </w:lvl>
  </w:abstractNum>
  <w:abstractNum w:abstractNumId="18">
    <w:nsid w:val="2A487CB0"/>
    <w:multiLevelType w:val="hybridMultilevel"/>
    <w:lvl w:ilvl="0">
      <w:lvlJc w:val="left"/>
      <w:lvlText w:val="%1"/>
      <w:numFmt w:val="decimal"/>
      <w:start w:val="13"/>
    </w:lvl>
  </w:abstractNum>
  <w:abstractNum w:abstractNumId="19">
    <w:nsid w:val="1D4ED43B"/>
    <w:multiLevelType w:val="hybridMultilevel"/>
    <w:lvl w:ilvl="0">
      <w:lvlJc w:val="left"/>
      <w:lvlText w:val="%1"/>
      <w:numFmt w:val="decimal"/>
      <w:start w:val="14"/>
    </w:lvl>
  </w:abstractNum>
  <w:abstractNum w:abstractNumId="20">
    <w:nsid w:val="725A06FB"/>
    <w:multiLevelType w:val="hybridMultilevel"/>
    <w:lvl w:ilvl="0">
      <w:lvlJc w:val="left"/>
      <w:lvlText w:val="1"/>
      <w:numFmt w:val="bullet"/>
      <w:start w:val="1"/>
    </w:lvl>
  </w:abstractNum>
  <w:abstractNum w:abstractNumId="21">
    <w:nsid w:val="2CD89A32"/>
    <w:multiLevelType w:val="hybridMultilevel"/>
    <w:lvl w:ilvl="0">
      <w:lvlJc w:val="left"/>
      <w:lvlText w:val="2"/>
      <w:numFmt w:val="bullet"/>
      <w:start w:val="1"/>
    </w:lvl>
  </w:abstractNum>
  <w:abstractNum w:abstractNumId="22">
    <w:nsid w:val="57E4CCAF"/>
    <w:multiLevelType w:val="hybridMultilevel"/>
    <w:lvl w:ilvl="0">
      <w:lvlJc w:val="left"/>
      <w:lvlText w:val="3"/>
      <w:numFmt w:val="bullet"/>
      <w:start w:val="1"/>
    </w:lvl>
  </w:abstractNum>
  <w:abstractNum w:abstractNumId="23">
    <w:nsid w:val="7A6D8D3C"/>
    <w:multiLevelType w:val="hybridMultilevel"/>
    <w:lvl w:ilvl="0">
      <w:lvlJc w:val="left"/>
      <w:lvlText w:val="4"/>
      <w:numFmt w:val="bullet"/>
      <w:start w:val="1"/>
    </w:lvl>
  </w:abstractNum>
  <w:abstractNum w:abstractNumId="24">
    <w:nsid w:val="4B588F54"/>
    <w:multiLevelType w:val="hybridMultilevel"/>
    <w:lvl w:ilvl="0">
      <w:lvlJc w:val="left"/>
      <w:lvlText w:val="5"/>
      <w:numFmt w:val="bullet"/>
      <w:start w:val="1"/>
    </w:lvl>
  </w:abstractNum>
  <w:abstractNum w:abstractNumId="25">
    <w:nsid w:val="542289EC"/>
    <w:multiLevelType w:val="hybridMultilevel"/>
    <w:lvl w:ilvl="0">
      <w:lvlJc w:val="left"/>
      <w:lvlText w:val="6"/>
      <w:numFmt w:val="bullet"/>
      <w:start w:val="1"/>
    </w:lvl>
  </w:abstractNum>
  <w:abstractNum w:abstractNumId="26">
    <w:nsid w:val="6DE91B18"/>
    <w:multiLevelType w:val="hybridMultilevel"/>
    <w:lvl w:ilvl="0">
      <w:lvlJc w:val="left"/>
      <w:lvlText w:val="%1"/>
      <w:numFmt w:val="decimal"/>
      <w:start w:val="11"/>
    </w:lvl>
  </w:abstractNum>
  <w:abstractNum w:abstractNumId="27">
    <w:nsid w:val="38437FDB"/>
    <w:multiLevelType w:val="hybridMultilevel"/>
    <w:lvl w:ilvl="0">
      <w:lvlJc w:val="left"/>
      <w:lvlText w:val="%1"/>
      <w:numFmt w:val="decimal"/>
      <w:start w:val="12"/>
    </w:lvl>
  </w:abstractNum>
  <w:abstractNum w:abstractNumId="28">
    <w:nsid w:val="7644A45C"/>
    <w:multiLevelType w:val="hybridMultilevel"/>
    <w:lvl w:ilvl="0">
      <w:lvlJc w:val="left"/>
      <w:lvlText w:val="%1"/>
      <w:numFmt w:val="decimal"/>
      <w:start w:val="13"/>
    </w:lvl>
  </w:abstractNum>
  <w:abstractNum w:abstractNumId="29">
    <w:nsid w:val="32FFF902"/>
    <w:multiLevelType w:val="hybridMultilevel"/>
    <w:lvl w:ilvl="0">
      <w:lvlJc w:val="left"/>
      <w:lvlText w:val="%1"/>
      <w:numFmt w:val="decimal"/>
      <w:start w:val="14"/>
    </w:lvl>
  </w:abstractNum>
  <w:abstractNum w:abstractNumId="30">
    <w:nsid w:val="684A481A"/>
    <w:multiLevelType w:val="hybridMultilevel"/>
    <w:lvl w:ilvl="0">
      <w:lvlJc w:val="left"/>
      <w:lvlText w:val="1"/>
      <w:numFmt w:val="bullet"/>
      <w:start w:val="1"/>
    </w:lvl>
  </w:abstractNum>
  <w:abstractNum w:abstractNumId="31">
    <w:nsid w:val="579478FE"/>
    <w:multiLevelType w:val="hybridMultilevel"/>
    <w:lvl w:ilvl="0">
      <w:lvlJc w:val="left"/>
      <w:lvlText w:val="2"/>
      <w:numFmt w:val="bullet"/>
      <w:start w:val="1"/>
    </w:lvl>
  </w:abstractNum>
  <w:abstractNum w:abstractNumId="32">
    <w:nsid w:val="749ABB43"/>
    <w:multiLevelType w:val="hybridMultilevel"/>
    <w:lvl w:ilvl="0">
      <w:lvlJc w:val="left"/>
      <w:lvlText w:val="3"/>
      <w:numFmt w:val="bullet"/>
      <w:start w:val="1"/>
    </w:lvl>
  </w:abstractNum>
  <w:abstractNum w:abstractNumId="33">
    <w:nsid w:val="3DC240FB"/>
    <w:multiLevelType w:val="hybridMultilevel"/>
    <w:lvl w:ilvl="0">
      <w:lvlJc w:val="left"/>
      <w:lvlText w:val="4"/>
      <w:numFmt w:val="bullet"/>
      <w:start w:val="1"/>
    </w:lvl>
  </w:abstractNum>
  <w:abstractNum w:abstractNumId="34">
    <w:nsid w:val="1BA026FA"/>
    <w:multiLevelType w:val="hybridMultilevel"/>
    <w:lvl w:ilvl="0">
      <w:lvlJc w:val="left"/>
      <w:lvlText w:val="5"/>
      <w:numFmt w:val="bullet"/>
      <w:start w:val="1"/>
    </w:lvl>
  </w:abstractNum>
  <w:abstractNum w:abstractNumId="35">
    <w:nsid w:val="79A1DEAA"/>
    <w:multiLevelType w:val="hybridMultilevel"/>
    <w:lvl w:ilvl="0">
      <w:lvlJc w:val="left"/>
      <w:lvlText w:val="6"/>
      <w:numFmt w:val="bullet"/>
      <w:start w:val="1"/>
    </w:lvl>
  </w:abstractNum>
  <w:abstractNum w:abstractNumId="36">
    <w:nsid w:val="75C6C33A"/>
    <w:multiLevelType w:val="hybridMultilevel"/>
    <w:lvl w:ilvl="0">
      <w:lvlJc w:val="left"/>
      <w:lvlText w:val="%1"/>
      <w:numFmt w:val="decimal"/>
      <w:start w:val="11"/>
    </w:lvl>
  </w:abstractNum>
  <w:abstractNum w:abstractNumId="37">
    <w:nsid w:val="12E685FB"/>
    <w:multiLevelType w:val="hybridMultilevel"/>
    <w:lvl w:ilvl="0">
      <w:lvlJc w:val="left"/>
      <w:lvlText w:val="%1"/>
      <w:numFmt w:val="decimal"/>
      <w:start w:val="13"/>
    </w:lvl>
  </w:abstractNum>
  <w:abstractNum w:abstractNumId="38">
    <w:nsid w:val="70C6A529"/>
    <w:multiLevelType w:val="hybridMultilevel"/>
    <w:lvl w:ilvl="0">
      <w:lvlJc w:val="left"/>
      <w:lvlText w:val="%1"/>
      <w:numFmt w:val="decimal"/>
      <w:start w:val="14"/>
    </w:lvl>
  </w:abstractNum>
  <w:abstractNum w:abstractNumId="39">
    <w:nsid w:val="520EEDD1"/>
    <w:multiLevelType w:val="hybridMultilevel"/>
    <w:lvl w:ilvl="0">
      <w:lvlJc w:val="left"/>
      <w:lvlText w:val="3"/>
      <w:numFmt w:val="bullet"/>
      <w:start w:val="1"/>
    </w:lvl>
  </w:abstractNum>
  <w:abstractNum w:abstractNumId="40">
    <w:nsid w:val="374A3FE6"/>
    <w:multiLevelType w:val="hybridMultilevel"/>
    <w:lvl w:ilvl="0">
      <w:lvlJc w:val="left"/>
      <w:lvlText w:val="4"/>
      <w:numFmt w:val="bullet"/>
      <w:start w:val="1"/>
    </w:lvl>
  </w:abstractNum>
  <w:abstractNum w:abstractNumId="41">
    <w:nsid w:val="4F4EF005"/>
    <w:multiLevelType w:val="hybridMultilevel"/>
    <w:lvl w:ilvl="0">
      <w:lvlJc w:val="left"/>
      <w:lvlText w:val="5"/>
      <w:numFmt w:val="bullet"/>
      <w:start w:val="1"/>
    </w:lvl>
  </w:abstractNum>
  <w:abstractNum w:abstractNumId="42">
    <w:nsid w:val="23F9C13C"/>
    <w:multiLevelType w:val="hybridMultilevel"/>
    <w:lvl w:ilvl="0">
      <w:lvlJc w:val="left"/>
      <w:lvlText w:val="6"/>
      <w:numFmt w:val="bullet"/>
      <w:start w:val="1"/>
    </w:lvl>
  </w:abstractNum>
  <w:abstractNum w:abstractNumId="43">
    <w:nsid w:val="649BB77C"/>
    <w:multiLevelType w:val="hybridMultilevel"/>
    <w:lvl w:ilvl="0">
      <w:lvlJc w:val="left"/>
      <w:lvlText w:val="%1"/>
      <w:numFmt w:val="decimal"/>
      <w:start w:val="11"/>
    </w:lvl>
  </w:abstractNum>
  <w:abstractNum w:abstractNumId="44">
    <w:nsid w:val="275AC794"/>
    <w:multiLevelType w:val="hybridMultilevel"/>
    <w:lvl w:ilvl="0">
      <w:lvlJc w:val="left"/>
      <w:lvlText w:val="%1"/>
      <w:numFmt w:val="decimal"/>
      <w:start w:val="13"/>
    </w:lvl>
  </w:abstractNum>
  <w:abstractNum w:abstractNumId="45">
    <w:nsid w:val="39386575"/>
    <w:multiLevelType w:val="hybridMultilevel"/>
    <w:lvl w:ilvl="0">
      <w:lvlJc w:val="left"/>
      <w:lvlText w:val="%1"/>
      <w:numFmt w:val="decimal"/>
      <w:start w:val="14"/>
    </w:lvl>
  </w:abstractNum>
  <w:abstractNum w:abstractNumId="46">
    <w:nsid w:val="1CF10FD8"/>
    <w:multiLevelType w:val="hybridMultilevel"/>
    <w:lvl w:ilvl="0">
      <w:lvlJc w:val="left"/>
      <w:lvlText w:val="1"/>
      <w:numFmt w:val="bullet"/>
      <w:start w:val="1"/>
    </w:lvl>
  </w:abstractNum>
  <w:abstractNum w:abstractNumId="47">
    <w:nsid w:val="180115BE"/>
    <w:multiLevelType w:val="hybridMultilevel"/>
    <w:lvl w:ilvl="0">
      <w:lvlJc w:val="left"/>
      <w:lvlText w:val="2"/>
      <w:numFmt w:val="bullet"/>
      <w:start w:val="1"/>
    </w:lvl>
  </w:abstractNum>
  <w:abstractNum w:abstractNumId="48">
    <w:nsid w:val="235BA861"/>
    <w:multiLevelType w:val="hybridMultilevel"/>
    <w:lvl w:ilvl="0">
      <w:lvlJc w:val="left"/>
      <w:lvlText w:val="3"/>
      <w:numFmt w:val="bullet"/>
      <w:start w:val="1"/>
    </w:lvl>
  </w:abstractNum>
  <w:abstractNum w:abstractNumId="49">
    <w:nsid w:val="47398C89"/>
    <w:multiLevelType w:val="hybridMultilevel"/>
    <w:lvl w:ilvl="0">
      <w:lvlJc w:val="left"/>
      <w:lvlText w:val="4"/>
      <w:numFmt w:val="bullet"/>
      <w:start w:val="1"/>
    </w:lvl>
  </w:abstractNum>
  <w:abstractNum w:abstractNumId="50">
    <w:nsid w:val="354FE9F9"/>
    <w:multiLevelType w:val="hybridMultilevel"/>
    <w:lvl w:ilvl="0">
      <w:lvlJc w:val="left"/>
      <w:lvlText w:val="5"/>
      <w:numFmt w:val="bullet"/>
      <w:start w:val="1"/>
    </w:lvl>
  </w:abstractNum>
  <w:abstractNum w:abstractNumId="51">
    <w:nsid w:val="15B5AF5C"/>
    <w:multiLevelType w:val="hybridMultilevel"/>
    <w:lvl w:ilvl="0">
      <w:lvlJc w:val="left"/>
      <w:lvlText w:val="6"/>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decimal"/>
      <w:start w:val="11"/>
    </w:lvl>
  </w:abstractNum>
  <w:abstractNum w:abstractNumId="59">
    <w:nsid w:val="579BE4F1"/>
    <w:multiLevelType w:val="hybridMultilevel"/>
    <w:lvl w:ilvl="0">
      <w:lvlJc w:val="left"/>
      <w:lvlText w:val="%1"/>
      <w:numFmt w:val="decimal"/>
      <w:start w:val="13"/>
    </w:lvl>
  </w:abstractNum>
  <w:abstractNum w:abstractNumId="60">
    <w:nsid w:val="310C50B3"/>
    <w:multiLevelType w:val="hybridMultilevel"/>
    <w:lvl w:ilvl="0">
      <w:lvlJc w:val="left"/>
      <w:lvlText w:val="%1"/>
      <w:numFmt w:val="decimal"/>
      <w:start w:val="14"/>
    </w:lvl>
  </w:abstractNum>
  <w:abstractNum w:abstractNumId="61">
    <w:nsid w:val="5FF87E05"/>
    <w:multiLevelType w:val="hybridMultilevel"/>
    <w:lvl w:ilvl="0">
      <w:lvlJc w:val="left"/>
      <w:lvlText w:val="(%1)"/>
      <w:numFmt w:val="lowerLetter"/>
      <w:start w:val="5"/>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lowerRoman"/>
      <w:start w:val="1"/>
    </w:lvl>
    <w:lvl w:ilvl="1">
      <w:lvlJc w:val="left"/>
      <w:lvlText w:val="(%2)"/>
      <w:numFmt w:val="lowerLetter"/>
      <w:start w:val="2"/>
    </w:lvl>
  </w:abstractNum>
  <w:abstractNum w:abstractNumId="64">
    <w:nsid w:val="1DBABF00"/>
    <w:multiLevelType w:val="hybridMultilevel"/>
    <w:lvl w:ilvl="0">
      <w:lvlJc w:val="left"/>
      <w:lvlText w:val="(%1)"/>
      <w:numFmt w:val="lowerRoman"/>
      <w:start w:val="4"/>
    </w:lvl>
    <w:lvl w:ilvl="1">
      <w:lvlJc w:val="left"/>
      <w:lvlText w:val="%2"/>
      <w:numFmt w:val="lowerLetter"/>
      <w:start w:val="1"/>
    </w:lvl>
  </w:abstractNum>
  <w:abstractNum w:abstractNumId="65">
    <w:nsid w:val="4AD084E9"/>
    <w:multiLevelType w:val="hybridMultilevel"/>
    <w:lvl w:ilvl="0">
      <w:lvlJc w:val="left"/>
      <w:lvlText w:val="(%1)"/>
      <w:numFmt w:val="lowerLetter"/>
      <w:start w:val="3"/>
    </w:lvl>
    <w:lvl w:ilvl="1">
      <w:lvlJc w:val="left"/>
      <w:lvlText w:val="(%2)"/>
      <w:numFmt w:val="lowerLetter"/>
      <w:start w:val="5"/>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2019-12-10T00:26:43Z</dcterms:created>
  <dcterms:modified xsi:type="dcterms:W3CDTF">2019-12-10T00:26:43Z</dcterms:modified>
</cp:coreProperties>
</file>