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Date of Report (Date of earliest event reported) June 1, 2016</w:t>
      </w:r>
    </w:p>
    <w:p>
      <w:pPr>
        <w:spacing w:after="0" w:line="200" w:lineRule="exact"/>
        <w:rPr>
          <w:sz w:val="24"/>
          <w:szCs w:val="24"/>
          <w:color w:val="auto"/>
        </w:rPr>
      </w:pPr>
    </w:p>
    <w:p>
      <w:pPr>
        <w:spacing w:after="0" w:line="355"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June 1, 2016, Hawkins, Inc. issued a press release announcing financial results for the fourth quarter and fiscal year ended April 3, 2016.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440" w:firstLine="878"/>
        <w:spacing w:after="0" w:line="277" w:lineRule="auto"/>
        <w:rPr>
          <w:sz w:val="20"/>
          <w:szCs w:val="20"/>
          <w:color w:val="auto"/>
        </w:rPr>
      </w:pPr>
      <w:r>
        <w:rPr>
          <w:rFonts w:ascii="Arial" w:cs="Arial" w:eastAsia="Arial" w:hAnsi="Arial"/>
          <w:sz w:val="18"/>
          <w:szCs w:val="18"/>
          <w:color w:val="auto"/>
        </w:rPr>
        <w:t>Exhibit 99.1—Press Release, dated June 1, 2016, announcing financial results of Hawkins, Inc. for the fourth quarter and fiscal year ended April 3, 2016.</w:t>
      </w:r>
    </w:p>
    <w:p>
      <w:pPr>
        <w:sectPr>
          <w:pgSz w:w="11900" w:h="16838" w:orient="portrait"/>
          <w:cols w:equalWidth="0" w:num="1">
            <w:col w:w="11320"/>
          </w:cols>
          <w:pgMar w:left="240" w:top="58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June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Press Release, dated June 1, 2016, announcing financial results of Hawkins, Inc. for the fourth</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quarter and fiscal year ended April 3, 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85"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FISCAL 2016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Minneapolis, MN, June 1, 2016 – Hawkins, Inc. (Nasdaq: HWKN) today announced fourth quarter and full-year results for its fiscal year ended April 3, 2016. Sales of $414.0 million for fiscal 2016 represented an increase of $50.0 million, or 13.7%, from $364.0 million for the prior fiscal year. Adjusted net income was $20.7 million, or $1.96 per diluted share, for fiscal 2016, compared to net income of $19.2 million, or $1.81 per diluted share, for fiscal 2015. Our fiscal year ended April 3, 2016 was a 53-week year, while our fiscal year ended March 29, 2015 was a 52-week year. Adjusted net income for fiscal 2016 excludes pre-tax expenses of $3.3 million (approximately $2.5 million after tax, or $0.24 per diluted share) related to our acquisition of Stauber Performance Ingredients ("Stauber") during the third quarter of fiscal 2016. Including the after-tax impact of the acquisition-related expenses, GAAP net income for fiscal 2016 was $18.1 million, or $1.72 per diluted share. The LIFO method of valuing inventory increased gross profit by $1.4 million for fiscal 2016, while it decreased gross profit by $0.4 million for fiscal 2015.</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fourth quarter of fiscal 2016, the Company reported sales of $129.5 million as compared to $93.3 million for the same period a year ago. Adjusted net income for the fourth quarter of fiscal 2016 was $5.3 million, or $0.50 per diluted share, compared to net income of $3.9 million, or $0.37 per diluted share, for the fourth quarter of the prior year. Adjusted net income for the fourth quarter of fiscal 2016 excludes pre-tax expenses of $0.6 million (approximately $0.4 million after tax, or $0.04 per diluted share) related to our acquisition of Stauber during the third quarter of fiscal 2016. Including the after-tax impact of the acquisition-related expenses, GAAP net income for the fourth quarter of fiscal 2016 was $4.9 million, or $0.46 per diluted share.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“Fiscal 2016 was a transformational year for our company as we completed the largest acquisition in our history in late December,” said Patrick Hawkins, Chief Executive Officer and President. "The Stauber Performance Ingredients acquisition provides us with a new reporting segment and has accelerated our growth through sales into the nutraceutical market and, importantly, added to our bottom line. Excluding the costs of the acquisition, this new Health and Nutrition segment generated operating income of $2.5 million in our fourth quarter. As we continue to work more closely with the Stauber team, it continues to be apparent how well our organizations are aligned in terms of focus on excellent customer service and high quality products. We plan to add resources to the Stauber team so that we can continue these offerings and to support growth.”</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all of our segments benefitted from an extra week in the fourth quarter of fiscal 2016, we are particularly pleased with the growth we experienced in our Industrial segment. Gross profit in this segment grew 13% from 2015 due to higher volumes of specialized products that more than offset lower sales of bulk commodity products,” Mr. Hawkins continued. “Many commodity markets we serve continue to face heightened competition, reducing margins on these products that already carry lower per-unit margins. In addition, our Industrial and Water Treatment segments continue to be negatively impacted by lower product volumes sold into the oil and gas industry. In Water Treatment, our expansion into the Florida market was the main driver to our year-over-year improvement. As we have stated for the last few quarters, we have been proactively adding sales and support resources in both segments driving an increase in our SG&amp;A spending. These investments have been made for the long-term health of our business and we expect them to drive bottom-line growth as these new resources become fully integrated.”</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For fiscal 2016, Industrial segment sales were $251.7 million, an increase of 1.1% from fiscal 2015 sales of $249.1 million. An overall increase in sales volumes, driven in part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current year, along with a shift in product mix to more sales of products that carry higher per-unit selling prices, more than offset the impact of lower selling prices due to lower product costs and lower volumes sold on certain bulk commodity products. Water Treatment segment sales were $128.3 million for the year, an increase of 11.6% over last year’s sales of $115.0 million. Our locations acquired in fiscal 2015 and 2016 accounted for $12.6 million of the total increase in sales. Also contributing to the year-over-year increase was an overall increase in sales volumes at our other locations, driven by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the current year, and higher sales volumes of specialty products, partially offset by lower volumes sold and lower selling prices on certain bulk commodity products. Sales for our newly established Health and Nutrition segment were $33.9 million for the fourth quarter and current year.</w:t>
      </w:r>
    </w:p>
    <w:p>
      <w:pPr>
        <w:sectPr>
          <w:pgSz w:w="11900" w:h="16838" w:orient="portrait"/>
          <w:cols w:equalWidth="0" w:num="1">
            <w:col w:w="11420"/>
          </w:cols>
          <w:pgMar w:left="240" w:top="746" w:right="239" w:bottom="1440" w:gutter="0" w:footer="0" w:header="0"/>
          <w:type w:val="continuous"/>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Company-wide gross profit for fiscal 2016 was $80.3 million, or 19.4% of sales, compared to $65.8 million, or 18.1% of sales, for the same period of the prior year. The LIFO method of valuing inventory increased gross profit by $1.4 million for fiscal 2016, while it decreased gross profit by $0.4 million for fiscal 2015.</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Gross profit for the Industrial segment was $38.0 million, or 15.1% of sales, for fiscal 2016, an increase of $4.3 million from $33.6 million, or 13.5% of sales, for fiscal 2015.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$1.0 million of additional gross profit. An increase in sales of specialized products that carry higher per-unit margins was partially offset by lower sales of bulk commodity products, which carry lower per-unit margins. The LIFO method of valuing inventory increased gross profit in our Industrial segment by $1.0 million in fiscal 2016, while it decreased gross profit by $0.3 million in fiscal 2015.</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Gross profit for the Water Treatment segment increased $3.3 million to $35.5 million, or 27.6% of sales, for fiscal 2016, as compared to $32.2 million, or 28.0% of sales, for fiscal 2015. The increase in gross profit dollars was largely driven by profits from our locations acquired in fiscal 2015 and 2016. We estimate the gross profit impact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to be approximately $0.6 million of additional gross profit. In addition, product margins at many of our other locations increased year over year on increased volumes, offset somewhat by increased operating expenses. The LIFO method of valuing inventory increased gross profit by $0.4 million in fiscal 2016, while it decreased gross profit by $0.1 million in fiscal 2015.</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Gross profit for our newly established Health and Nutrition segment was $6.8 million for the fourth quarter and current year. We estimate the gross profit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to be approximately $0.5 million of additional gross profit.</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Company-wide SG&amp;A expenses were $49.1 million, or 11.9% of sales, for fiscal 2016, as compared to $35.4 million, or 9.7% of sales, for fiscal 2015. Our newly established Health and Nutrition segment accounted for $7.7 million of the increase, including $3.3 million in non-recurring costs directly related to the acquisition and $0.3 million related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 SG&amp;A expenses from our Water Treatment locations acquired in fiscal 2015 and 2016 accounted for $1.8 million of the increase. Other drivers of the remaining expense increase are the addition of sales personnel in both our Water Treatment and Industrial segments and added administrative positions to support our business growth needs, with an estimated $0.6 million of the increase attributable to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2016.</w:t>
      </w:r>
    </w:p>
    <w:p>
      <w:pPr>
        <w:spacing w:after="0" w:line="1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fiscal year ended April 3, 2016 was $51.7 million compared to $45.1 million for the same period in the prior year. The increase is primarily attributable to our newly established Health and Nutrition segment.</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income tax rate was 40.2% for the twelve months ended April 3, 2016 compared to an effective income tax rate of 36.9% for the twelve months ended March 29, 2015. Our fiscal 2016 tax rate was negatively impacted by income tax expense of approximately $0.5 million associated with $1.4 million of Stauber acquisition related expenditures which are not deductible for tax purposes and were recorded as discrete items during fiscal 2016. Our effective tax rate for 2016 was also negatively impacted by $0.2 million related to a preliminary audit finding by a state income tax jurisdiction covering multiple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each of these non-GAAP financial measures internally to understand, manage and evaluate our business and to make operating decisions.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these non-GAAP financial measures reflect an additional way of viewing aspects of our operations that, when viewed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ectPr>
          <w:pgSz w:w="11900" w:h="16838" w:orient="portrait"/>
          <w:cols w:equalWidth="0" w:num="1">
            <w:col w:w="11420"/>
          </w:cols>
          <w:pgMar w:left="240" w:top="746" w:right="239" w:bottom="1440" w:gutter="0" w:footer="0" w:header="0"/>
        </w:sectPr>
      </w:pPr>
    </w:p>
    <w:bookmarkStart w:id="6" w:name="page7"/>
    <w:bookmarkEnd w:id="6"/>
    <w:p>
      <w:pPr>
        <w:jc w:val="both"/>
        <w:ind w:right="2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 April 3, 2016</w:t>
            </w:r>
          </w:p>
        </w:tc>
        <w:tc>
          <w:tcPr>
            <w:tcW w:w="140" w:type="dxa"/>
            <w:vAlign w:val="bottom"/>
          </w:tcPr>
          <w:p>
            <w:pPr>
              <w:spacing w:after="0"/>
              <w:rPr>
                <w:sz w:val="18"/>
                <w:szCs w:val="18"/>
                <w:color w:val="auto"/>
              </w:rPr>
            </w:pPr>
          </w:p>
        </w:tc>
        <w:tc>
          <w:tcPr>
            <w:tcW w:w="3960" w:type="dxa"/>
            <w:vAlign w:val="bottom"/>
            <w:gridSpan w:val="5"/>
          </w:tcPr>
          <w:p>
            <w:pPr>
              <w:jc w:val="right"/>
              <w:ind w:right="670"/>
              <w:spacing w:after="0"/>
              <w:rPr>
                <w:sz w:val="20"/>
                <w:szCs w:val="20"/>
                <w:color w:val="auto"/>
              </w:rPr>
            </w:pPr>
            <w:r>
              <w:rPr>
                <w:rFonts w:ascii="Arial" w:cs="Arial" w:eastAsia="Arial" w:hAnsi="Arial"/>
                <w:sz w:val="16"/>
                <w:szCs w:val="16"/>
                <w:b w:val="1"/>
                <w:bCs w:val="1"/>
                <w:color w:val="auto"/>
              </w:rPr>
              <w:t>Three months ended March 29, 2015</w:t>
            </w:r>
          </w:p>
        </w:tc>
      </w:tr>
      <w:tr>
        <w:trPr>
          <w:trHeight w:val="258"/>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(1)</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8,786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6,026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10,528,275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10,639,310 shares used in calculating diluted earnings per share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6"/>
          </w:tcPr>
          <w:p>
            <w:pPr>
              <w:ind w:left="720"/>
              <w:spacing w:after="0"/>
              <w:rPr>
                <w:sz w:val="20"/>
                <w:szCs w:val="20"/>
                <w:color w:val="auto"/>
              </w:rPr>
            </w:pPr>
            <w:r>
              <w:rPr>
                <w:rFonts w:ascii="Arial" w:cs="Arial" w:eastAsia="Arial" w:hAnsi="Arial"/>
                <w:sz w:val="16"/>
                <w:szCs w:val="16"/>
                <w:b w:val="1"/>
                <w:bCs w:val="1"/>
                <w:color w:val="auto"/>
              </w:rPr>
              <w:t>Twelve months ended April 3, 2016</w:t>
            </w:r>
          </w:p>
        </w:tc>
        <w:tc>
          <w:tcPr>
            <w:tcW w:w="140" w:type="dxa"/>
            <w:vAlign w:val="bottom"/>
          </w:tcPr>
          <w:p>
            <w:pPr>
              <w:spacing w:after="0"/>
              <w:rPr>
                <w:sz w:val="18"/>
                <w:szCs w:val="18"/>
                <w:color w:val="auto"/>
              </w:rPr>
            </w:pPr>
          </w:p>
        </w:tc>
        <w:tc>
          <w:tcPr>
            <w:tcW w:w="3960" w:type="dxa"/>
            <w:vAlign w:val="bottom"/>
            <w:gridSpan w:val="5"/>
          </w:tcPr>
          <w:p>
            <w:pPr>
              <w:jc w:val="right"/>
              <w:ind w:right="630"/>
              <w:spacing w:after="0"/>
              <w:rPr>
                <w:sz w:val="20"/>
                <w:szCs w:val="20"/>
                <w:color w:val="auto"/>
              </w:rPr>
            </w:pPr>
            <w:r>
              <w:rPr>
                <w:rFonts w:ascii="Arial" w:cs="Arial" w:eastAsia="Arial" w:hAnsi="Arial"/>
                <w:sz w:val="16"/>
                <w:szCs w:val="16"/>
                <w:b w:val="1"/>
                <w:bCs w:val="1"/>
                <w:color w:val="auto"/>
              </w:rPr>
              <w:t>Twelve months ended March 29, 2015</w:t>
            </w:r>
          </w:p>
        </w:tc>
      </w:tr>
      <w:tr>
        <w:trPr>
          <w:trHeight w:val="258"/>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Diluted</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rPr>
              <w:t>(In thousands, except share and per</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5"/>
              </w:rPr>
              <w:t>Income before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Income before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earnings per</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color w:val="auto"/>
              </w:rPr>
              <w:t>share data)</w:t>
            </w:r>
          </w:p>
        </w:tc>
        <w:tc>
          <w:tcPr>
            <w:tcW w:w="14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income taxes</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Net Income</w:t>
            </w:r>
          </w:p>
        </w:tc>
        <w:tc>
          <w:tcPr>
            <w:tcW w:w="28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(3)</w:t>
            </w:r>
          </w:p>
        </w:tc>
        <w:tc>
          <w:tcPr>
            <w:tcW w:w="14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b w:val="1"/>
                <w:bCs w:val="1"/>
                <w:color w:val="auto"/>
                <w:w w:val="84"/>
              </w:rPr>
              <w:t>income taxes</w:t>
            </w:r>
          </w:p>
        </w:tc>
        <w:tc>
          <w:tcPr>
            <w:tcW w:w="3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 (4)</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30,454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Add impact of costs related to</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Stauber acquisition</w:t>
            </w:r>
          </w:p>
        </w:tc>
        <w:tc>
          <w:tcPr>
            <w:tcW w:w="14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3,325</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2,538</w:t>
            </w: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20,681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30,454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10,578,042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10,633,554 shares used in calculating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spacing w:after="0"/>
              <w:rPr>
                <w:sz w:val="20"/>
                <w:szCs w:val="20"/>
                <w:color w:val="auto"/>
              </w:rPr>
            </w:pPr>
          </w:p>
        </w:tc>
        <w:tc>
          <w:tcPr>
            <w:tcW w:w="3000" w:type="dxa"/>
            <w:vAlign w:val="bottom"/>
            <w:gridSpan w:val="5"/>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 2016</w:t>
            </w:r>
          </w:p>
        </w:tc>
        <w:tc>
          <w:tcPr>
            <w:tcW w:w="120" w:type="dxa"/>
            <w:vAlign w:val="bottom"/>
          </w:tcPr>
          <w:p>
            <w:pPr>
              <w:spacing w:after="0"/>
              <w:rPr>
                <w:sz w:val="23"/>
                <w:szCs w:val="23"/>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29, 2015</w:t>
            </w:r>
          </w:p>
        </w:tc>
        <w:tc>
          <w:tcPr>
            <w:tcW w:w="18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 2016</w:t>
            </w:r>
          </w:p>
        </w:tc>
        <w:tc>
          <w:tcPr>
            <w:tcW w:w="12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March 29, 2015</w:t>
            </w:r>
          </w:p>
        </w:tc>
      </w:tr>
      <w:tr>
        <w:trPr>
          <w:trHeight w:val="27"/>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19,214</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11,240</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864</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12,151</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1,628</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Non-recurring costs, Stauber acquisition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15,042</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51,711</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45,059</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2016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920"/>
        <w:spacing w:after="0"/>
        <w:tabs>
          <w:tab w:leader="none" w:pos="7300" w:val="left"/>
        </w:tabs>
        <w:rPr>
          <w:sz w:val="20"/>
          <w:szCs w:val="20"/>
          <w:color w:val="auto"/>
        </w:rPr>
      </w:pPr>
      <w:r>
        <w:rPr>
          <w:rFonts w:ascii="Arial" w:cs="Arial" w:eastAsia="Arial" w:hAnsi="Arial"/>
          <w:sz w:val="14"/>
          <w:szCs w:val="14"/>
          <w:b w:val="1"/>
          <w:bCs w:val="1"/>
          <w:color w:val="auto"/>
        </w:rPr>
        <w:t>April 3, 2016</w:t>
      </w:r>
      <w:r>
        <w:rPr>
          <w:sz w:val="20"/>
          <w:szCs w:val="20"/>
          <w:color w:val="auto"/>
        </w:rPr>
        <w:tab/>
      </w:r>
      <w:r>
        <w:rPr>
          <w:rFonts w:ascii="Arial" w:cs="Arial" w:eastAsia="Arial" w:hAnsi="Arial"/>
          <w:sz w:val="13"/>
          <w:szCs w:val="13"/>
          <w:b w:val="1"/>
          <w:bCs w:val="1"/>
          <w:color w:val="auto"/>
        </w:rPr>
        <w:t>March 29, 2015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23495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April 3, 2016</w:t>
      </w:r>
      <w:r>
        <w:rPr>
          <w:sz w:val="20"/>
          <w:szCs w:val="20"/>
          <w:color w:val="auto"/>
        </w:rPr>
        <w:tab/>
      </w:r>
      <w:r>
        <w:rPr>
          <w:rFonts w:ascii="Arial" w:cs="Arial" w:eastAsia="Arial" w:hAnsi="Arial"/>
          <w:sz w:val="13"/>
          <w:szCs w:val="13"/>
          <w:b w:val="1"/>
          <w:bCs w:val="1"/>
          <w:color w:val="auto"/>
        </w:rPr>
        <w:t>March 29, 2015</w:t>
      </w:r>
    </w:p>
    <w:p>
      <w:pPr>
        <w:spacing w:after="0" w:line="25" w:lineRule="exact"/>
        <w:rPr>
          <w:sz w:val="20"/>
          <w:szCs w:val="20"/>
          <w:color w:val="auto"/>
        </w:rPr>
      </w:pPr>
    </w:p>
    <w:p>
      <w:pPr>
        <w:sectPr>
          <w:pgSz w:w="11900" w:h="16838" w:orient="portrait"/>
          <w:cols w:equalWidth="0" w:num="2">
            <w:col w:w="8280" w:space="580"/>
            <w:col w:w="256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6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129,513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413,976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364,023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(298,232)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80,257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65,791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30,454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19,214</w:t>
            </w: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10,478,266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10,581,129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10,524,730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10,568,582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10,528,275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10,639,310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10,578,042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10,633,554</w:t>
            </w: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2019-12-05T07:12:16Z</dcterms:created>
  <dcterms:modified xsi:type="dcterms:W3CDTF">2019-12-05T07:12:16Z</dcterms:modified>
</cp:coreProperties>
</file>