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112395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QUARTERLY REPORT PURSUANT TO SECTION 13 OR 15(d) OF THE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June 30, 2006</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146050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9" w:right="239" w:bottom="0" w:gutter="0" w:footer="0" w:header="0"/>
        </w:sectPr>
      </w:pPr>
    </w:p>
    <w:p>
      <w:pPr>
        <w:spacing w:after="0" w:line="219" w:lineRule="exact"/>
        <w:rPr>
          <w:sz w:val="24"/>
          <w:szCs w:val="24"/>
          <w:color w:val="auto"/>
        </w:rPr>
      </w:pPr>
    </w:p>
    <w:p>
      <w:pPr>
        <w:ind w:left="2200"/>
        <w:spacing w:after="0"/>
        <w:rPr>
          <w:sz w:val="20"/>
          <w:szCs w:val="20"/>
          <w:color w:val="auto"/>
        </w:rPr>
      </w:pPr>
      <w:r>
        <w:rPr>
          <w:rFonts w:ascii="Arial" w:cs="Arial" w:eastAsia="Arial" w:hAnsi="Arial"/>
          <w:sz w:val="22"/>
          <w:szCs w:val="22"/>
          <w:b w:val="1"/>
          <w:bCs w:val="1"/>
          <w:color w:val="auto"/>
        </w:rPr>
        <w:t>MINNESOTA</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41-0771293</w:t>
      </w:r>
    </w:p>
    <w:p>
      <w:pPr>
        <w:spacing w:after="0" w:line="62" w:lineRule="exact"/>
        <w:rPr>
          <w:sz w:val="24"/>
          <w:szCs w:val="24"/>
          <w:color w:val="auto"/>
        </w:rPr>
      </w:pPr>
    </w:p>
    <w:p>
      <w:pPr>
        <w:sectPr>
          <w:pgSz w:w="11900" w:h="16838" w:orient="portrait"/>
          <w:cols w:equalWidth="0" w:num="2">
            <w:col w:w="7320" w:space="720"/>
            <w:col w:w="3380"/>
          </w:cols>
          <w:pgMar w:left="240" w:top="239" w:right="239" w:bottom="0" w:gutter="0" w:footer="0" w:header="0"/>
          <w:type w:val="continuous"/>
        </w:sectPr>
      </w:pPr>
    </w:p>
    <w:p>
      <w:pPr>
        <w:ind w:left="18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p>
    <w:p>
      <w:pPr>
        <w:ind w:left="18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319" w:lineRule="exact"/>
        <w:rPr>
          <w:sz w:val="24"/>
          <w:szCs w:val="24"/>
          <w:color w:val="auto"/>
        </w:rPr>
      </w:pPr>
    </w:p>
    <w:p>
      <w:pPr>
        <w:sectPr>
          <w:pgSz w:w="11900" w:h="16838" w:orient="portrait"/>
          <w:cols w:equalWidth="0" w:num="2">
            <w:col w:w="6580" w:space="720"/>
            <w:col w:w="4120"/>
          </w:cols>
          <w:pgMar w:left="240" w:top="239" w:right="239" w:bottom="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3100 EAST HENNEPIN AVENUE, MINNEAPOLIS, MINNESOTA 55413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(612) 331-6910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137160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13" w:lineRule="exact"/>
        <w:rPr>
          <w:sz w:val="24"/>
          <w:szCs w:val="24"/>
          <w:color w:val="auto"/>
        </w:rPr>
      </w:pPr>
    </w:p>
    <w:p>
      <w:pPr>
        <w:ind w:right="260"/>
        <w:spacing w:after="0"/>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6" w:lineRule="exact"/>
        <w:rPr>
          <w:sz w:val="24"/>
          <w:szCs w:val="24"/>
          <w:color w:val="auto"/>
        </w:rPr>
      </w:pPr>
    </w:p>
    <w:p>
      <w:pPr>
        <w:ind w:left="4940"/>
        <w:spacing w:after="0"/>
        <w:tabs>
          <w:tab w:leader="none" w:pos="5940" w:val="left"/>
        </w:tabs>
        <w:rPr>
          <w:sz w:val="20"/>
          <w:szCs w:val="20"/>
          <w:color w:val="auto"/>
        </w:rPr>
      </w:pPr>
      <w:r>
        <w:rPr>
          <w:rFonts w:ascii="Arial" w:cs="Arial" w:eastAsia="Arial" w:hAnsi="Arial"/>
          <w:sz w:val="22"/>
          <w:szCs w:val="22"/>
          <w:color w:val="auto"/>
        </w:rPr>
        <w:t>YES x</w:t>
      </w:r>
      <w:r>
        <w:rPr>
          <w:sz w:val="20"/>
          <w:szCs w:val="20"/>
          <w:color w:val="auto"/>
        </w:rPr>
        <w:tab/>
      </w:r>
      <w:r>
        <w:rPr>
          <w:rFonts w:ascii="Arial" w:cs="Arial" w:eastAsia="Arial" w:hAnsi="Arial"/>
          <w:sz w:val="22"/>
          <w:szCs w:val="22"/>
          <w:color w:val="auto"/>
        </w:rPr>
        <w:t>NO o</w:t>
      </w:r>
    </w:p>
    <w:p>
      <w:pPr>
        <w:spacing w:after="0" w:line="179"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Indicate by check mark whether the registrant is a large accelerated filer, an accelerated filer, or a non-accelerated filer (as defined in Rule 12b-2 of the Exchange Act).</w:t>
      </w:r>
    </w:p>
    <w:p>
      <w:pPr>
        <w:spacing w:after="0" w:line="133" w:lineRule="exact"/>
        <w:rPr>
          <w:sz w:val="24"/>
          <w:szCs w:val="24"/>
          <w:color w:val="auto"/>
        </w:rPr>
      </w:pPr>
    </w:p>
    <w:p>
      <w:pPr>
        <w:ind w:left="2600"/>
        <w:spacing w:after="0"/>
        <w:rPr>
          <w:sz w:val="20"/>
          <w:szCs w:val="20"/>
          <w:color w:val="auto"/>
        </w:rPr>
      </w:pPr>
      <w:r>
        <w:rPr>
          <w:rFonts w:ascii="Arial" w:cs="Arial" w:eastAsia="Arial" w:hAnsi="Arial"/>
          <w:sz w:val="22"/>
          <w:szCs w:val="22"/>
          <w:color w:val="auto"/>
        </w:rPr>
        <w:t>Large Accelerated Filer o  Accelerated Filer x Non-Accelerated Filer o</w:t>
      </w:r>
    </w:p>
    <w:p>
      <w:pPr>
        <w:spacing w:after="0" w:line="166"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is a shell company (as defined in Rule 12b-2 of the Exchange Act).</w:t>
      </w:r>
    </w:p>
    <w:p>
      <w:pPr>
        <w:spacing w:after="0" w:line="179" w:lineRule="exact"/>
        <w:rPr>
          <w:sz w:val="24"/>
          <w:szCs w:val="24"/>
          <w:color w:val="auto"/>
        </w:rPr>
      </w:pPr>
    </w:p>
    <w:p>
      <w:pPr>
        <w:ind w:left="4940"/>
        <w:spacing w:after="0"/>
        <w:tabs>
          <w:tab w:leader="none" w:pos="5940" w:val="left"/>
        </w:tabs>
        <w:rPr>
          <w:sz w:val="20"/>
          <w:szCs w:val="20"/>
          <w:color w:val="auto"/>
        </w:rPr>
      </w:pPr>
      <w:r>
        <w:rPr>
          <w:rFonts w:ascii="Arial" w:cs="Arial" w:eastAsia="Arial" w:hAnsi="Arial"/>
          <w:sz w:val="22"/>
          <w:szCs w:val="22"/>
          <w:color w:val="auto"/>
        </w:rPr>
        <w:t>YES o</w:t>
      </w:r>
      <w:r>
        <w:rPr>
          <w:sz w:val="20"/>
          <w:szCs w:val="20"/>
          <w:color w:val="auto"/>
        </w:rPr>
        <w:tab/>
      </w:r>
      <w:r>
        <w:rPr>
          <w:rFonts w:ascii="Arial" w:cs="Arial" w:eastAsia="Arial" w:hAnsi="Arial"/>
          <w:sz w:val="22"/>
          <w:szCs w:val="22"/>
          <w:color w:val="auto"/>
        </w:rPr>
        <w:t>NO x</w:t>
      </w:r>
    </w:p>
    <w:p>
      <w:pPr>
        <w:spacing w:after="0" w:line="166"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860" w:type="dxa"/>
            <w:vAlign w:val="bottom"/>
          </w:tcPr>
          <w:p>
            <w:pPr>
              <w:spacing w:after="0"/>
              <w:rPr>
                <w:sz w:val="19"/>
                <w:szCs w:val="19"/>
                <w:color w:val="auto"/>
              </w:rPr>
            </w:pPr>
          </w:p>
        </w:tc>
        <w:tc>
          <w:tcPr>
            <w:tcW w:w="5000" w:type="dxa"/>
            <w:vAlign w:val="bottom"/>
            <w:tcBorders>
              <w:bottom w:val="single" w:sz="8" w:color="auto"/>
            </w:tcBorders>
          </w:tcPr>
          <w:p>
            <w:pPr>
              <w:jc w:val="center"/>
              <w:ind w:right="62"/>
              <w:spacing w:after="0"/>
              <w:rPr>
                <w:sz w:val="20"/>
                <w:szCs w:val="20"/>
                <w:color w:val="auto"/>
              </w:rPr>
            </w:pPr>
            <w:r>
              <w:rPr>
                <w:rFonts w:ascii="Arial" w:cs="Arial" w:eastAsia="Arial" w:hAnsi="Arial"/>
                <w:sz w:val="18"/>
                <w:szCs w:val="18"/>
                <w:color w:val="auto"/>
                <w:w w:val="94"/>
              </w:rPr>
              <w:t>CLASS</w:t>
            </w:r>
          </w:p>
        </w:tc>
        <w:tc>
          <w:tcPr>
            <w:tcW w:w="4720" w:type="dxa"/>
            <w:vAlign w:val="bottom"/>
            <w:tcBorders>
              <w:bottom w:val="single" w:sz="8" w:color="auto"/>
            </w:tcBorders>
          </w:tcPr>
          <w:p>
            <w:pPr>
              <w:jc w:val="center"/>
              <w:ind w:right="62"/>
              <w:spacing w:after="0"/>
              <w:rPr>
                <w:sz w:val="20"/>
                <w:szCs w:val="20"/>
                <w:color w:val="auto"/>
              </w:rPr>
            </w:pPr>
            <w:r>
              <w:rPr>
                <w:rFonts w:ascii="Arial" w:cs="Arial" w:eastAsia="Arial" w:hAnsi="Arial"/>
                <w:sz w:val="18"/>
                <w:szCs w:val="18"/>
                <w:color w:val="auto"/>
                <w:w w:val="92"/>
              </w:rPr>
              <w:t>OUTSTANDING AT AUGUST 08, 2006</w:t>
            </w:r>
          </w:p>
        </w:tc>
        <w:tc>
          <w:tcPr>
            <w:tcW w:w="840" w:type="dxa"/>
            <w:vAlign w:val="bottom"/>
          </w:tcPr>
          <w:p>
            <w:pPr>
              <w:spacing w:after="0"/>
              <w:rPr>
                <w:sz w:val="19"/>
                <w:szCs w:val="19"/>
                <w:color w:val="auto"/>
              </w:rPr>
            </w:pPr>
          </w:p>
        </w:tc>
      </w:tr>
      <w:tr>
        <w:trPr>
          <w:trHeight w:val="269"/>
        </w:trPr>
        <w:tc>
          <w:tcPr>
            <w:tcW w:w="860" w:type="dxa"/>
            <w:vAlign w:val="bottom"/>
          </w:tcPr>
          <w:p>
            <w:pPr>
              <w:spacing w:after="0"/>
              <w:rPr>
                <w:sz w:val="23"/>
                <w:szCs w:val="23"/>
                <w:color w:val="auto"/>
              </w:rPr>
            </w:pPr>
          </w:p>
        </w:tc>
        <w:tc>
          <w:tcPr>
            <w:tcW w:w="5000" w:type="dxa"/>
            <w:vAlign w:val="bottom"/>
          </w:tcPr>
          <w:p>
            <w:pPr>
              <w:jc w:val="center"/>
              <w:ind w:right="62"/>
              <w:spacing w:after="0"/>
              <w:rPr>
                <w:sz w:val="20"/>
                <w:szCs w:val="20"/>
                <w:color w:val="auto"/>
              </w:rPr>
            </w:pPr>
            <w:r>
              <w:rPr>
                <w:rFonts w:ascii="Arial" w:cs="Arial" w:eastAsia="Arial" w:hAnsi="Arial"/>
                <w:sz w:val="22"/>
                <w:szCs w:val="22"/>
                <w:color w:val="auto"/>
                <w:w w:val="87"/>
              </w:rPr>
              <w:t>Common Stock, par value $.05 per share</w:t>
            </w:r>
          </w:p>
        </w:tc>
        <w:tc>
          <w:tcPr>
            <w:tcW w:w="4720" w:type="dxa"/>
            <w:vAlign w:val="bottom"/>
          </w:tcPr>
          <w:p>
            <w:pPr>
              <w:jc w:val="right"/>
              <w:ind w:right="1842"/>
              <w:spacing w:after="0"/>
              <w:rPr>
                <w:sz w:val="20"/>
                <w:szCs w:val="20"/>
                <w:color w:val="auto"/>
              </w:rPr>
            </w:pPr>
            <w:r>
              <w:rPr>
                <w:rFonts w:ascii="Arial" w:cs="Arial" w:eastAsia="Arial" w:hAnsi="Arial"/>
                <w:sz w:val="22"/>
                <w:szCs w:val="22"/>
                <w:color w:val="auto"/>
              </w:rPr>
              <w:t>10,171,496</w:t>
            </w:r>
          </w:p>
        </w:tc>
        <w:tc>
          <w:tcPr>
            <w:tcW w:w="840" w:type="dxa"/>
            <w:vAlign w:val="bottom"/>
          </w:tcPr>
          <w:p>
            <w:pPr>
              <w:spacing w:after="0"/>
              <w:rPr>
                <w:sz w:val="23"/>
                <w:szCs w:val="23"/>
                <w:color w:val="auto"/>
              </w:rPr>
            </w:pPr>
          </w:p>
        </w:tc>
      </w:tr>
      <w:tr>
        <w:trPr>
          <w:trHeight w:val="657"/>
        </w:trPr>
        <w:tc>
          <w:tcPr>
            <w:tcW w:w="8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8"/>
        </w:trPr>
        <w:tc>
          <w:tcPr>
            <w:tcW w:w="86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75"/>
        </w:trPr>
        <w:tc>
          <w:tcPr>
            <w:tcW w:w="86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HAWKINS,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INDEX TO FORM 10-Q</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10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78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2200" w:type="dxa"/>
            <w:vAlign w:val="bottom"/>
          </w:tcPr>
          <w:p>
            <w:pPr>
              <w:jc w:val="center"/>
              <w:ind w:left="1752"/>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1080" w:type="dxa"/>
            <w:vAlign w:val="bottom"/>
            <w:vMerge w:val="continue"/>
          </w:tcPr>
          <w:p>
            <w:pPr>
              <w:spacing w:after="0"/>
              <w:rPr>
                <w:sz w:val="18"/>
                <w:szCs w:val="18"/>
                <w:color w:val="auto"/>
              </w:rPr>
            </w:pPr>
          </w:p>
        </w:tc>
        <w:tc>
          <w:tcPr>
            <w:tcW w:w="7880" w:type="dxa"/>
            <w:vAlign w:val="bottom"/>
            <w:gridSpan w:val="6"/>
            <w:vMerge w:val="continue"/>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788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spacing w:after="0"/>
              <w:rPr>
                <w:sz w:val="24"/>
                <w:szCs w:val="24"/>
                <w:color w:val="auto"/>
              </w:rPr>
            </w:pPr>
          </w:p>
        </w:tc>
        <w:tc>
          <w:tcPr>
            <w:tcW w:w="434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2">
              <w:r>
                <w:rPr>
                  <w:rFonts w:ascii="Arial" w:cs="Arial" w:eastAsia="Arial" w:hAnsi="Arial"/>
                  <w:sz w:val="18"/>
                  <w:szCs w:val="18"/>
                  <w:color w:val="0000EE"/>
                  <w:w w:val="86"/>
                </w:rPr>
                <w:t>Condensed Balance Sheets – June 30, 2006 and April 2, 2006</w:t>
              </w:r>
            </w:hyperlink>
          </w:p>
        </w:tc>
        <w:tc>
          <w:tcPr>
            <w:tcW w:w="3540" w:type="dxa"/>
            <w:vAlign w:val="bottom"/>
            <w:gridSpan w:val="3"/>
          </w:tcPr>
          <w:p>
            <w:pPr>
              <w:spacing w:after="0"/>
              <w:rPr>
                <w:sz w:val="24"/>
                <w:szCs w:val="24"/>
                <w:color w:val="auto"/>
              </w:rPr>
            </w:pPr>
          </w:p>
        </w:tc>
        <w:tc>
          <w:tcPr>
            <w:tcW w:w="2200" w:type="dxa"/>
            <w:vAlign w:val="bottom"/>
          </w:tcPr>
          <w:p>
            <w:pPr>
              <w:jc w:val="center"/>
              <w:ind w:left="1752"/>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412"/>
        </w:trPr>
        <w:tc>
          <w:tcPr>
            <w:tcW w:w="1080" w:type="dxa"/>
            <w:vAlign w:val="bottom"/>
          </w:tcPr>
          <w:p>
            <w:pPr>
              <w:spacing w:after="0"/>
              <w:rPr>
                <w:sz w:val="24"/>
                <w:szCs w:val="24"/>
                <w:color w:val="auto"/>
              </w:rPr>
            </w:pPr>
          </w:p>
        </w:tc>
        <w:tc>
          <w:tcPr>
            <w:tcW w:w="788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Statements of Income - Three Months Ended June 30, 2006 and 2005</w:t>
              </w:r>
            </w:hyperlink>
          </w:p>
        </w:tc>
        <w:tc>
          <w:tcPr>
            <w:tcW w:w="2200" w:type="dxa"/>
            <w:vAlign w:val="bottom"/>
          </w:tcPr>
          <w:p>
            <w:pPr>
              <w:jc w:val="center"/>
              <w:ind w:left="175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spacing w:after="0"/>
              <w:rPr>
                <w:sz w:val="24"/>
                <w:szCs w:val="24"/>
                <w:color w:val="auto"/>
              </w:rPr>
            </w:pPr>
          </w:p>
        </w:tc>
        <w:tc>
          <w:tcPr>
            <w:tcW w:w="60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Statements of Cash Flows – Three Months Ended June 30, 2006 and 2005</w:t>
              </w:r>
            </w:hyperlink>
          </w:p>
        </w:tc>
        <w:tc>
          <w:tcPr>
            <w:tcW w:w="1840" w:type="dxa"/>
            <w:vAlign w:val="bottom"/>
          </w:tcPr>
          <w:p>
            <w:pPr>
              <w:spacing w:after="0"/>
              <w:rPr>
                <w:sz w:val="24"/>
                <w:szCs w:val="24"/>
                <w:color w:val="auto"/>
              </w:rPr>
            </w:pPr>
          </w:p>
        </w:tc>
        <w:tc>
          <w:tcPr>
            <w:tcW w:w="2200" w:type="dxa"/>
            <w:vAlign w:val="bottom"/>
          </w:tcPr>
          <w:p>
            <w:pPr>
              <w:jc w:val="center"/>
              <w:ind w:left="175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412"/>
        </w:trPr>
        <w:tc>
          <w:tcPr>
            <w:tcW w:w="1080" w:type="dxa"/>
            <w:vAlign w:val="bottom"/>
          </w:tcPr>
          <w:p>
            <w:pPr>
              <w:spacing w:after="0"/>
              <w:rPr>
                <w:sz w:val="24"/>
                <w:szCs w:val="24"/>
                <w:color w:val="auto"/>
              </w:rPr>
            </w:pPr>
          </w:p>
        </w:tc>
        <w:tc>
          <w:tcPr>
            <w:tcW w:w="294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Notes to Condensed Financial Statements</w:t>
              </w:r>
            </w:hyperlink>
          </w:p>
        </w:tc>
        <w:tc>
          <w:tcPr>
            <w:tcW w:w="4940" w:type="dxa"/>
            <w:vAlign w:val="bottom"/>
            <w:gridSpan w:val="4"/>
          </w:tcPr>
          <w:p>
            <w:pPr>
              <w:spacing w:after="0"/>
              <w:rPr>
                <w:sz w:val="24"/>
                <w:szCs w:val="24"/>
                <w:color w:val="auto"/>
              </w:rPr>
            </w:pPr>
          </w:p>
        </w:tc>
        <w:tc>
          <w:tcPr>
            <w:tcW w:w="2200" w:type="dxa"/>
            <w:vAlign w:val="bottom"/>
          </w:tcPr>
          <w:p>
            <w:pPr>
              <w:jc w:val="center"/>
              <w:ind w:left="1752"/>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bl>
    <w:p>
      <w:pPr>
        <w:sectPr>
          <w:pgSz w:w="11900" w:h="16838" w:orient="portrait"/>
          <w:cols w:equalWidth="0" w:num="1">
            <w:col w:w="11420"/>
          </w:cols>
          <w:pgMar w:left="240" w:top="239"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8060" w:type="dxa"/>
            <w:vAlign w:val="bottom"/>
            <w:gridSpan w:val="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Management’s Discussion and Analysis of Financial Condition and Results of Operations</w:t>
              </w:r>
            </w:hyperlink>
          </w:p>
        </w:tc>
        <w:tc>
          <w:tcPr>
            <w:tcW w:w="2280" w:type="dxa"/>
            <w:vAlign w:val="bottom"/>
          </w:tcPr>
          <w:p>
            <w:pPr>
              <w:jc w:val="center"/>
              <w:ind w:left="1312"/>
              <w:spacing w:after="0"/>
              <w:rPr>
                <w:sz w:val="20"/>
                <w:szCs w:val="20"/>
                <w:color w:val="auto"/>
              </w:rPr>
            </w:pPr>
            <w:r>
              <w:rPr>
                <w:rFonts w:ascii="Arial" w:cs="Arial" w:eastAsia="Arial" w:hAnsi="Arial"/>
                <w:sz w:val="18"/>
                <w:szCs w:val="18"/>
                <w:color w:val="auto"/>
                <w:w w:val="79"/>
              </w:rPr>
              <w:t>8</w:t>
            </w:r>
          </w:p>
        </w:tc>
      </w:tr>
      <w:tr>
        <w:trPr>
          <w:trHeight w:val="412"/>
        </w:trPr>
        <w:tc>
          <w:tcPr>
            <w:tcW w:w="108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2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2280" w:type="dxa"/>
            <w:vAlign w:val="bottom"/>
          </w:tcPr>
          <w:p>
            <w:pPr>
              <w:jc w:val="center"/>
              <w:ind w:left="1292"/>
              <w:spacing w:after="0"/>
              <w:rPr>
                <w:sz w:val="20"/>
                <w:szCs w:val="20"/>
                <w:color w:val="auto"/>
              </w:rPr>
            </w:pPr>
            <w:r>
              <w:rPr>
                <w:rFonts w:ascii="Arial" w:cs="Arial" w:eastAsia="Arial" w:hAnsi="Arial"/>
                <w:sz w:val="18"/>
                <w:szCs w:val="18"/>
                <w:color w:val="auto"/>
                <w:w w:val="89"/>
              </w:rPr>
              <w:t>11</w:t>
            </w:r>
          </w:p>
        </w:tc>
      </w:tr>
      <w:tr>
        <w:trPr>
          <w:trHeight w:val="412"/>
        </w:trPr>
        <w:tc>
          <w:tcPr>
            <w:tcW w:w="10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9">
              <w:r>
                <w:rPr>
                  <w:rFonts w:ascii="Arial" w:cs="Arial" w:eastAsia="Arial" w:hAnsi="Arial"/>
                  <w:sz w:val="18"/>
                  <w:szCs w:val="18"/>
                  <w:color w:val="0000EE"/>
                  <w:w w:val="86"/>
                </w:rPr>
                <w:t>Controls and Procedures</w:t>
              </w:r>
            </w:hyperlink>
          </w:p>
        </w:tc>
        <w:tc>
          <w:tcPr>
            <w:tcW w:w="6320" w:type="dxa"/>
            <w:vAlign w:val="bottom"/>
            <w:gridSpan w:val="3"/>
          </w:tcPr>
          <w:p>
            <w:pPr>
              <w:spacing w:after="0"/>
              <w:rPr>
                <w:sz w:val="24"/>
                <w:szCs w:val="24"/>
                <w:color w:val="auto"/>
              </w:rPr>
            </w:pPr>
          </w:p>
        </w:tc>
        <w:tc>
          <w:tcPr>
            <w:tcW w:w="2280" w:type="dxa"/>
            <w:vAlign w:val="bottom"/>
          </w:tcPr>
          <w:p>
            <w:pPr>
              <w:jc w:val="center"/>
              <w:ind w:left="1292"/>
              <w:spacing w:after="0"/>
              <w:rPr>
                <w:sz w:val="20"/>
                <w:szCs w:val="20"/>
                <w:color w:val="auto"/>
              </w:rPr>
            </w:pPr>
            <w:r>
              <w:rPr>
                <w:rFonts w:ascii="Arial" w:cs="Arial" w:eastAsia="Arial" w:hAnsi="Arial"/>
                <w:sz w:val="18"/>
                <w:szCs w:val="18"/>
                <w:color w:val="auto"/>
                <w:w w:val="89"/>
              </w:rPr>
              <w:t>12</w:t>
            </w:r>
          </w:p>
        </w:tc>
      </w:tr>
      <w:tr>
        <w:trPr>
          <w:trHeight w:val="667"/>
        </w:trPr>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8060" w:type="dxa"/>
            <w:vAlign w:val="bottom"/>
            <w:gridSpan w:val="6"/>
          </w:tcPr>
          <w:p>
            <w:pPr>
              <w:spacing w:after="0"/>
              <w:rPr>
                <w:sz w:val="20"/>
                <w:szCs w:val="20"/>
                <w:color w:val="auto"/>
              </w:rPr>
            </w:pPr>
            <w:r>
              <w:rPr>
                <w:rFonts w:ascii="Arial" w:cs="Arial" w:eastAsia="Arial" w:hAnsi="Arial"/>
                <w:sz w:val="18"/>
                <w:szCs w:val="18"/>
                <w:b w:val="1"/>
                <w:bCs w:val="1"/>
                <w:color w:val="auto"/>
              </w:rPr>
              <w:t>OTHER INFORMATION</w:t>
            </w:r>
          </w:p>
        </w:tc>
        <w:tc>
          <w:tcPr>
            <w:tcW w:w="2280" w:type="dxa"/>
            <w:vAlign w:val="bottom"/>
          </w:tcPr>
          <w:p>
            <w:pPr>
              <w:spacing w:after="0"/>
              <w:rPr>
                <w:sz w:val="24"/>
                <w:szCs w:val="24"/>
                <w:color w:val="auto"/>
              </w:rPr>
            </w:pPr>
          </w:p>
        </w:tc>
      </w:tr>
      <w:tr>
        <w:trPr>
          <w:trHeight w:val="394"/>
        </w:trPr>
        <w:tc>
          <w:tcPr>
            <w:tcW w:w="108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7160" w:type="dxa"/>
            <w:vAlign w:val="bottom"/>
            <w:gridSpan w:val="4"/>
          </w:tcPr>
          <w:p>
            <w:pPr>
              <w:spacing w:after="0"/>
              <w:rPr>
                <w:sz w:val="24"/>
                <w:szCs w:val="24"/>
                <w:color w:val="auto"/>
              </w:rPr>
            </w:pPr>
          </w:p>
        </w:tc>
        <w:tc>
          <w:tcPr>
            <w:tcW w:w="2280" w:type="dxa"/>
            <w:vAlign w:val="bottom"/>
          </w:tcPr>
          <w:p>
            <w:pPr>
              <w:jc w:val="center"/>
              <w:ind w:left="1292"/>
              <w:spacing w:after="0"/>
              <w:rPr>
                <w:sz w:val="20"/>
                <w:szCs w:val="20"/>
                <w:color w:val="auto"/>
              </w:rPr>
            </w:pPr>
            <w:r>
              <w:rPr>
                <w:rFonts w:ascii="Arial" w:cs="Arial" w:eastAsia="Arial" w:hAnsi="Arial"/>
                <w:sz w:val="18"/>
                <w:szCs w:val="18"/>
                <w:color w:val="auto"/>
                <w:w w:val="89"/>
              </w:rPr>
              <w:t>13</w:t>
            </w:r>
          </w:p>
        </w:tc>
      </w:tr>
      <w:tr>
        <w:trPr>
          <w:trHeight w:val="412"/>
        </w:trPr>
        <w:tc>
          <w:tcPr>
            <w:tcW w:w="108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Exhibits</w:t>
              </w:r>
            </w:hyperlink>
          </w:p>
        </w:tc>
        <w:tc>
          <w:tcPr>
            <w:tcW w:w="2280" w:type="dxa"/>
            <w:vAlign w:val="bottom"/>
          </w:tcPr>
          <w:p>
            <w:pPr>
              <w:jc w:val="center"/>
              <w:ind w:left="1292"/>
              <w:spacing w:after="0"/>
              <w:rPr>
                <w:sz w:val="20"/>
                <w:szCs w:val="20"/>
                <w:color w:val="auto"/>
              </w:rPr>
            </w:pPr>
            <w:r>
              <w:rPr>
                <w:rFonts w:ascii="Arial" w:cs="Arial" w:eastAsia="Arial" w:hAnsi="Arial"/>
                <w:sz w:val="18"/>
                <w:szCs w:val="18"/>
                <w:color w:val="auto"/>
                <w:w w:val="89"/>
              </w:rPr>
              <w:t>13</w:t>
            </w:r>
          </w:p>
        </w:tc>
      </w:tr>
      <w:tr>
        <w:trPr>
          <w:trHeight w:val="412"/>
        </w:trPr>
        <w:tc>
          <w:tcPr>
            <w:tcW w:w="1080" w:type="dxa"/>
            <w:vAlign w:val="bottom"/>
            <w:gridSpan w:val="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80" w:type="dxa"/>
            <w:vAlign w:val="bottom"/>
          </w:tcPr>
          <w:p>
            <w:pPr>
              <w:jc w:val="center"/>
              <w:ind w:left="1292"/>
              <w:spacing w:after="0"/>
              <w:rPr>
                <w:sz w:val="20"/>
                <w:szCs w:val="20"/>
                <w:color w:val="auto"/>
              </w:rPr>
            </w:pPr>
            <w:r>
              <w:rPr>
                <w:rFonts w:ascii="Arial" w:cs="Arial" w:eastAsia="Arial" w:hAnsi="Arial"/>
                <w:sz w:val="18"/>
                <w:szCs w:val="18"/>
                <w:color w:val="auto"/>
                <w:w w:val="89"/>
              </w:rPr>
              <w:t>14</w:t>
            </w:r>
          </w:p>
        </w:tc>
      </w:tr>
      <w:tr>
        <w:trPr>
          <w:trHeight w:val="20"/>
        </w:trPr>
        <w:tc>
          <w:tcPr>
            <w:tcW w:w="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2"/>
        </w:trPr>
        <w:tc>
          <w:tcPr>
            <w:tcW w:w="1080" w:type="dxa"/>
            <w:vAlign w:val="bottom"/>
            <w:gridSpan w:val="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Exhibit Index</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80" w:type="dxa"/>
            <w:vAlign w:val="bottom"/>
          </w:tcPr>
          <w:p>
            <w:pPr>
              <w:jc w:val="center"/>
              <w:ind w:left="1292"/>
              <w:spacing w:after="0"/>
              <w:rPr>
                <w:sz w:val="20"/>
                <w:szCs w:val="20"/>
                <w:color w:val="auto"/>
              </w:rPr>
            </w:pPr>
            <w:r>
              <w:rPr>
                <w:rFonts w:ascii="Arial" w:cs="Arial" w:eastAsia="Arial" w:hAnsi="Arial"/>
                <w:sz w:val="18"/>
                <w:szCs w:val="18"/>
                <w:color w:val="auto"/>
                <w:w w:val="89"/>
              </w:rPr>
              <w:t>15</w:t>
            </w:r>
          </w:p>
        </w:tc>
      </w:tr>
      <w:tr>
        <w:trPr>
          <w:trHeight w:val="694"/>
        </w:trPr>
        <w:tc>
          <w:tcPr>
            <w:tcW w:w="7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300" w:type="dxa"/>
            <w:vAlign w:val="bottom"/>
            <w:gridSpan w:val="5"/>
          </w:tcPr>
          <w:p>
            <w:pPr>
              <w:ind w:left="4600"/>
              <w:spacing w:after="0"/>
              <w:rPr>
                <w:sz w:val="20"/>
                <w:szCs w:val="20"/>
                <w:color w:val="auto"/>
              </w:rPr>
            </w:pPr>
            <w:r>
              <w:rPr>
                <w:rFonts w:ascii="Arial" w:cs="Arial" w:eastAsia="Arial" w:hAnsi="Arial"/>
                <w:sz w:val="18"/>
                <w:szCs w:val="18"/>
                <w:color w:val="auto"/>
              </w:rPr>
              <w:t>2</w:t>
            </w:r>
          </w:p>
        </w:tc>
        <w:tc>
          <w:tcPr>
            <w:tcW w:w="17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42"/>
        </w:trPr>
        <w:tc>
          <w:tcPr>
            <w:tcW w:w="74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840" w:type="dxa"/>
            <w:vAlign w:val="bottom"/>
            <w:tcBorders>
              <w:bottom w:val="single" w:sz="8" w:color="808080"/>
            </w:tcBorders>
          </w:tcPr>
          <w:p>
            <w:pPr>
              <w:spacing w:after="0"/>
              <w:rPr>
                <w:sz w:val="21"/>
                <w:szCs w:val="21"/>
                <w:color w:val="auto"/>
              </w:rPr>
            </w:pPr>
          </w:p>
        </w:tc>
        <w:tc>
          <w:tcPr>
            <w:tcW w:w="2480" w:type="dxa"/>
            <w:vAlign w:val="bottom"/>
            <w:tcBorders>
              <w:bottom w:val="single" w:sz="8" w:color="808080"/>
            </w:tcBorders>
          </w:tcPr>
          <w:p>
            <w:pPr>
              <w:spacing w:after="0"/>
              <w:rPr>
                <w:sz w:val="21"/>
                <w:szCs w:val="21"/>
                <w:color w:val="auto"/>
              </w:rPr>
            </w:pPr>
          </w:p>
        </w:tc>
        <w:tc>
          <w:tcPr>
            <w:tcW w:w="2080" w:type="dxa"/>
            <w:vAlign w:val="bottom"/>
            <w:tcBorders>
              <w:bottom w:val="single" w:sz="8" w:color="808080"/>
            </w:tcBorders>
          </w:tcPr>
          <w:p>
            <w:pPr>
              <w:spacing w:after="0"/>
              <w:rPr>
                <w:sz w:val="21"/>
                <w:szCs w:val="21"/>
                <w:color w:val="auto"/>
              </w:rPr>
            </w:pPr>
          </w:p>
        </w:tc>
        <w:tc>
          <w:tcPr>
            <w:tcW w:w="1760" w:type="dxa"/>
            <w:vAlign w:val="bottom"/>
            <w:tcBorders>
              <w:bottom w:val="single" w:sz="8" w:color="808080"/>
            </w:tcBorders>
          </w:tcPr>
          <w:p>
            <w:pPr>
              <w:spacing w:after="0"/>
              <w:rPr>
                <w:sz w:val="21"/>
                <w:szCs w:val="21"/>
                <w:color w:val="auto"/>
              </w:rPr>
            </w:pPr>
          </w:p>
        </w:tc>
        <w:tc>
          <w:tcPr>
            <w:tcW w:w="228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ITEM 1.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APRIL 2, 2006</w:t>
            </w:r>
          </w:p>
        </w:tc>
        <w:tc>
          <w:tcPr>
            <w:tcW w:w="0" w:type="dxa"/>
            <w:vAlign w:val="bottom"/>
          </w:tcPr>
          <w:p>
            <w:pPr>
              <w:spacing w:after="0"/>
              <w:rPr>
                <w:sz w:val="1"/>
                <w:szCs w:val="1"/>
                <w:color w:val="auto"/>
              </w:rPr>
            </w:pPr>
          </w:p>
        </w:tc>
      </w:tr>
      <w:tr>
        <w:trPr>
          <w:trHeight w:val="149"/>
        </w:trPr>
        <w:tc>
          <w:tcPr>
            <w:tcW w:w="8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(DERIVED FROM</w:t>
            </w:r>
          </w:p>
        </w:tc>
        <w:tc>
          <w:tcPr>
            <w:tcW w:w="0" w:type="dxa"/>
            <w:vAlign w:val="bottom"/>
          </w:tcPr>
          <w:p>
            <w:pPr>
              <w:spacing w:after="0"/>
              <w:rPr>
                <w:sz w:val="1"/>
                <w:szCs w:val="1"/>
                <w:color w:val="auto"/>
              </w:rPr>
            </w:pPr>
          </w:p>
        </w:tc>
      </w:tr>
      <w:tr>
        <w:trPr>
          <w:trHeight w:val="149"/>
        </w:trPr>
        <w:tc>
          <w:tcPr>
            <w:tcW w:w="8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AUDITED</w:t>
            </w:r>
          </w:p>
        </w:tc>
        <w:tc>
          <w:tcPr>
            <w:tcW w:w="0" w:type="dxa"/>
            <w:vAlign w:val="bottom"/>
          </w:tcPr>
          <w:p>
            <w:pPr>
              <w:spacing w:after="0"/>
              <w:rPr>
                <w:sz w:val="1"/>
                <w:szCs w:val="1"/>
                <w:color w:val="auto"/>
              </w:rPr>
            </w:pPr>
          </w:p>
        </w:tc>
      </w:tr>
      <w:tr>
        <w:trPr>
          <w:trHeight w:val="149"/>
        </w:trPr>
        <w:tc>
          <w:tcPr>
            <w:tcW w:w="8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8"/>
              </w:rPr>
              <w:t>JUNE 30, 2006</w:t>
            </w:r>
          </w:p>
        </w:tc>
        <w:tc>
          <w:tcPr>
            <w:tcW w:w="12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61"/>
        </w:trPr>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STATEMENTS)</w:t>
            </w:r>
          </w:p>
        </w:tc>
        <w:tc>
          <w:tcPr>
            <w:tcW w:w="0" w:type="dxa"/>
            <w:vAlign w:val="bottom"/>
          </w:tcPr>
          <w:p>
            <w:pPr>
              <w:spacing w:after="0"/>
              <w:rPr>
                <w:sz w:val="1"/>
                <w:szCs w:val="1"/>
                <w:color w:val="auto"/>
              </w:rPr>
            </w:pPr>
          </w:p>
        </w:tc>
      </w:tr>
      <w:tr>
        <w:trPr>
          <w:trHeight w:val="235"/>
        </w:trPr>
        <w:tc>
          <w:tcPr>
            <w:tcW w:w="840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7"/>
        </w:trPr>
        <w:tc>
          <w:tcPr>
            <w:tcW w:w="84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400" w:type="dxa"/>
            <w:vAlign w:val="bottom"/>
            <w:shd w:val="clear" w:color="auto" w:fill="D6F3E8"/>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4,539,069</w:t>
            </w:r>
          </w:p>
        </w:tc>
        <w:tc>
          <w:tcPr>
            <w:tcW w:w="12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6,330,004</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00" w:type="dxa"/>
            <w:vAlign w:val="bottom"/>
          </w:tcPr>
          <w:p>
            <w:pPr>
              <w:ind w:left="180"/>
              <w:spacing w:after="0"/>
              <w:rPr>
                <w:sz w:val="20"/>
                <w:szCs w:val="20"/>
                <w:color w:val="auto"/>
              </w:rPr>
            </w:pPr>
            <w:r>
              <w:rPr>
                <w:rFonts w:ascii="Arial" w:cs="Arial" w:eastAsia="Arial" w:hAnsi="Arial"/>
                <w:sz w:val="18"/>
                <w:szCs w:val="18"/>
                <w:color w:val="auto"/>
              </w:rPr>
              <w:t>Investments available-for-sale</w:t>
            </w:r>
          </w:p>
        </w:tc>
        <w:tc>
          <w:tcPr>
            <w:tcW w:w="14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13,977,433</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14,167,047</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400" w:type="dxa"/>
            <w:vAlign w:val="bottom"/>
            <w:shd w:val="clear" w:color="auto" w:fill="D6F3E8"/>
          </w:tcPr>
          <w:p>
            <w:pPr>
              <w:ind w:left="180"/>
              <w:spacing w:after="0"/>
              <w:rPr>
                <w:sz w:val="20"/>
                <w:szCs w:val="20"/>
                <w:color w:val="auto"/>
              </w:rPr>
            </w:pPr>
            <w:r>
              <w:rPr>
                <w:rFonts w:ascii="Arial" w:cs="Arial" w:eastAsia="Arial" w:hAnsi="Arial"/>
                <w:sz w:val="18"/>
                <w:szCs w:val="18"/>
                <w:color w:val="auto"/>
              </w:rPr>
              <w:t>Trade receivables – net</w:t>
            </w:r>
          </w:p>
        </w:tc>
        <w:tc>
          <w:tcPr>
            <w:tcW w:w="140" w:type="dxa"/>
            <w:vAlign w:val="bottom"/>
            <w:shd w:val="clear" w:color="auto" w:fill="D6F3E8"/>
          </w:tcPr>
          <w:p>
            <w:pPr>
              <w:spacing w:after="0"/>
              <w:rPr>
                <w:sz w:val="22"/>
                <w:szCs w:val="22"/>
                <w:color w:val="auto"/>
              </w:rPr>
            </w:pPr>
          </w:p>
        </w:tc>
        <w:tc>
          <w:tcPr>
            <w:tcW w:w="14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19,082,379</w:t>
            </w:r>
          </w:p>
        </w:tc>
        <w:tc>
          <w:tcPr>
            <w:tcW w:w="120" w:type="dxa"/>
            <w:vAlign w:val="bottom"/>
            <w:shd w:val="clear" w:color="auto" w:fill="D6F3E8"/>
          </w:tcPr>
          <w:p>
            <w:pPr>
              <w:spacing w:after="0"/>
              <w:rPr>
                <w:sz w:val="22"/>
                <w:szCs w:val="22"/>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16,185,560</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14,690,132</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10,449,671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400" w:type="dxa"/>
            <w:vAlign w:val="bottom"/>
            <w:shd w:val="clear" w:color="auto" w:fill="D6F3E8"/>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D6F3E8"/>
          </w:tcPr>
          <w:p>
            <w:pPr>
              <w:spacing w:after="0"/>
              <w:rPr>
                <w:sz w:val="22"/>
                <w:szCs w:val="22"/>
                <w:color w:val="auto"/>
              </w:rPr>
            </w:pPr>
          </w:p>
        </w:tc>
        <w:tc>
          <w:tcPr>
            <w:tcW w:w="14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1,907,314</w:t>
            </w:r>
          </w:p>
        </w:tc>
        <w:tc>
          <w:tcPr>
            <w:tcW w:w="120" w:type="dxa"/>
            <w:vAlign w:val="bottom"/>
            <w:shd w:val="clear" w:color="auto" w:fill="D6F3E8"/>
          </w:tcPr>
          <w:p>
            <w:pPr>
              <w:spacing w:after="0"/>
              <w:rPr>
                <w:sz w:val="22"/>
                <w:szCs w:val="22"/>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2,314,458</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ind w:left="28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54,196,327</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49,446,740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8400" w:type="dxa"/>
            <w:vAlign w:val="bottom"/>
            <w:shd w:val="clear" w:color="auto" w:fill="D6F3E8"/>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D6F3E8"/>
          </w:tcPr>
          <w:p>
            <w:pPr>
              <w:spacing w:after="0"/>
              <w:rPr>
                <w:sz w:val="22"/>
                <w:szCs w:val="22"/>
                <w:color w:val="auto"/>
              </w:rPr>
            </w:pPr>
          </w:p>
        </w:tc>
        <w:tc>
          <w:tcPr>
            <w:tcW w:w="14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34,984,473</w:t>
            </w:r>
          </w:p>
        </w:tc>
        <w:tc>
          <w:tcPr>
            <w:tcW w:w="120" w:type="dxa"/>
            <w:vAlign w:val="bottom"/>
            <w:shd w:val="clear" w:color="auto" w:fill="D6F3E8"/>
          </w:tcPr>
          <w:p>
            <w:pPr>
              <w:spacing w:after="0"/>
              <w:rPr>
                <w:sz w:val="22"/>
                <w:szCs w:val="22"/>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34,721,739</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44"/>
        </w:trPr>
        <w:tc>
          <w:tcPr>
            <w:tcW w:w="8400" w:type="dxa"/>
            <w:vAlign w:val="bottom"/>
          </w:tcPr>
          <w:p>
            <w:pPr>
              <w:spacing w:after="0"/>
              <w:rPr>
                <w:sz w:val="20"/>
                <w:szCs w:val="20"/>
                <w:color w:val="auto"/>
              </w:rPr>
            </w:pPr>
            <w:r>
              <w:rPr>
                <w:rFonts w:ascii="Arial" w:cs="Arial" w:eastAsia="Arial" w:hAnsi="Arial"/>
                <w:sz w:val="18"/>
                <w:szCs w:val="18"/>
                <w:color w:val="auto"/>
              </w:rPr>
              <w:t>INTANGIBLE ASSETS - less accumulated amortization of $1,474,696 and $1,418,491, respectively</w:t>
            </w:r>
          </w:p>
        </w:tc>
        <w:tc>
          <w:tcPr>
            <w:tcW w:w="14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2,008,337</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2,064,542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8400" w:type="dxa"/>
            <w:vAlign w:val="bottom"/>
            <w:shd w:val="clear" w:color="auto" w:fill="D6F3E8"/>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shd w:val="clear" w:color="auto" w:fill="D6F3E8"/>
          </w:tcPr>
          <w:p>
            <w:pPr>
              <w:spacing w:after="0"/>
              <w:rPr>
                <w:sz w:val="22"/>
                <w:szCs w:val="22"/>
                <w:color w:val="auto"/>
              </w:rPr>
            </w:pPr>
          </w:p>
        </w:tc>
        <w:tc>
          <w:tcPr>
            <w:tcW w:w="14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4,869,591</w:t>
            </w:r>
          </w:p>
        </w:tc>
        <w:tc>
          <w:tcPr>
            <w:tcW w:w="120" w:type="dxa"/>
            <w:vAlign w:val="bottom"/>
            <w:shd w:val="clear" w:color="auto" w:fill="D6F3E8"/>
          </w:tcPr>
          <w:p>
            <w:pPr>
              <w:spacing w:after="0"/>
              <w:rPr>
                <w:sz w:val="22"/>
                <w:szCs w:val="22"/>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5,658,341</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840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2,221,132</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2,165,372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shd w:val="clear" w:color="auto" w:fill="D6F3E8"/>
          </w:tcPr>
          <w:p>
            <w:pPr>
              <w:spacing w:after="0"/>
              <w:rPr>
                <w:sz w:val="21"/>
                <w:szCs w:val="21"/>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98,279,860</w:t>
            </w:r>
          </w:p>
        </w:tc>
        <w:tc>
          <w:tcPr>
            <w:tcW w:w="12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94,056,734</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84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40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12,567,440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8,695,396</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400" w:type="dxa"/>
            <w:vAlign w:val="bottom"/>
            <w:shd w:val="clear" w:color="auto" w:fill="D6F3E8"/>
          </w:tcPr>
          <w:p>
            <w:pPr>
              <w:ind w:left="180"/>
              <w:spacing w:after="0"/>
              <w:rPr>
                <w:sz w:val="20"/>
                <w:szCs w:val="20"/>
                <w:color w:val="auto"/>
              </w:rPr>
            </w:pPr>
            <w:r>
              <w:rPr>
                <w:rFonts w:ascii="Arial" w:cs="Arial" w:eastAsia="Arial" w:hAnsi="Arial"/>
                <w:sz w:val="18"/>
                <w:szCs w:val="18"/>
                <w:color w:val="auto"/>
              </w:rPr>
              <w:t>Dividends payable</w:t>
            </w:r>
          </w:p>
        </w:tc>
        <w:tc>
          <w:tcPr>
            <w:tcW w:w="140" w:type="dxa"/>
            <w:vAlign w:val="bottom"/>
            <w:shd w:val="clear" w:color="auto" w:fill="D6F3E8"/>
          </w:tcPr>
          <w:p>
            <w:pPr>
              <w:spacing w:after="0"/>
              <w:rPr>
                <w:sz w:val="22"/>
                <w:szCs w:val="22"/>
                <w:color w:val="auto"/>
              </w:rPr>
            </w:pPr>
          </w:p>
        </w:tc>
        <w:tc>
          <w:tcPr>
            <w:tcW w:w="14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6F3E8"/>
          </w:tcPr>
          <w:p>
            <w:pPr>
              <w:spacing w:after="0"/>
              <w:rPr>
                <w:sz w:val="22"/>
                <w:szCs w:val="22"/>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2,034,299</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00" w:type="dxa"/>
            <w:vAlign w:val="bottom"/>
          </w:tcPr>
          <w:p>
            <w:pPr>
              <w:ind w:left="180"/>
              <w:spacing w:after="0"/>
              <w:rPr>
                <w:sz w:val="20"/>
                <w:szCs w:val="20"/>
                <w:color w:val="auto"/>
              </w:rPr>
            </w:pPr>
            <w:r>
              <w:rPr>
                <w:rFonts w:ascii="Arial" w:cs="Arial" w:eastAsia="Arial" w:hAnsi="Arial"/>
                <w:sz w:val="18"/>
                <w:szCs w:val="18"/>
                <w:color w:val="auto"/>
              </w:rPr>
              <w:t>Accrued payroll and employee benefits</w:t>
            </w:r>
          </w:p>
        </w:tc>
        <w:tc>
          <w:tcPr>
            <w:tcW w:w="14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2,859,880</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4,426,356</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400" w:type="dxa"/>
            <w:vAlign w:val="bottom"/>
            <w:shd w:val="clear" w:color="auto" w:fill="D6F3E8"/>
          </w:tcPr>
          <w:p>
            <w:pPr>
              <w:ind w:left="18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D6F3E8"/>
          </w:tcPr>
          <w:p>
            <w:pPr>
              <w:spacing w:after="0"/>
              <w:rPr>
                <w:sz w:val="22"/>
                <w:szCs w:val="22"/>
                <w:color w:val="auto"/>
              </w:rPr>
            </w:pPr>
          </w:p>
        </w:tc>
        <w:tc>
          <w:tcPr>
            <w:tcW w:w="14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3,567,871</w:t>
            </w:r>
          </w:p>
        </w:tc>
        <w:tc>
          <w:tcPr>
            <w:tcW w:w="120" w:type="dxa"/>
            <w:vAlign w:val="bottom"/>
            <w:shd w:val="clear" w:color="auto" w:fill="D6F3E8"/>
          </w:tcPr>
          <w:p>
            <w:pPr>
              <w:spacing w:after="0"/>
              <w:rPr>
                <w:sz w:val="22"/>
                <w:szCs w:val="22"/>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2,411,676</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ind w:left="6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18,995,191</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17,567,727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8400" w:type="dxa"/>
            <w:vAlign w:val="bottom"/>
            <w:shd w:val="clear" w:color="auto" w:fill="D6F3E8"/>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D6F3E8"/>
          </w:tcPr>
          <w:p>
            <w:pPr>
              <w:spacing w:after="0"/>
              <w:rPr>
                <w:sz w:val="22"/>
                <w:szCs w:val="22"/>
                <w:color w:val="auto"/>
              </w:rPr>
            </w:pPr>
          </w:p>
        </w:tc>
        <w:tc>
          <w:tcPr>
            <w:tcW w:w="14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124,551</w:t>
            </w:r>
          </w:p>
        </w:tc>
        <w:tc>
          <w:tcPr>
            <w:tcW w:w="120" w:type="dxa"/>
            <w:vAlign w:val="bottom"/>
            <w:shd w:val="clear" w:color="auto" w:fill="D6F3E8"/>
          </w:tcPr>
          <w:p>
            <w:pPr>
              <w:spacing w:after="0"/>
              <w:rPr>
                <w:sz w:val="22"/>
                <w:szCs w:val="22"/>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127,644</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44"/>
        </w:trPr>
        <w:tc>
          <w:tcPr>
            <w:tcW w:w="84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264,924</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265,324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4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840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400" w:type="dxa"/>
            <w:vAlign w:val="bottom"/>
            <w:shd w:val="clear" w:color="auto" w:fill="D6F3E8"/>
          </w:tcPr>
          <w:p>
            <w:pPr>
              <w:ind w:left="180"/>
              <w:spacing w:after="0"/>
              <w:rPr>
                <w:sz w:val="20"/>
                <w:szCs w:val="20"/>
                <w:color w:val="auto"/>
              </w:rPr>
            </w:pPr>
            <w:r>
              <w:rPr>
                <w:rFonts w:ascii="Arial" w:cs="Arial" w:eastAsia="Arial" w:hAnsi="Arial"/>
                <w:sz w:val="18"/>
                <w:szCs w:val="18"/>
                <w:color w:val="auto"/>
              </w:rPr>
              <w:t>Common stock, par value $.05 per share; 10,171,496 shares issued and outstanding</w:t>
            </w:r>
          </w:p>
        </w:tc>
        <w:tc>
          <w:tcPr>
            <w:tcW w:w="140" w:type="dxa"/>
            <w:vAlign w:val="bottom"/>
            <w:shd w:val="clear" w:color="auto" w:fill="D6F3E8"/>
          </w:tcPr>
          <w:p>
            <w:pPr>
              <w:spacing w:after="0"/>
              <w:rPr>
                <w:sz w:val="22"/>
                <w:szCs w:val="22"/>
                <w:color w:val="auto"/>
              </w:rPr>
            </w:pPr>
          </w:p>
        </w:tc>
        <w:tc>
          <w:tcPr>
            <w:tcW w:w="14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508,575</w:t>
            </w:r>
          </w:p>
        </w:tc>
        <w:tc>
          <w:tcPr>
            <w:tcW w:w="120" w:type="dxa"/>
            <w:vAlign w:val="bottom"/>
            <w:shd w:val="clear" w:color="auto" w:fill="D6F3E8"/>
          </w:tcPr>
          <w:p>
            <w:pPr>
              <w:spacing w:after="0"/>
              <w:rPr>
                <w:sz w:val="22"/>
                <w:szCs w:val="22"/>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508,575</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4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37,056,103</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37,056,103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4" w:right="239" w:bottom="0" w:gutter="0" w:footer="0" w:header="0"/>
        </w:sectPr>
      </w:pPr>
    </w:p>
    <w:bookmarkStart w:id="2" w:name="page3"/>
    <w:bookmarkEnd w:id="2"/>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720" w:type="dxa"/>
            <w:vAlign w:val="bottom"/>
            <w:gridSpan w:val="2"/>
            <w:shd w:val="clear" w:color="auto" w:fill="D6F3E8"/>
          </w:tcPr>
          <w:p>
            <w:pPr>
              <w:ind w:left="180"/>
              <w:spacing w:after="0"/>
              <w:rPr>
                <w:sz w:val="20"/>
                <w:szCs w:val="20"/>
                <w:color w:val="auto"/>
              </w:rPr>
            </w:pPr>
            <w:r>
              <w:rPr>
                <w:rFonts w:ascii="Arial" w:cs="Arial" w:eastAsia="Arial" w:hAnsi="Arial"/>
                <w:sz w:val="18"/>
                <w:szCs w:val="18"/>
                <w:color w:val="auto"/>
              </w:rPr>
              <w:t>Accumulated other comprehensive loss</w:t>
            </w:r>
          </w:p>
        </w:tc>
        <w:tc>
          <w:tcPr>
            <w:tcW w:w="12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(126,566)</w:t>
            </w:r>
          </w:p>
        </w:tc>
        <w:tc>
          <w:tcPr>
            <w:tcW w:w="280" w:type="dxa"/>
            <w:vAlign w:val="bottom"/>
            <w:shd w:val="clear" w:color="auto" w:fill="D6F3E8"/>
          </w:tcPr>
          <w:p>
            <w:pPr>
              <w:spacing w:after="0"/>
              <w:rPr>
                <w:sz w:val="22"/>
                <w:szCs w:val="22"/>
                <w:color w:val="auto"/>
              </w:rPr>
            </w:pPr>
          </w:p>
        </w:tc>
        <w:tc>
          <w:tcPr>
            <w:tcW w:w="11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(125,754)</w:t>
            </w:r>
          </w:p>
        </w:tc>
        <w:tc>
          <w:tcPr>
            <w:tcW w:w="0" w:type="dxa"/>
            <w:vAlign w:val="bottom"/>
          </w:tcPr>
          <w:p>
            <w:pPr>
              <w:spacing w:after="0"/>
              <w:rPr>
                <w:sz w:val="1"/>
                <w:szCs w:val="1"/>
                <w:color w:val="auto"/>
              </w:rPr>
            </w:pPr>
          </w:p>
        </w:tc>
      </w:tr>
      <w:tr>
        <w:trPr>
          <w:trHeight w:val="256"/>
        </w:trPr>
        <w:tc>
          <w:tcPr>
            <w:tcW w:w="84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41,457,082</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38,657,115</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shd w:val="clear" w:color="auto" w:fill="D6F3E8"/>
          </w:tcPr>
          <w:p>
            <w:pPr>
              <w:ind w:left="620"/>
              <w:spacing w:after="0"/>
              <w:rPr>
                <w:sz w:val="20"/>
                <w:szCs w:val="20"/>
                <w:color w:val="auto"/>
              </w:rPr>
            </w:pPr>
            <w:r>
              <w:rPr>
                <w:rFonts w:ascii="Arial" w:cs="Arial" w:eastAsia="Arial" w:hAnsi="Arial"/>
                <w:sz w:val="18"/>
                <w:szCs w:val="18"/>
                <w:color w:val="auto"/>
              </w:rPr>
              <w:t>Total shareholders’ equity</w:t>
            </w: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vMerge w:val="continue"/>
            <w:shd w:val="clear" w:color="auto" w:fill="D6F3E8"/>
          </w:tcPr>
          <w:p>
            <w:pPr>
              <w:spacing w:after="0"/>
              <w:rPr>
                <w:sz w:val="21"/>
                <w:szCs w:val="21"/>
                <w:color w:val="auto"/>
              </w:rPr>
            </w:pPr>
          </w:p>
        </w:tc>
        <w:tc>
          <w:tcPr>
            <w:tcW w:w="32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78,895,194</w:t>
            </w:r>
          </w:p>
        </w:tc>
        <w:tc>
          <w:tcPr>
            <w:tcW w:w="280" w:type="dxa"/>
            <w:vAlign w:val="bottom"/>
            <w:shd w:val="clear" w:color="auto" w:fill="D6F3E8"/>
          </w:tcPr>
          <w:p>
            <w:pPr>
              <w:spacing w:after="0"/>
              <w:rPr>
                <w:sz w:val="21"/>
                <w:szCs w:val="21"/>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76,096,039</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98,279,860</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94,056,734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6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5"/>
              </w:rPr>
              <w:t>THREE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2006</w:t>
            </w: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center"/>
              <w:ind w:left="622"/>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4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4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38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41,460,663</w:t>
            </w:r>
          </w:p>
        </w:tc>
        <w:tc>
          <w:tcPr>
            <w:tcW w:w="72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35,854,527</w:t>
            </w:r>
          </w:p>
        </w:tc>
        <w:tc>
          <w:tcPr>
            <w:tcW w:w="0" w:type="dxa"/>
            <w:vAlign w:val="bottom"/>
          </w:tcPr>
          <w:p>
            <w:pPr>
              <w:spacing w:after="0"/>
              <w:rPr>
                <w:sz w:val="1"/>
                <w:szCs w:val="1"/>
                <w:color w:val="auto"/>
              </w:rPr>
            </w:pPr>
          </w:p>
        </w:tc>
      </w:tr>
      <w:tr>
        <w:trPr>
          <w:trHeight w:val="499"/>
        </w:trPr>
        <w:tc>
          <w:tcPr>
            <w:tcW w:w="44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30,637,578</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25,968,869</w:t>
            </w:r>
          </w:p>
        </w:tc>
        <w:tc>
          <w:tcPr>
            <w:tcW w:w="0" w:type="dxa"/>
            <w:vAlign w:val="bottom"/>
          </w:tcPr>
          <w:p>
            <w:pPr>
              <w:spacing w:after="0"/>
              <w:rPr>
                <w:sz w:val="1"/>
                <w:szCs w:val="1"/>
                <w:color w:val="auto"/>
              </w:rPr>
            </w:pPr>
          </w:p>
        </w:tc>
      </w:tr>
      <w:tr>
        <w:trPr>
          <w:trHeight w:val="238"/>
        </w:trPr>
        <w:tc>
          <w:tcPr>
            <w:tcW w:w="20" w:type="dxa"/>
            <w:vAlign w:val="bottom"/>
            <w:vMerge w:val="restart"/>
          </w:tcPr>
          <w:p>
            <w:pPr>
              <w:spacing w:after="0"/>
              <w:rPr>
                <w:sz w:val="20"/>
                <w:szCs w:val="20"/>
                <w:color w:val="auto"/>
              </w:rPr>
            </w:pPr>
          </w:p>
        </w:tc>
        <w:tc>
          <w:tcPr>
            <w:tcW w:w="44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4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3500" w:type="dxa"/>
            <w:vAlign w:val="bottom"/>
            <w:shd w:val="clear" w:color="auto" w:fill="D6F3E8"/>
          </w:tcPr>
          <w:p>
            <w:pPr>
              <w:spacing w:after="0"/>
              <w:rPr>
                <w:sz w:val="22"/>
                <w:szCs w:val="22"/>
                <w:color w:val="auto"/>
              </w:rPr>
            </w:pPr>
          </w:p>
        </w:tc>
        <w:tc>
          <w:tcPr>
            <w:tcW w:w="300" w:type="dxa"/>
            <w:vAlign w:val="bottom"/>
            <w:shd w:val="clear" w:color="auto" w:fill="D6F3E8"/>
          </w:tcPr>
          <w:p>
            <w:pPr>
              <w:spacing w:after="0"/>
              <w:rPr>
                <w:sz w:val="22"/>
                <w:szCs w:val="22"/>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10,823,085</w:t>
            </w:r>
          </w:p>
        </w:tc>
        <w:tc>
          <w:tcPr>
            <w:tcW w:w="260" w:type="dxa"/>
            <w:vAlign w:val="bottom"/>
            <w:shd w:val="clear" w:color="auto" w:fill="D6F3E8"/>
          </w:tcPr>
          <w:p>
            <w:pPr>
              <w:spacing w:after="0"/>
              <w:rPr>
                <w:sz w:val="22"/>
                <w:szCs w:val="22"/>
                <w:color w:val="auto"/>
              </w:rPr>
            </w:pPr>
          </w:p>
        </w:tc>
        <w:tc>
          <w:tcPr>
            <w:tcW w:w="460" w:type="dxa"/>
            <w:vAlign w:val="bottom"/>
            <w:shd w:val="clear" w:color="auto" w:fill="D6F3E8"/>
          </w:tcPr>
          <w:p>
            <w:pPr>
              <w:spacing w:after="0"/>
              <w:rPr>
                <w:sz w:val="22"/>
                <w:szCs w:val="22"/>
                <w:color w:val="auto"/>
              </w:rPr>
            </w:pPr>
          </w:p>
        </w:tc>
        <w:tc>
          <w:tcPr>
            <w:tcW w:w="126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9,885,658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66" w:orient="portrait"/>
          <w:cols w:equalWidth="0" w:num="1">
            <w:col w:w="11420"/>
          </w:cols>
          <w:pgMar w:left="240" w:top="153" w:right="239" w:bottom="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Selling, general and administrative expenses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6,636,865</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5,898,396</w:t>
            </w:r>
          </w:p>
        </w:tc>
      </w:tr>
      <w:tr>
        <w:trPr>
          <w:trHeight w:val="492"/>
        </w:trPr>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4,186,220</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3,987,262</w:t>
            </w:r>
          </w:p>
        </w:tc>
      </w:tr>
      <w:tr>
        <w:trPr>
          <w:trHeight w:val="501"/>
        </w:trPr>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301,247</w:t>
            </w: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308,224</w:t>
            </w:r>
          </w:p>
        </w:tc>
      </w:tr>
      <w:tr>
        <w:trPr>
          <w:trHeight w:val="492"/>
        </w:trPr>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4,487,467</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4,295,486</w:t>
            </w:r>
          </w:p>
        </w:tc>
      </w:tr>
      <w:tr>
        <w:trPr>
          <w:trHeight w:val="501"/>
        </w:trPr>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1,687,500</w:t>
            </w: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1,546,000</w:t>
            </w:r>
          </w:p>
        </w:tc>
      </w:tr>
      <w:tr>
        <w:trPr>
          <w:trHeight w:val="480"/>
        </w:trPr>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2,799,967</w:t>
            </w:r>
          </w:p>
        </w:tc>
        <w:tc>
          <w:tcPr>
            <w:tcW w:w="260" w:type="dxa"/>
            <w:vAlign w:val="bottom"/>
          </w:tcPr>
          <w:p>
            <w:pPr>
              <w:spacing w:after="0"/>
              <w:rPr>
                <w:sz w:val="24"/>
                <w:szCs w:val="24"/>
                <w:color w:val="auto"/>
              </w:rPr>
            </w:pPr>
          </w:p>
        </w:tc>
        <w:tc>
          <w:tcPr>
            <w:tcW w:w="4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2,749,486</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-5048885</wp:posOffset>
            </wp:positionH>
            <wp:positionV relativeFrom="paragraph">
              <wp:posOffset>-1465580</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-822960</wp:posOffset>
            </wp:positionV>
            <wp:extent cx="72466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-179705</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66" w:orient="portrait"/>
          <w:cols w:equalWidth="0" w:num="2">
            <w:col w:w="7240" w:space="720"/>
            <w:col w:w="3460"/>
          </w:cols>
          <w:pgMar w:left="240" w:top="153" w:right="239" w:bottom="0" w:gutter="0" w:footer="0" w:header="0"/>
          <w:type w:val="continuous"/>
        </w:sect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3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10,171,496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10,216,688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94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3020" w:type="dxa"/>
            <w:vAlign w:val="bottom"/>
            <w:shd w:val="clear" w:color="auto" w:fill="D6F3E8"/>
          </w:tcPr>
          <w:p>
            <w:pPr>
              <w:spacing w:after="0"/>
              <w:rPr>
                <w:sz w:val="21"/>
                <w:szCs w:val="21"/>
                <w:color w:val="auto"/>
              </w:rPr>
            </w:pPr>
          </w:p>
        </w:tc>
        <w:tc>
          <w:tcPr>
            <w:tcW w:w="380" w:type="dxa"/>
            <w:vAlign w:val="bottom"/>
            <w:shd w:val="clear" w:color="auto" w:fill="D6F3E8"/>
          </w:tcPr>
          <w:p>
            <w:pPr>
              <w:spacing w:after="0"/>
              <w:rPr>
                <w:sz w:val="21"/>
                <w:szCs w:val="21"/>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10,171,496</w:t>
            </w:r>
          </w:p>
        </w:tc>
        <w:tc>
          <w:tcPr>
            <w:tcW w:w="260" w:type="dxa"/>
            <w:vAlign w:val="bottom"/>
            <w:shd w:val="clear" w:color="auto" w:fill="D6F3E8"/>
          </w:tcPr>
          <w:p>
            <w:pPr>
              <w:spacing w:after="0"/>
              <w:rPr>
                <w:sz w:val="21"/>
                <w:szCs w:val="21"/>
                <w:color w:val="auto"/>
              </w:rPr>
            </w:pPr>
          </w:p>
        </w:tc>
        <w:tc>
          <w:tcPr>
            <w:tcW w:w="380" w:type="dxa"/>
            <w:vAlign w:val="bottom"/>
            <w:shd w:val="clear" w:color="auto" w:fill="D6F3E8"/>
          </w:tcPr>
          <w:p>
            <w:pPr>
              <w:spacing w:after="0"/>
              <w:rPr>
                <w:sz w:val="21"/>
                <w:szCs w:val="21"/>
                <w:color w:val="auto"/>
              </w:rPr>
            </w:pPr>
          </w:p>
        </w:tc>
        <w:tc>
          <w:tcPr>
            <w:tcW w:w="134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10,243,905</w:t>
            </w:r>
          </w:p>
        </w:tc>
        <w:tc>
          <w:tcPr>
            <w:tcW w:w="0" w:type="dxa"/>
            <w:vAlign w:val="bottom"/>
          </w:tcPr>
          <w:p>
            <w:pPr>
              <w:spacing w:after="0"/>
              <w:rPr>
                <w:sz w:val="1"/>
                <w:szCs w:val="1"/>
                <w:color w:val="auto"/>
              </w:rPr>
            </w:pPr>
          </w:p>
        </w:tc>
      </w:tr>
      <w:tr>
        <w:trPr>
          <w:trHeight w:val="20"/>
        </w:trPr>
        <w:tc>
          <w:tcPr>
            <w:tcW w:w="4940" w:type="dxa"/>
            <w:vAlign w:val="bottom"/>
            <w:tcBorders>
              <w:top w:val="single" w:sz="8" w:color="D6F3E8"/>
            </w:tcBorders>
          </w:tcPr>
          <w:p>
            <w:pPr>
              <w:spacing w:after="0" w:line="20" w:lineRule="exact"/>
              <w:rPr>
                <w:sz w:val="1"/>
                <w:szCs w:val="1"/>
                <w:color w:val="auto"/>
              </w:rPr>
            </w:pPr>
          </w:p>
        </w:tc>
        <w:tc>
          <w:tcPr>
            <w:tcW w:w="3020" w:type="dxa"/>
            <w:vAlign w:val="bottom"/>
            <w:tcBorders>
              <w:top w:val="single" w:sz="8" w:color="D6F3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6F3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940" w:type="dxa"/>
            <w:vAlign w:val="bottom"/>
          </w:tcPr>
          <w:p>
            <w:pPr>
              <w:spacing w:after="0"/>
              <w:rPr>
                <w:sz w:val="20"/>
                <w:szCs w:val="20"/>
                <w:color w:val="auto"/>
              </w:rPr>
            </w:pPr>
            <w:r>
              <w:rPr>
                <w:rFonts w:ascii="Arial" w:cs="Arial" w:eastAsia="Arial" w:hAnsi="Arial"/>
                <w:sz w:val="18"/>
                <w:szCs w:val="18"/>
                <w:color w:val="auto"/>
              </w:rPr>
              <w:t>Earnings per share - basic and diluted</w:t>
            </w:r>
          </w:p>
        </w:tc>
        <w:tc>
          <w:tcPr>
            <w:tcW w:w="3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940" w:type="dxa"/>
            <w:vAlign w:val="bottom"/>
            <w:shd w:val="clear" w:color="auto" w:fill="D6F3E8"/>
          </w:tcPr>
          <w:p>
            <w:pPr>
              <w:spacing w:after="0"/>
              <w:rPr>
                <w:sz w:val="20"/>
                <w:szCs w:val="20"/>
                <w:color w:val="auto"/>
              </w:rPr>
            </w:pPr>
            <w:r>
              <w:rPr>
                <w:rFonts w:ascii="Arial" w:cs="Arial" w:eastAsia="Arial" w:hAnsi="Arial"/>
                <w:sz w:val="18"/>
                <w:szCs w:val="18"/>
                <w:color w:val="auto"/>
              </w:rPr>
              <w:t>Cash dividends declared per common share</w:t>
            </w:r>
          </w:p>
        </w:tc>
        <w:tc>
          <w:tcPr>
            <w:tcW w:w="34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3020" w:type="dxa"/>
            <w:vAlign w:val="bottom"/>
            <w:tcBorders>
              <w:top w:val="single" w:sz="8" w:color="D6F3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6F3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940" w:type="dxa"/>
            <w:vAlign w:val="bottom"/>
            <w:vMerge w:val="continue"/>
          </w:tcPr>
          <w:p>
            <w:pPr>
              <w:spacing w:after="0"/>
              <w:rPr>
                <w:sz w:val="24"/>
                <w:szCs w:val="24"/>
                <w:color w:val="auto"/>
              </w:rPr>
            </w:pPr>
          </w:p>
        </w:tc>
        <w:tc>
          <w:tcPr>
            <w:tcW w:w="3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4940" w:type="dxa"/>
            <w:vAlign w:val="bottom"/>
          </w:tcPr>
          <w:p>
            <w:pPr>
              <w:spacing w:after="0"/>
              <w:rPr>
                <w:sz w:val="24"/>
                <w:szCs w:val="24"/>
                <w:color w:val="auto"/>
              </w:rPr>
            </w:pPr>
          </w:p>
        </w:tc>
        <w:tc>
          <w:tcPr>
            <w:tcW w:w="3020" w:type="dxa"/>
            <w:vAlign w:val="bottom"/>
          </w:tcPr>
          <w:p>
            <w:pPr>
              <w:jc w:val="right"/>
              <w:ind w:right="2112"/>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940" w:type="dxa"/>
            <w:vAlign w:val="bottom"/>
            <w:tcBorders>
              <w:bottom w:val="single" w:sz="8" w:color="808080"/>
            </w:tcBorders>
          </w:tcPr>
          <w:p>
            <w:pPr>
              <w:spacing w:after="0"/>
              <w:rPr>
                <w:sz w:val="21"/>
                <w:szCs w:val="21"/>
                <w:color w:val="auto"/>
              </w:rPr>
            </w:pPr>
          </w:p>
        </w:tc>
        <w:tc>
          <w:tcPr>
            <w:tcW w:w="3020" w:type="dxa"/>
            <w:vAlign w:val="bottom"/>
            <w:tcBorders>
              <w:bottom w:val="single" w:sz="8" w:color="808080"/>
            </w:tcBorders>
          </w:tcPr>
          <w:p>
            <w:pPr>
              <w:spacing w:after="0"/>
              <w:rPr>
                <w:sz w:val="21"/>
                <w:szCs w:val="21"/>
                <w:color w:val="auto"/>
              </w:rPr>
            </w:pPr>
          </w:p>
        </w:tc>
        <w:tc>
          <w:tcPr>
            <w:tcW w:w="380" w:type="dxa"/>
            <w:vAlign w:val="bottom"/>
            <w:tcBorders>
              <w:bottom w:val="single" w:sz="8" w:color="808080"/>
            </w:tcBorders>
          </w:tcPr>
          <w:p>
            <w:pPr>
              <w:spacing w:after="0"/>
              <w:rPr>
                <w:sz w:val="21"/>
                <w:szCs w:val="21"/>
                <w:color w:val="auto"/>
              </w:rPr>
            </w:pPr>
          </w:p>
        </w:tc>
        <w:tc>
          <w:tcPr>
            <w:tcW w:w="110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380" w:type="dxa"/>
            <w:vAlign w:val="bottom"/>
            <w:tcBorders>
              <w:bottom w:val="single" w:sz="8" w:color="808080"/>
            </w:tcBorders>
          </w:tcPr>
          <w:p>
            <w:pPr>
              <w:spacing w:after="0"/>
              <w:rPr>
                <w:sz w:val="21"/>
                <w:szCs w:val="21"/>
                <w:color w:val="auto"/>
              </w:rPr>
            </w:pPr>
          </w:p>
        </w:tc>
        <w:tc>
          <w:tcPr>
            <w:tcW w:w="108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66" w:orient="portrait"/>
          <w:cols w:equalWidth="0" w:num="1">
            <w:col w:w="11420"/>
          </w:cols>
          <w:pgMar w:left="240" w:top="153" w:right="239" w:bottom="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OPERATING ACTIVITIES:</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8"/>
          <w:szCs w:val="18"/>
          <w:color w:val="auto"/>
        </w:rPr>
        <w:t>Reconciliation to cash flows: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Depreciation and amortization</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Restricted stock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Impairment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0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0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900" w:type="dxa"/>
            <w:vAlign w:val="bottom"/>
            <w:gridSpan w:val="3"/>
          </w:tcPr>
          <w:p>
            <w:pPr>
              <w:jc w:val="center"/>
              <w:ind w:right="222"/>
              <w:spacing w:after="0"/>
              <w:rPr>
                <w:sz w:val="20"/>
                <w:szCs w:val="20"/>
                <w:color w:val="auto"/>
              </w:rPr>
            </w:pPr>
            <w:r>
              <w:rPr>
                <w:rFonts w:ascii="Arial" w:cs="Arial" w:eastAsia="Arial" w:hAnsi="Arial"/>
                <w:sz w:val="14"/>
                <w:szCs w:val="14"/>
                <w:b w:val="1"/>
                <w:bCs w:val="1"/>
                <w:color w:val="auto"/>
                <w:w w:val="95"/>
              </w:rPr>
              <w:t>THREE MONTHS ENDED JUNE 30</w:t>
            </w:r>
          </w:p>
        </w:tc>
      </w:tr>
      <w:tr>
        <w:trPr>
          <w:trHeight w:val="161"/>
        </w:trPr>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47"/>
              <w:spacing w:after="0"/>
              <w:rPr>
                <w:sz w:val="20"/>
                <w:szCs w:val="20"/>
                <w:color w:val="auto"/>
              </w:rPr>
            </w:pPr>
            <w:r>
              <w:rPr>
                <w:rFonts w:ascii="Arial" w:cs="Arial" w:eastAsia="Arial" w:hAnsi="Arial"/>
                <w:sz w:val="14"/>
                <w:szCs w:val="14"/>
                <w:b w:val="1"/>
                <w:bCs w:val="1"/>
                <w:color w:val="auto"/>
              </w:rPr>
              <w:t>2006</w:t>
            </w:r>
          </w:p>
        </w:tc>
        <w:tc>
          <w:tcPr>
            <w:tcW w:w="6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2005</w:t>
            </w:r>
          </w:p>
        </w:tc>
      </w:tr>
      <w:tr>
        <w:trPr>
          <w:trHeight w:val="168"/>
        </w:trPr>
        <w:tc>
          <w:tcPr>
            <w:tcW w:w="300" w:type="dxa"/>
            <w:vAlign w:val="bottom"/>
          </w:tcPr>
          <w:p>
            <w:pPr>
              <w:spacing w:after="0"/>
              <w:rPr>
                <w:sz w:val="14"/>
                <w:szCs w:val="14"/>
                <w:color w:val="auto"/>
              </w:rPr>
            </w:pPr>
          </w:p>
        </w:tc>
        <w:tc>
          <w:tcPr>
            <w:tcW w:w="1900" w:type="dxa"/>
            <w:vAlign w:val="bottom"/>
            <w:gridSpan w:val="2"/>
          </w:tcPr>
          <w:p>
            <w:pPr>
              <w:jc w:val="center"/>
              <w:ind w:left="627"/>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4"/>
                <w:szCs w:val="14"/>
                <w:color w:val="auto"/>
              </w:rPr>
            </w:pPr>
          </w:p>
        </w:tc>
      </w:tr>
      <w:tr>
        <w:trPr>
          <w:trHeight w:val="431"/>
        </w:trPr>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47"/>
              <w:spacing w:after="0"/>
              <w:rPr>
                <w:sz w:val="20"/>
                <w:szCs w:val="20"/>
                <w:color w:val="auto"/>
              </w:rPr>
            </w:pPr>
            <w:r>
              <w:rPr>
                <w:rFonts w:ascii="Arial" w:cs="Arial" w:eastAsia="Arial" w:hAnsi="Arial"/>
                <w:sz w:val="18"/>
                <w:szCs w:val="18"/>
                <w:color w:val="auto"/>
              </w:rPr>
              <w:t>2,799,967</w:t>
            </w:r>
          </w:p>
        </w:tc>
        <w:tc>
          <w:tcPr>
            <w:tcW w:w="6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2,749,486</w:t>
            </w:r>
          </w:p>
        </w:tc>
      </w:tr>
    </w:tbl>
    <w:p>
      <w:pPr>
        <w:spacing w:after="0" w:line="237" w:lineRule="exact"/>
        <w:rPr>
          <w:sz w:val="20"/>
          <w:szCs w:val="20"/>
          <w:color w:val="auto"/>
        </w:rPr>
      </w:pPr>
    </w:p>
    <w:p>
      <w:pPr>
        <w:jc w:val="both"/>
        <w:ind w:left="900"/>
        <w:spacing w:after="0"/>
        <w:tabs>
          <w:tab w:leader="none" w:pos="2620" w:val="left"/>
        </w:tabs>
        <w:rPr>
          <w:sz w:val="20"/>
          <w:szCs w:val="20"/>
          <w:color w:val="auto"/>
        </w:rPr>
      </w:pPr>
      <w:r>
        <w:rPr>
          <w:rFonts w:ascii="Arial" w:cs="Arial" w:eastAsia="Arial" w:hAnsi="Arial"/>
          <w:sz w:val="18"/>
          <w:szCs w:val="18"/>
          <w:color w:val="auto"/>
        </w:rPr>
        <w:t>927,682</w:t>
      </w:r>
      <w:r>
        <w:rPr>
          <w:sz w:val="20"/>
          <w:szCs w:val="20"/>
          <w:color w:val="auto"/>
        </w:rPr>
        <w:tab/>
      </w:r>
      <w:r>
        <w:rPr>
          <w:rFonts w:ascii="Arial" w:cs="Arial" w:eastAsia="Arial" w:hAnsi="Arial"/>
          <w:sz w:val="18"/>
          <w:szCs w:val="18"/>
          <w:color w:val="auto"/>
        </w:rPr>
        <w:t>838,106</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117,599</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30,595—</w:t>
      </w:r>
    </w:p>
    <w:p>
      <w:pPr>
        <w:sectPr>
          <w:pgSz w:w="11900" w:h="16866" w:orient="portrait"/>
          <w:cols w:equalWidth="0" w:num="2">
            <w:col w:w="7240" w:space="720"/>
            <w:col w:w="3460"/>
          </w:cols>
          <w:pgMar w:left="240" w:top="153" w:right="239" w:bottom="0" w:gutter="0" w:footer="0" w:header="0"/>
          <w:type w:val="continuous"/>
        </w:sectPr>
      </w:pPr>
    </w:p>
    <w:bookmarkStart w:id="3" w:name="page4"/>
    <w:bookmarkEnd w:id="3"/>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Loss from property 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operating accounts (using) providing cash:</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Trade receivables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Additions to property, plant and equipment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Purchases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Sale and maturities of investments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Proceeds from property 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Payments received on notes receivable</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Cash 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cash used in financing activities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BEGINNING OF PERIOD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SUPPLEMENTAL DISCLOSURES OF CASH FLOW INFORMATION:</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26,969</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20,320</w:t>
            </w:r>
          </w:p>
        </w:tc>
        <w:tc>
          <w:tcPr>
            <w:tcW w:w="60" w:type="dxa"/>
            <w:vAlign w:val="bottom"/>
          </w:tcPr>
          <w:p>
            <w:pPr>
              <w:spacing w:after="0"/>
              <w:rPr>
                <w:sz w:val="19"/>
                <w:szCs w:val="19"/>
                <w:color w:val="auto"/>
              </w:rPr>
            </w:pPr>
          </w:p>
        </w:tc>
      </w:tr>
      <w:tr>
        <w:trPr>
          <w:trHeight w:val="500"/>
        </w:trPr>
        <w:tc>
          <w:tcPr>
            <w:tcW w:w="4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(2,896,819)</w:t>
            </w:r>
          </w:p>
        </w:tc>
        <w:tc>
          <w:tcPr>
            <w:tcW w:w="4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(2,326,017)</w:t>
            </w:r>
          </w:p>
        </w:tc>
      </w:tr>
      <w:tr>
        <w:trPr>
          <w:trHeight w:val="257"/>
        </w:trPr>
        <w:tc>
          <w:tcPr>
            <w:tcW w:w="4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(4,240,461)</w:t>
            </w:r>
          </w:p>
        </w:tc>
        <w:tc>
          <w:tcPr>
            <w:tcW w:w="4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(4,784,213)</w:t>
            </w:r>
          </w:p>
        </w:tc>
      </w:tr>
      <w:tr>
        <w:trPr>
          <w:trHeight w:val="230"/>
        </w:trPr>
        <w:tc>
          <w:tcPr>
            <w:tcW w:w="40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3,311,896</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3,201,348</w:t>
            </w:r>
          </w:p>
        </w:tc>
        <w:tc>
          <w:tcPr>
            <w:tcW w:w="60" w:type="dxa"/>
            <w:vAlign w:val="bottom"/>
          </w:tcPr>
          <w:p>
            <w:pPr>
              <w:spacing w:after="0"/>
              <w:rPr>
                <w:sz w:val="19"/>
                <w:szCs w:val="19"/>
                <w:color w:val="auto"/>
              </w:rPr>
            </w:pPr>
          </w:p>
        </w:tc>
      </w:tr>
      <w:tr>
        <w:trPr>
          <w:trHeight w:val="257"/>
        </w:trPr>
        <w:tc>
          <w:tcPr>
            <w:tcW w:w="4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(413,374)</w:t>
            </w:r>
          </w:p>
        </w:tc>
        <w:tc>
          <w:tcPr>
            <w:tcW w:w="4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(377,850)</w:t>
            </w:r>
          </w:p>
        </w:tc>
      </w:tr>
      <w:tr>
        <w:trPr>
          <w:trHeight w:val="244"/>
        </w:trPr>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403,993</w:t>
            </w:r>
          </w:p>
        </w:tc>
        <w:tc>
          <w:tcPr>
            <w:tcW w:w="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348,730</w:t>
            </w:r>
          </w:p>
        </w:tc>
        <w:tc>
          <w:tcPr>
            <w:tcW w:w="60" w:type="dxa"/>
            <w:vAlign w:val="bottom"/>
          </w:tcPr>
          <w:p>
            <w:pPr>
              <w:spacing w:after="0"/>
              <w:rPr>
                <w:sz w:val="21"/>
                <w:szCs w:val="21"/>
                <w:color w:val="auto"/>
              </w:rPr>
            </w:pPr>
          </w:p>
        </w:tc>
      </w:tr>
      <w:tr>
        <w:trPr>
          <w:trHeight w:val="425"/>
        </w:trPr>
        <w:tc>
          <w:tcPr>
            <w:tcW w:w="4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(49,552)</w:t>
            </w:r>
          </w:p>
        </w:tc>
        <w:tc>
          <w:tcPr>
            <w:tcW w:w="4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(212,491)</w:t>
            </w:r>
          </w:p>
        </w:tc>
      </w:tr>
      <w:tr>
        <w:trPr>
          <w:trHeight w:val="675"/>
        </w:trPr>
        <w:tc>
          <w:tcPr>
            <w:tcW w:w="4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(746,145)</w:t>
            </w:r>
          </w:p>
        </w:tc>
        <w:tc>
          <w:tcPr>
            <w:tcW w:w="4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(1,245,917)</w:t>
            </w:r>
          </w:p>
        </w:tc>
      </w:tr>
      <w:tr>
        <w:trPr>
          <w:trHeight w:val="257"/>
        </w:trPr>
        <w:tc>
          <w:tcPr>
            <w:tcW w:w="400" w:type="dxa"/>
            <w:vAlign w:val="bottom"/>
          </w:tcPr>
          <w:p>
            <w:pPr>
              <w:spacing w:after="0"/>
              <w:rPr>
                <w:sz w:val="22"/>
                <w:szCs w:val="2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(1,809,425)</w:t>
            </w:r>
          </w:p>
        </w:tc>
      </w:tr>
      <w:tr>
        <w:trPr>
          <w:trHeight w:val="230"/>
        </w:trPr>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953,135</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1,553,362</w:t>
            </w:r>
          </w:p>
        </w:tc>
        <w:tc>
          <w:tcPr>
            <w:tcW w:w="60" w:type="dxa"/>
            <w:vAlign w:val="bottom"/>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44,644</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2,702</w:t>
            </w:r>
          </w:p>
        </w:tc>
        <w:tc>
          <w:tcPr>
            <w:tcW w:w="60" w:type="dxa"/>
            <w:vAlign w:val="bottom"/>
          </w:tcPr>
          <w:p>
            <w:pPr>
              <w:spacing w:after="0"/>
              <w:rPr>
                <w:sz w:val="19"/>
                <w:szCs w:val="19"/>
                <w:color w:val="auto"/>
              </w:rPr>
            </w:pPr>
          </w:p>
        </w:tc>
      </w:tr>
      <w:tr>
        <w:trPr>
          <w:trHeight w:val="244"/>
        </w:trPr>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41,282</w:t>
            </w:r>
          </w:p>
        </w:tc>
        <w:tc>
          <w:tcPr>
            <w:tcW w:w="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38,118</w:t>
            </w:r>
          </w:p>
        </w:tc>
        <w:tc>
          <w:tcPr>
            <w:tcW w:w="60" w:type="dxa"/>
            <w:vAlign w:val="bottom"/>
          </w:tcPr>
          <w:p>
            <w:pPr>
              <w:spacing w:after="0"/>
              <w:rPr>
                <w:sz w:val="21"/>
                <w:szCs w:val="21"/>
                <w:color w:val="auto"/>
              </w:rPr>
            </w:pPr>
          </w:p>
        </w:tc>
      </w:tr>
      <w:tr>
        <w:trPr>
          <w:trHeight w:val="425"/>
        </w:trPr>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292,916</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(1,461,160)</w:t>
            </w:r>
          </w:p>
        </w:tc>
      </w:tr>
      <w:tr>
        <w:trPr>
          <w:trHeight w:val="663"/>
        </w:trPr>
        <w:tc>
          <w:tcPr>
            <w:tcW w:w="4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(2,034,299)</w:t>
            </w:r>
          </w:p>
        </w:tc>
        <w:tc>
          <w:tcPr>
            <w:tcW w:w="4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(1,846,321)</w:t>
            </w:r>
          </w:p>
        </w:tc>
      </w:tr>
      <w:tr>
        <w:trPr>
          <w:trHeight w:val="20"/>
        </w:trPr>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(2,034,299)</w:t>
            </w:r>
          </w:p>
        </w:tc>
        <w:tc>
          <w:tcPr>
            <w:tcW w:w="4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(1,846,321)</w:t>
            </w:r>
          </w:p>
        </w:tc>
      </w:tr>
      <w:tr>
        <w:trPr>
          <w:trHeight w:val="20"/>
        </w:trPr>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5"/>
        </w:trPr>
        <w:tc>
          <w:tcPr>
            <w:tcW w:w="4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(1,790,935)</w:t>
            </w:r>
          </w:p>
        </w:tc>
        <w:tc>
          <w:tcPr>
            <w:tcW w:w="4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(3,519,972)</w:t>
            </w:r>
          </w:p>
        </w:tc>
      </w:tr>
      <w:tr>
        <w:trPr>
          <w:trHeight w:val="433"/>
        </w:trPr>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6,330,004</w:t>
            </w:r>
          </w:p>
        </w:tc>
        <w:tc>
          <w:tcPr>
            <w:tcW w:w="2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4,564,790</w:t>
            </w:r>
          </w:p>
        </w:tc>
        <w:tc>
          <w:tcPr>
            <w:tcW w:w="60" w:type="dxa"/>
            <w:vAlign w:val="bottom"/>
          </w:tcPr>
          <w:p>
            <w:pPr>
              <w:spacing w:after="0"/>
              <w:rPr>
                <w:sz w:val="24"/>
                <w:szCs w:val="24"/>
                <w:color w:val="auto"/>
              </w:rPr>
            </w:pPr>
          </w:p>
        </w:tc>
      </w:tr>
      <w:tr>
        <w:trPr>
          <w:trHeight w:val="412"/>
        </w:trPr>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4,539,069</w:t>
            </w:r>
          </w:p>
        </w:tc>
        <w:tc>
          <w:tcPr>
            <w:tcW w:w="260" w:type="dxa"/>
            <w:vAlign w:val="bottom"/>
          </w:tcPr>
          <w:p>
            <w:pPr>
              <w:spacing w:after="0"/>
              <w:rPr>
                <w:sz w:val="24"/>
                <w:szCs w:val="24"/>
                <w:color w:val="auto"/>
              </w:rPr>
            </w:pPr>
          </w:p>
        </w:tc>
        <w:tc>
          <w:tcPr>
            <w:tcW w:w="4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1,044,818</w:t>
            </w:r>
          </w:p>
        </w:tc>
        <w:tc>
          <w:tcPr>
            <w:tcW w:w="60" w:type="dxa"/>
            <w:vAlign w:val="bottom"/>
          </w:tcPr>
          <w:p>
            <w:pPr>
              <w:spacing w:after="0"/>
              <w:rPr>
                <w:sz w:val="24"/>
                <w:szCs w:val="24"/>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26" w:lineRule="exact"/>
        <w:rPr>
          <w:sz w:val="20"/>
          <w:szCs w:val="20"/>
          <w:color w:val="auto"/>
        </w:rPr>
      </w:pPr>
    </w:p>
    <w:p>
      <w:pPr>
        <w:sectPr>
          <w:pgSz w:w="11900" w:h="16900" w:orient="portrait"/>
          <w:cols w:equalWidth="0" w:num="2">
            <w:col w:w="7240" w:space="720"/>
            <w:col w:w="3460"/>
          </w:cols>
          <w:pgMar w:left="240" w:top="131" w:right="239" w:bottom="0" w:gutter="0" w:footer="0" w:header="0"/>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40" w:type="dxa"/>
            <w:vAlign w:val="bottom"/>
            <w:shd w:val="clear" w:color="auto" w:fill="D6F3E8"/>
          </w:tcPr>
          <w:p>
            <w:pPr>
              <w:ind w:left="80"/>
              <w:spacing w:after="0"/>
              <w:rPr>
                <w:sz w:val="20"/>
                <w:szCs w:val="20"/>
                <w:color w:val="auto"/>
              </w:rPr>
            </w:pPr>
            <w:r>
              <w:rPr>
                <w:rFonts w:ascii="Arial" w:cs="Arial" w:eastAsia="Arial" w:hAnsi="Arial"/>
                <w:sz w:val="18"/>
                <w:szCs w:val="18"/>
                <w:color w:val="auto"/>
              </w:rPr>
              <w:t>Cash paid for income taxes</w:t>
            </w:r>
          </w:p>
        </w:tc>
        <w:tc>
          <w:tcPr>
            <w:tcW w:w="292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386,000</w:t>
            </w:r>
          </w:p>
        </w:tc>
        <w:tc>
          <w:tcPr>
            <w:tcW w:w="260" w:type="dxa"/>
            <w:vAlign w:val="bottom"/>
            <w:shd w:val="clear" w:color="auto" w:fill="D6F3E8"/>
          </w:tcPr>
          <w:p>
            <w:pPr>
              <w:spacing w:after="0"/>
              <w:rPr>
                <w:sz w:val="21"/>
                <w:szCs w:val="21"/>
                <w:color w:val="auto"/>
              </w:rPr>
            </w:pPr>
          </w:p>
        </w:tc>
        <w:tc>
          <w:tcPr>
            <w:tcW w:w="480" w:type="dxa"/>
            <w:vAlign w:val="bottom"/>
            <w:shd w:val="clear" w:color="auto" w:fill="D6F3E8"/>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263,000</w:t>
            </w:r>
          </w:p>
        </w:tc>
        <w:tc>
          <w:tcPr>
            <w:tcW w:w="26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D6F3E8"/>
              <w:bottom w:val="single" w:sz="8" w:color="D6F3E8"/>
            </w:tcBorders>
            <w:vMerge w:val="restart"/>
          </w:tcPr>
          <w:p>
            <w:pPr>
              <w:ind w:left="80"/>
              <w:spacing w:after="0"/>
              <w:rPr>
                <w:sz w:val="20"/>
                <w:szCs w:val="20"/>
                <w:color w:val="auto"/>
              </w:rPr>
            </w:pPr>
            <w:r>
              <w:rPr>
                <w:rFonts w:ascii="Arial" w:cs="Arial" w:eastAsia="Arial" w:hAnsi="Arial"/>
                <w:sz w:val="18"/>
                <w:szCs w:val="18"/>
                <w:color w:val="auto"/>
              </w:rPr>
              <w:t>Noncash investing activities-</w:t>
            </w:r>
          </w:p>
        </w:tc>
        <w:tc>
          <w:tcPr>
            <w:tcW w:w="2420" w:type="dxa"/>
            <w:vAlign w:val="bottom"/>
            <w:tcBorders>
              <w:top w:val="single" w:sz="8" w:color="D6F3E8"/>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6F3E8"/>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54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540" w:type="dxa"/>
            <w:vAlign w:val="bottom"/>
          </w:tcPr>
          <w:p>
            <w:pPr>
              <w:ind w:left="220"/>
              <w:spacing w:after="0"/>
              <w:rPr>
                <w:sz w:val="20"/>
                <w:szCs w:val="20"/>
                <w:color w:val="auto"/>
              </w:rPr>
            </w:pPr>
            <w:r>
              <w:rPr>
                <w:rFonts w:ascii="Arial" w:cs="Arial" w:eastAsia="Arial" w:hAnsi="Arial"/>
                <w:sz w:val="18"/>
                <w:szCs w:val="18"/>
                <w:color w:val="auto"/>
              </w:rPr>
              <w:t>Capital expenditures in accounts payable</w:t>
            </w:r>
          </w:p>
        </w:tc>
        <w:tc>
          <w:tcPr>
            <w:tcW w:w="2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459,679</w:t>
            </w:r>
          </w:p>
        </w:tc>
        <w:tc>
          <w:tcPr>
            <w:tcW w:w="260" w:type="dxa"/>
            <w:vAlign w:val="bottom"/>
          </w:tcPr>
          <w:p>
            <w:pPr>
              <w:spacing w:after="0"/>
              <w:rPr>
                <w:sz w:val="22"/>
                <w:szCs w:val="22"/>
                <w:color w:val="auto"/>
              </w:rPr>
            </w:pP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515,566</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 UNAUDITED</w:t>
      </w:r>
    </w:p>
    <w:p>
      <w:pPr>
        <w:spacing w:after="0" w:line="178" w:lineRule="exact"/>
        <w:rPr>
          <w:sz w:val="20"/>
          <w:szCs w:val="20"/>
          <w:color w:val="auto"/>
        </w:rPr>
      </w:pPr>
    </w:p>
    <w:p>
      <w:pPr>
        <w:ind w:left="460" w:right="120" w:hanging="452"/>
        <w:spacing w:after="0" w:line="314" w:lineRule="auto"/>
        <w:tabs>
          <w:tab w:leader="none" w:pos="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fiscal year ended April 2, 2006, previously filed with the Securities and Exchange Commission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158" w:lineRule="exact"/>
        <w:rPr>
          <w:rFonts w:ascii="Arial" w:cs="Arial" w:eastAsia="Arial" w:hAnsi="Arial"/>
          <w:sz w:val="15"/>
          <w:szCs w:val="15"/>
          <w:color w:val="auto"/>
        </w:rPr>
      </w:pPr>
    </w:p>
    <w:p>
      <w:pPr>
        <w:ind w:left="460" w:right="80"/>
        <w:spacing w:after="0" w:line="268" w:lineRule="auto"/>
        <w:rPr>
          <w:rFonts w:ascii="Arial" w:cs="Arial" w:eastAsia="Arial" w:hAnsi="Arial"/>
          <w:sz w:val="15"/>
          <w:szCs w:val="15"/>
          <w:color w:val="auto"/>
        </w:rPr>
      </w:pPr>
      <w:r>
        <w:rPr>
          <w:rFonts w:ascii="Arial" w:cs="Arial" w:eastAsia="Arial" w:hAnsi="Arial"/>
          <w:sz w:val="18"/>
          <w:szCs w:val="18"/>
          <w:color w:val="auto"/>
        </w:rPr>
        <w:t>The accounting policies followed by the Company are set forth in Note 1 to the Company’s financial statements in the Company’s Annual Report on Form 10-K for the fiscal year ended April 2, 2006 filed with the Commission on June 16, 2006.</w:t>
      </w:r>
    </w:p>
    <w:p>
      <w:pPr>
        <w:spacing w:after="0" w:line="185" w:lineRule="exact"/>
        <w:rPr>
          <w:rFonts w:ascii="Arial" w:cs="Arial" w:eastAsia="Arial" w:hAnsi="Arial"/>
          <w:sz w:val="15"/>
          <w:szCs w:val="15"/>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results of operations for the period ended June 30, 2006 are not necessarily indicative of the results that may be expected for the full year.</w:t>
      </w:r>
    </w:p>
    <w:p>
      <w:pPr>
        <w:spacing w:after="0" w:line="248"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Inventories, principally valued by the LIFO method, are less than current cost by approximately $3,700,000 and $3,859,000 at June 30, 2006 and April 2, 2006, respectively. Inventory consists principally of finished goods.</w:t>
      </w:r>
    </w:p>
    <w:p>
      <w:pPr>
        <w:spacing w:after="0" w:line="18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Comprehensive income and its components, net of tax, were as follows:</w:t>
      </w:r>
    </w:p>
    <w:p>
      <w:pPr>
        <w:spacing w:after="0" w:line="33"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7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02"/>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97"/>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7720" w:type="dxa"/>
            <w:vAlign w:val="bottom"/>
            <w:shd w:val="clear" w:color="auto" w:fill="D6F3E8"/>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2,799,967</w:t>
            </w: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2,749,486</w:t>
            </w:r>
          </w:p>
        </w:tc>
        <w:tc>
          <w:tcPr>
            <w:tcW w:w="0" w:type="dxa"/>
            <w:vAlign w:val="bottom"/>
          </w:tcPr>
          <w:p>
            <w:pPr>
              <w:spacing w:after="0"/>
              <w:rPr>
                <w:sz w:val="1"/>
                <w:szCs w:val="1"/>
                <w:color w:val="auto"/>
              </w:rPr>
            </w:pP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Available-for-sale investments unrealized (loss)/gain</w:t>
            </w:r>
          </w:p>
        </w:tc>
        <w:tc>
          <w:tcPr>
            <w:tcW w:w="26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(812)</w:t>
            </w:r>
          </w:p>
        </w:tc>
        <w:tc>
          <w:tcPr>
            <w:tcW w:w="24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21,850</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D6F3E8"/>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vMerge w:val="continue"/>
            <w:shd w:val="clear" w:color="auto" w:fill="D6F3E8"/>
          </w:tcPr>
          <w:p>
            <w:pPr>
              <w:spacing w:after="0"/>
              <w:rPr>
                <w:sz w:val="21"/>
                <w:szCs w:val="21"/>
                <w:color w:val="auto"/>
              </w:rPr>
            </w:pPr>
          </w:p>
        </w:tc>
        <w:tc>
          <w:tcPr>
            <w:tcW w:w="26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2,799,155</w:t>
            </w: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2,771,336</w:t>
            </w:r>
          </w:p>
        </w:tc>
        <w:tc>
          <w:tcPr>
            <w:tcW w:w="0" w:type="dxa"/>
            <w:vAlign w:val="bottom"/>
          </w:tcPr>
          <w:p>
            <w:pPr>
              <w:spacing w:after="0"/>
              <w:rPr>
                <w:sz w:val="1"/>
                <w:szCs w:val="1"/>
                <w:color w:val="auto"/>
              </w:rPr>
            </w:pPr>
          </w:p>
        </w:tc>
      </w:tr>
      <w:tr>
        <w:trPr>
          <w:trHeight w:val="20"/>
        </w:trPr>
        <w:tc>
          <w:tcPr>
            <w:tcW w:w="7720" w:type="dxa"/>
            <w:vAlign w:val="bottom"/>
            <w:shd w:val="clear" w:color="auto" w:fill="D6F3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31" w:right="239" w:bottom="0" w:gutter="0" w:footer="0" w:header="0"/>
          <w:type w:val="continuous"/>
        </w:sectPr>
      </w:pPr>
    </w:p>
    <w:bookmarkStart w:id="4" w:name="page5"/>
    <w:bookmarkEnd w:id="4"/>
    <w:p>
      <w:pPr>
        <w:ind w:left="520" w:right="120" w:hanging="512"/>
        <w:spacing w:after="0" w:line="254"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5371465</wp:posOffset>
            </wp:positionH>
            <wp:positionV relativeFrom="page">
              <wp:posOffset>88900</wp:posOffset>
            </wp:positionV>
            <wp:extent cx="16205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20520" cy="17145"/>
                    </a:xfrm>
                    <a:prstGeom prst="rect">
                      <a:avLst/>
                    </a:prstGeom>
                    <a:noFill/>
                  </pic:spPr>
                </pic:pic>
              </a:graphicData>
            </a:graphic>
          </wp:anchor>
        </w:drawing>
        <w:t>In November 2004, the Financial Accounting Standards Board (FASB) issued Statement of Financial Accounting Standards (SFAS) No. 151, “Inventory Costs.” This statement amends Chapter 4 of Accounting Research Bulletin (ARB) No. 43 to clarify the accounting for abnormal amounts of idle facility expense, freight, handling costs and wasted material (spoilage), as well as requiring that allocation of fixed production overheads to the costs of conversion be based on the normal capacity of the production facilities. The provisions of this statement are effective for inventory costs incurred during fiscal years beginning after June 15, 2005. The adoption of the new standard, effective for the Company starting on April 3, 2006, did not have a material impact on operating results or financial condition.</w:t>
      </w:r>
    </w:p>
    <w:p>
      <w:pPr>
        <w:spacing w:after="0" w:line="225" w:lineRule="exact"/>
        <w:rPr>
          <w:rFonts w:ascii="Arial" w:cs="Arial" w:eastAsia="Arial" w:hAnsi="Arial"/>
          <w:sz w:val="18"/>
          <w:szCs w:val="18"/>
          <w:color w:val="auto"/>
        </w:rPr>
      </w:pPr>
    </w:p>
    <w:p>
      <w:pPr>
        <w:ind w:left="520" w:right="140"/>
        <w:spacing w:after="0" w:line="253" w:lineRule="auto"/>
        <w:rPr>
          <w:rFonts w:ascii="Arial" w:cs="Arial" w:eastAsia="Arial" w:hAnsi="Arial"/>
          <w:sz w:val="18"/>
          <w:szCs w:val="18"/>
          <w:color w:val="auto"/>
        </w:rPr>
      </w:pPr>
      <w:r>
        <w:rPr>
          <w:rFonts w:ascii="Arial" w:cs="Arial" w:eastAsia="Arial" w:hAnsi="Arial"/>
          <w:sz w:val="18"/>
          <w:szCs w:val="18"/>
          <w:color w:val="auto"/>
        </w:rPr>
        <w:t>During December 2004, the FASB issued SFAS No. 123 (Revised 2004), “Share-Based Payment” (SFAS 123R), which amends SFAS No. 123, “Accounting for Stock-Based Compensation” and SFAS No. 95, “Statement of Cash Flows.” SFAS No. 123R requires all companies to measure compensation cost for all share-based payments (including employee stock options) at fair value, and is effective for public companies for annual periods beginning after June 15, 2005. This new standard may be adopted in one of two ways – the modified prospective transition method or the modified retrospective transition method. The adoption of the new standard, effective for the Company starting on April 3, 2006, did not have a material impact on operating results or financial condition. Historically, the Company has not issued options and as of April 3, 2006 there were no unvested share based payments.</w:t>
      </w:r>
    </w:p>
    <w:p>
      <w:pPr>
        <w:spacing w:after="0" w:line="201" w:lineRule="exact"/>
        <w:rPr>
          <w:rFonts w:ascii="Arial" w:cs="Arial" w:eastAsia="Arial" w:hAnsi="Arial"/>
          <w:sz w:val="18"/>
          <w:szCs w:val="18"/>
          <w:color w:val="auto"/>
        </w:rPr>
      </w:pPr>
    </w:p>
    <w:p>
      <w:pPr>
        <w:ind w:left="520" w:right="160"/>
        <w:spacing w:after="0" w:line="314" w:lineRule="auto"/>
        <w:rPr>
          <w:rFonts w:ascii="Arial" w:cs="Arial" w:eastAsia="Arial" w:hAnsi="Arial"/>
          <w:sz w:val="18"/>
          <w:szCs w:val="18"/>
          <w:color w:val="auto"/>
        </w:rPr>
      </w:pPr>
      <w:r>
        <w:rPr>
          <w:rFonts w:ascii="Arial" w:cs="Arial" w:eastAsia="Arial" w:hAnsi="Arial"/>
          <w:sz w:val="15"/>
          <w:szCs w:val="15"/>
          <w:color w:val="auto"/>
        </w:rPr>
        <w:t>In December 2004, the FASB issued SFAS No. 153, “Exchanges of Nonmonetary Assets — An Amendment of APB Opinion No. 29, Accounting for Nonmonetary Transactions.” SFAS No. 153 eliminates the exception from fair value measurement for nonmonetary exchanges of similar productive assets in paragraph 21(b) of APB Opinion No. 29, “Accounting for Nonmonetary Transactions,” and replaces it with an exception for exchanges that do not have commercial substance. SFAS No. 153 specifies that a nonmonetary exchange has commercial substance if the future cash flows of the entity are expected to change significantly as a result of the exchange. SFAS No. 153 is effective for fiscal periods beginning after June 15, 2005. The adoption of the new standard, effective for the Company starting on April 3, 2006, did not have a material impact on operating results or financial condition.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520" w:right="20"/>
        <w:spacing w:after="0" w:line="289" w:lineRule="auto"/>
        <w:rPr>
          <w:sz w:val="20"/>
          <w:szCs w:val="20"/>
          <w:color w:val="auto"/>
        </w:rPr>
      </w:pPr>
      <w:r>
        <w:rPr>
          <w:rFonts w:ascii="Arial" w:cs="Arial" w:eastAsia="Arial" w:hAnsi="Arial"/>
          <w:sz w:val="16"/>
          <w:szCs w:val="16"/>
          <w:color w:val="auto"/>
        </w:rPr>
        <w:t>In June 2006, the FASB issued FASB Interpretation (FIN) No. 48, “Accounting for Uncertainty in Income Taxes - an interpretation of FASB Statement No. 109.” FIN No. 48 clarifies the accounting for uncertain tax positions in accordance with SFAS No. 109, “Accounting for Income Taxes.” The Company will be required to recognize in its financial statements the largest tax benefit of a tax position that is “more-likely-than-not” to be sustained on audit based solely on the technical merits of the position as of the reporting date. The term “more-likely-than-not” means a likelihood of more than 50 percent. Interpretation No. 48 also provides guidance on new disclosure requirements, reporting and accrual of interest and penalties, accounting in interim periods and transition. Only tax positions that meet the “more-likely-than-not” threshold at that date may be recognized. The cumulative effect of initially applying FIN No. 48 will be recognized as a change in accounting principle as of the end of the period in which FIN No. 48 is adopted. The Company has begun an evaluation of the impact of applying this interpretation as of April 2, 2007, which will be the effective date of the interpretation for the Company.</w:t>
      </w:r>
    </w:p>
    <w:p>
      <w:pPr>
        <w:spacing w:after="0" w:line="172" w:lineRule="exact"/>
        <w:rPr>
          <w:sz w:val="20"/>
          <w:szCs w:val="20"/>
          <w:color w:val="auto"/>
        </w:rPr>
      </w:pPr>
    </w:p>
    <w:p>
      <w:pPr>
        <w:ind w:left="520" w:right="200" w:hanging="512"/>
        <w:spacing w:after="0" w:line="259"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involved in various legal actions arising from the normal course of business. Management is of the opinion that any judgment or settlement resulting from pending or threatened litigation would not have a material adverse effect on the financial position, results of operations or cash flows of the Company.</w:t>
      </w:r>
    </w:p>
    <w:p>
      <w:pPr>
        <w:spacing w:after="0" w:line="221" w:lineRule="exact"/>
        <w:rPr>
          <w:rFonts w:ascii="Arial" w:cs="Arial" w:eastAsia="Arial" w:hAnsi="Arial"/>
          <w:sz w:val="18"/>
          <w:szCs w:val="18"/>
          <w:color w:val="auto"/>
        </w:rPr>
      </w:pPr>
    </w:p>
    <w:p>
      <w:pPr>
        <w:ind w:left="520" w:right="20"/>
        <w:spacing w:after="0" w:line="286" w:lineRule="auto"/>
        <w:rPr>
          <w:rFonts w:ascii="Arial" w:cs="Arial" w:eastAsia="Arial" w:hAnsi="Arial"/>
          <w:sz w:val="18"/>
          <w:szCs w:val="18"/>
          <w:color w:val="auto"/>
        </w:rPr>
      </w:pPr>
      <w:r>
        <w:rPr>
          <w:rFonts w:ascii="Arial" w:cs="Arial" w:eastAsia="Arial" w:hAnsi="Arial"/>
          <w:sz w:val="16"/>
          <w:szCs w:val="16"/>
          <w:color w:val="auto"/>
        </w:rPr>
        <w:t>The Company has two leases of land, and at the end of the lease term (currently 2018 if the leases are not renewed), the Company has a specified amount of time to remove the property and buildings. At the end of the specified amount of time, anything that remains on the land becomes the property of the lessor, and the lessor has the option to either maintain the property or remove the property at the Company’s expense. The Company has not been able to reasonably estimate the fair value of the asset retirement obligations, primarily due to the combination of the following factors: the leases do not expire in the near future; the Company has a history of extending the leases with the lessor and currently intends to do so at expiration of this lease period; the lessor does not have a history of terminating leases with its tenants; and because it is more likely than not that the buildings will have value at the end of the lease life and therefore, may not be removed by either the lessee or the lessor. Therefore, in accordance with SFAS No. 143, “Accounting for Asset Retirement Obligations,” and FASB Interpretation 47, “Accounting for Conditional Asset Retirement Obligations- an interpretation of FASB Statement No. 143,” the Company has not recorded an asset retirement obligation as of June 30, 2006. The Company will continue to monitor the factors surrounding the requirement to record an asset retirement obligation and will recognize the fair value of a liability in the period in which it is incurred and a reasonable estimate can be made.</w:t>
      </w:r>
    </w:p>
    <w:p>
      <w:pPr>
        <w:spacing w:after="0" w:line="208" w:lineRule="exact"/>
        <w:rPr>
          <w:rFonts w:ascii="Arial" w:cs="Arial" w:eastAsia="Arial" w:hAnsi="Arial"/>
          <w:sz w:val="18"/>
          <w:szCs w:val="18"/>
          <w:color w:val="auto"/>
        </w:rPr>
      </w:pPr>
    </w:p>
    <w:p>
      <w:pPr>
        <w:ind w:left="520" w:right="180" w:hanging="512"/>
        <w:spacing w:after="0" w:line="314" w:lineRule="auto"/>
        <w:tabs>
          <w:tab w:leader="none" w:pos="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Company has three reportable segments: Industrial, Water Treatment and Pharmaceutical. Reportable segments are defined by product and type of customer. Segments are responsible for the sales, marketing and development of their products and services. The accounting policies of the segments are the same as those described in the summary of significant accounting policies. Product costs and expenses for each segment are based on actual costs incurred along with cost allocation of shared and centralized functions. The Company evaluates performance based on profit or loss from operations before income taxes not including nonrecurring gains and losses. The segments do not have separate accounting, administration, customer service or purchasing functions. There are no intersegment sales. Sales are primarily within the United States and all assets are located within the United States.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20"/>
                <w:szCs w:val="20"/>
                <w:color w:val="auto"/>
              </w:rPr>
            </w:pPr>
            <w:r>
              <w:rPr>
                <w:rFonts w:ascii="Arial" w:cs="Arial" w:eastAsia="Arial" w:hAnsi="Arial"/>
                <w:sz w:val="14"/>
                <w:szCs w:val="14"/>
                <w:b w:val="1"/>
                <w:bCs w:val="1"/>
                <w:color w:val="auto"/>
              </w:rPr>
              <w:t>Reportable Segments</w:t>
            </w:r>
          </w:p>
        </w:tc>
        <w:tc>
          <w:tcPr>
            <w:tcW w:w="1560" w:type="dxa"/>
            <w:vAlign w:val="bottom"/>
          </w:tcPr>
          <w:p>
            <w:pPr>
              <w:spacing w:after="0"/>
              <w:rPr>
                <w:sz w:val="14"/>
                <w:szCs w:val="14"/>
                <w:color w:val="auto"/>
              </w:rPr>
            </w:pPr>
          </w:p>
        </w:tc>
        <w:tc>
          <w:tcPr>
            <w:tcW w:w="1100" w:type="dxa"/>
            <w:vAlign w:val="bottom"/>
          </w:tcPr>
          <w:p>
            <w:pPr>
              <w:jc w:val="right"/>
              <w:ind w:right="355"/>
              <w:spacing w:after="0"/>
              <w:rPr>
                <w:sz w:val="20"/>
                <w:szCs w:val="20"/>
                <w:color w:val="auto"/>
              </w:rPr>
            </w:pPr>
            <w:r>
              <w:rPr>
                <w:rFonts w:ascii="Arial" w:cs="Arial" w:eastAsia="Arial" w:hAnsi="Arial"/>
                <w:sz w:val="14"/>
                <w:szCs w:val="14"/>
                <w:b w:val="1"/>
                <w:bCs w:val="1"/>
                <w:color w:val="auto"/>
              </w:rPr>
              <w:t>Industrial</w:t>
            </w: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Water Treatment</w:t>
            </w:r>
          </w:p>
        </w:tc>
        <w:tc>
          <w:tcPr>
            <w:tcW w:w="15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Pharmaceutical</w:t>
            </w:r>
          </w:p>
        </w:tc>
        <w:tc>
          <w:tcPr>
            <w:tcW w:w="380" w:type="dxa"/>
            <w:vAlign w:val="bottom"/>
          </w:tcPr>
          <w:p>
            <w:pPr>
              <w:spacing w:after="0"/>
              <w:rPr>
                <w:sz w:val="14"/>
                <w:szCs w:val="14"/>
                <w:color w:val="auto"/>
              </w:rPr>
            </w:pPr>
          </w:p>
        </w:tc>
        <w:tc>
          <w:tcPr>
            <w:tcW w:w="1320" w:type="dxa"/>
            <w:vAlign w:val="bottom"/>
          </w:tcPr>
          <w:p>
            <w:pPr>
              <w:jc w:val="right"/>
              <w:ind w:right="735"/>
              <w:spacing w:after="0"/>
              <w:rPr>
                <w:sz w:val="20"/>
                <w:szCs w:val="20"/>
                <w:color w:val="auto"/>
              </w:rPr>
            </w:pPr>
            <w:r>
              <w:rPr>
                <w:rFonts w:ascii="Arial" w:cs="Arial" w:eastAsia="Arial" w:hAnsi="Arial"/>
                <w:sz w:val="14"/>
                <w:szCs w:val="14"/>
                <w:b w:val="1"/>
                <w:bCs w:val="1"/>
                <w:color w:val="auto"/>
              </w:rPr>
              <w:t>Total</w:t>
            </w: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Three Months Ended June 30, 2006:</w:t>
            </w:r>
          </w:p>
        </w:tc>
        <w:tc>
          <w:tcPr>
            <w:tcW w:w="1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1"/>
        </w:trPr>
        <w:tc>
          <w:tcPr>
            <w:tcW w:w="4060" w:type="dxa"/>
            <w:vAlign w:val="bottom"/>
            <w:shd w:val="clear" w:color="auto" w:fill="D6F3E8"/>
          </w:tcPr>
          <w:p>
            <w:pPr>
              <w:ind w:left="540"/>
              <w:spacing w:after="0"/>
              <w:rPr>
                <w:sz w:val="20"/>
                <w:szCs w:val="20"/>
                <w:color w:val="auto"/>
              </w:rPr>
            </w:pPr>
            <w:r>
              <w:rPr>
                <w:rFonts w:ascii="Arial" w:cs="Arial" w:eastAsia="Arial" w:hAnsi="Arial"/>
                <w:sz w:val="18"/>
                <w:szCs w:val="18"/>
                <w:color w:val="auto"/>
              </w:rPr>
              <w:t>Sales</w:t>
            </w:r>
          </w:p>
        </w:tc>
        <w:tc>
          <w:tcPr>
            <w:tcW w:w="15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6F3E8"/>
          </w:tcPr>
          <w:p>
            <w:pPr>
              <w:jc w:val="right"/>
              <w:ind w:right="135"/>
              <w:spacing w:after="0"/>
              <w:rPr>
                <w:sz w:val="20"/>
                <w:szCs w:val="20"/>
                <w:color w:val="auto"/>
              </w:rPr>
            </w:pPr>
            <w:r>
              <w:rPr>
                <w:rFonts w:ascii="Arial" w:cs="Arial" w:eastAsia="Arial" w:hAnsi="Arial"/>
                <w:sz w:val="18"/>
                <w:szCs w:val="18"/>
                <w:color w:val="auto"/>
                <w:w w:val="95"/>
              </w:rPr>
              <w:t>23,399,342</w:t>
            </w:r>
          </w:p>
        </w:tc>
        <w:tc>
          <w:tcPr>
            <w:tcW w:w="400" w:type="dxa"/>
            <w:vAlign w:val="bottom"/>
            <w:shd w:val="clear" w:color="auto" w:fill="D6F3E8"/>
          </w:tcPr>
          <w:p>
            <w:pPr>
              <w:ind w:lef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w w:val="93"/>
              </w:rPr>
              <w:t>15,668,717</w:t>
            </w:r>
          </w:p>
        </w:tc>
        <w:tc>
          <w:tcPr>
            <w:tcW w:w="42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2,392,604</w:t>
            </w:r>
          </w:p>
        </w:tc>
        <w:tc>
          <w:tcPr>
            <w:tcW w:w="38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D6F3E8"/>
          </w:tcPr>
          <w:p>
            <w:pPr>
              <w:jc w:val="right"/>
              <w:ind w:right="355"/>
              <w:spacing w:after="0"/>
              <w:rPr>
                <w:sz w:val="20"/>
                <w:szCs w:val="20"/>
                <w:color w:val="auto"/>
              </w:rPr>
            </w:pPr>
            <w:r>
              <w:rPr>
                <w:rFonts w:ascii="Arial" w:cs="Arial" w:eastAsia="Arial" w:hAnsi="Arial"/>
                <w:sz w:val="18"/>
                <w:szCs w:val="18"/>
                <w:color w:val="auto"/>
                <w:w w:val="95"/>
              </w:rPr>
              <w:t>41,460,663</w:t>
            </w:r>
          </w:p>
        </w:tc>
      </w:tr>
      <w:tr>
        <w:trPr>
          <w:trHeight w:val="229"/>
        </w:trPr>
        <w:tc>
          <w:tcPr>
            <w:tcW w:w="4060" w:type="dxa"/>
            <w:vAlign w:val="bottom"/>
          </w:tcPr>
          <w:p>
            <w:pPr>
              <w:ind w:left="540"/>
              <w:spacing w:after="0"/>
              <w:rPr>
                <w:sz w:val="20"/>
                <w:szCs w:val="20"/>
                <w:color w:val="auto"/>
              </w:rPr>
            </w:pPr>
            <w:r>
              <w:rPr>
                <w:rFonts w:ascii="Arial" w:cs="Arial" w:eastAsia="Arial" w:hAnsi="Arial"/>
                <w:sz w:val="18"/>
                <w:szCs w:val="18"/>
                <w:color w:val="auto"/>
              </w:rPr>
              <w:t>Cost of sales</w:t>
            </w:r>
          </w:p>
        </w:tc>
        <w:tc>
          <w:tcPr>
            <w:tcW w:w="156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w w:val="95"/>
              </w:rPr>
              <w:t>18,296,038</w:t>
            </w:r>
          </w:p>
        </w:tc>
        <w:tc>
          <w:tcPr>
            <w:tcW w:w="40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w w:val="93"/>
              </w:rPr>
              <w:t>10,670,697</w:t>
            </w:r>
          </w:p>
        </w:tc>
        <w:tc>
          <w:tcPr>
            <w:tcW w:w="420" w:type="dxa"/>
            <w:vAlign w:val="bottom"/>
          </w:tcPr>
          <w:p>
            <w:pPr>
              <w:spacing w:after="0"/>
              <w:rPr>
                <w:sz w:val="19"/>
                <w:szCs w:val="19"/>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1,670,843</w:t>
            </w:r>
          </w:p>
        </w:tc>
        <w:tc>
          <w:tcPr>
            <w:tcW w:w="380" w:type="dxa"/>
            <w:vAlign w:val="bottom"/>
          </w:tcPr>
          <w:p>
            <w:pPr>
              <w:spacing w:after="0"/>
              <w:rPr>
                <w:sz w:val="19"/>
                <w:szCs w:val="19"/>
                <w:color w:val="auto"/>
              </w:rPr>
            </w:pPr>
          </w:p>
        </w:tc>
        <w:tc>
          <w:tcPr>
            <w:tcW w:w="1320" w:type="dxa"/>
            <w:vAlign w:val="bottom"/>
          </w:tcPr>
          <w:p>
            <w:pPr>
              <w:jc w:val="right"/>
              <w:ind w:right="355"/>
              <w:spacing w:after="0"/>
              <w:rPr>
                <w:sz w:val="20"/>
                <w:szCs w:val="20"/>
                <w:color w:val="auto"/>
              </w:rPr>
            </w:pPr>
            <w:r>
              <w:rPr>
                <w:rFonts w:ascii="Arial" w:cs="Arial" w:eastAsia="Arial" w:hAnsi="Arial"/>
                <w:sz w:val="18"/>
                <w:szCs w:val="18"/>
                <w:color w:val="auto"/>
                <w:w w:val="95"/>
              </w:rPr>
              <w:t>30,637,578</w:t>
            </w:r>
          </w:p>
        </w:tc>
      </w:tr>
      <w:tr>
        <w:trPr>
          <w:trHeight w:val="231"/>
        </w:trPr>
        <w:tc>
          <w:tcPr>
            <w:tcW w:w="4060" w:type="dxa"/>
            <w:vAlign w:val="bottom"/>
            <w:shd w:val="clear" w:color="auto" w:fill="D6F3E8"/>
          </w:tcPr>
          <w:p>
            <w:pPr>
              <w:ind w:left="540"/>
              <w:spacing w:after="0"/>
              <w:rPr>
                <w:sz w:val="20"/>
                <w:szCs w:val="20"/>
                <w:color w:val="auto"/>
              </w:rPr>
            </w:pPr>
            <w:r>
              <w:rPr>
                <w:rFonts w:ascii="Arial" w:cs="Arial" w:eastAsia="Arial" w:hAnsi="Arial"/>
                <w:sz w:val="18"/>
                <w:szCs w:val="18"/>
                <w:color w:val="auto"/>
              </w:rPr>
              <w:t>Income from operations</w:t>
            </w:r>
          </w:p>
        </w:tc>
        <w:tc>
          <w:tcPr>
            <w:tcW w:w="15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6F3E8"/>
          </w:tcPr>
          <w:p>
            <w:pPr>
              <w:jc w:val="right"/>
              <w:ind w:right="135"/>
              <w:spacing w:after="0"/>
              <w:rPr>
                <w:sz w:val="20"/>
                <w:szCs w:val="20"/>
                <w:color w:val="auto"/>
              </w:rPr>
            </w:pPr>
            <w:r>
              <w:rPr>
                <w:rFonts w:ascii="Arial" w:cs="Arial" w:eastAsia="Arial" w:hAnsi="Arial"/>
                <w:sz w:val="18"/>
                <w:szCs w:val="18"/>
                <w:color w:val="auto"/>
              </w:rPr>
              <w:t>1,288,754</w:t>
            </w:r>
          </w:p>
        </w:tc>
        <w:tc>
          <w:tcPr>
            <w:tcW w:w="400" w:type="dxa"/>
            <w:vAlign w:val="bottom"/>
            <w:shd w:val="clear" w:color="auto" w:fill="D6F3E8"/>
          </w:tcPr>
          <w:p>
            <w:pPr>
              <w:ind w:lef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2,872,200</w:t>
            </w:r>
          </w:p>
        </w:tc>
        <w:tc>
          <w:tcPr>
            <w:tcW w:w="42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25,266</w:t>
            </w:r>
          </w:p>
        </w:tc>
        <w:tc>
          <w:tcPr>
            <w:tcW w:w="38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D6F3E8"/>
          </w:tcPr>
          <w:p>
            <w:pPr>
              <w:jc w:val="right"/>
              <w:ind w:right="355"/>
              <w:spacing w:after="0"/>
              <w:rPr>
                <w:sz w:val="20"/>
                <w:szCs w:val="20"/>
                <w:color w:val="auto"/>
              </w:rPr>
            </w:pPr>
            <w:r>
              <w:rPr>
                <w:rFonts w:ascii="Arial" w:cs="Arial" w:eastAsia="Arial" w:hAnsi="Arial"/>
                <w:sz w:val="18"/>
                <w:szCs w:val="18"/>
                <w:color w:val="auto"/>
              </w:rPr>
              <w:t>4,186,220</w:t>
            </w:r>
          </w:p>
        </w:tc>
      </w:tr>
      <w:tr>
        <w:trPr>
          <w:trHeight w:val="356"/>
        </w:trPr>
        <w:tc>
          <w:tcPr>
            <w:tcW w:w="4060" w:type="dxa"/>
            <w:vAlign w:val="bottom"/>
          </w:tcPr>
          <w:p>
            <w:pPr>
              <w:spacing w:after="0"/>
              <w:rPr>
                <w:sz w:val="20"/>
                <w:szCs w:val="20"/>
                <w:color w:val="auto"/>
              </w:rPr>
            </w:pPr>
            <w:r>
              <w:rPr>
                <w:rFonts w:ascii="Arial" w:cs="Arial" w:eastAsia="Arial" w:hAnsi="Arial"/>
                <w:sz w:val="18"/>
                <w:szCs w:val="18"/>
                <w:color w:val="auto"/>
              </w:rPr>
              <w:t>Three Months Ended June 30, 2005:</w:t>
            </w: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7"/>
        </w:trPr>
        <w:tc>
          <w:tcPr>
            <w:tcW w:w="4060" w:type="dxa"/>
            <w:vAlign w:val="bottom"/>
          </w:tcPr>
          <w:p>
            <w:pPr>
              <w:ind w:left="540"/>
              <w:spacing w:after="0"/>
              <w:rPr>
                <w:sz w:val="20"/>
                <w:szCs w:val="20"/>
                <w:color w:val="auto"/>
              </w:rPr>
            </w:pPr>
            <w:r>
              <w:rPr>
                <w:rFonts w:ascii="Arial" w:cs="Arial" w:eastAsia="Arial" w:hAnsi="Arial"/>
                <w:sz w:val="18"/>
                <w:szCs w:val="18"/>
                <w:color w:val="auto"/>
              </w:rPr>
              <w:t>Sales</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5"/>
              <w:spacing w:after="0"/>
              <w:rPr>
                <w:sz w:val="20"/>
                <w:szCs w:val="20"/>
                <w:color w:val="auto"/>
              </w:rPr>
            </w:pPr>
            <w:r>
              <w:rPr>
                <w:rFonts w:ascii="Arial" w:cs="Arial" w:eastAsia="Arial" w:hAnsi="Arial"/>
                <w:sz w:val="18"/>
                <w:szCs w:val="18"/>
                <w:color w:val="auto"/>
                <w:w w:val="95"/>
              </w:rPr>
              <w:t>19,856,322</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w w:val="93"/>
              </w:rPr>
              <w:t>13,475,507</w:t>
            </w:r>
          </w:p>
        </w:tc>
        <w:tc>
          <w:tcPr>
            <w:tcW w:w="4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2,522,698</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5"/>
              <w:spacing w:after="0"/>
              <w:rPr>
                <w:sz w:val="20"/>
                <w:szCs w:val="20"/>
                <w:color w:val="auto"/>
              </w:rPr>
            </w:pPr>
            <w:r>
              <w:rPr>
                <w:rFonts w:ascii="Arial" w:cs="Arial" w:eastAsia="Arial" w:hAnsi="Arial"/>
                <w:sz w:val="18"/>
                <w:szCs w:val="18"/>
                <w:color w:val="auto"/>
                <w:w w:val="95"/>
              </w:rPr>
              <w:t>35,854,527</w:t>
            </w:r>
          </w:p>
        </w:tc>
      </w:tr>
      <w:tr>
        <w:trPr>
          <w:trHeight w:val="231"/>
        </w:trPr>
        <w:tc>
          <w:tcPr>
            <w:tcW w:w="4060" w:type="dxa"/>
            <w:vAlign w:val="bottom"/>
            <w:shd w:val="clear" w:color="auto" w:fill="D6F3E8"/>
          </w:tcPr>
          <w:p>
            <w:pPr>
              <w:ind w:left="540"/>
              <w:spacing w:after="0"/>
              <w:rPr>
                <w:sz w:val="20"/>
                <w:szCs w:val="20"/>
                <w:color w:val="auto"/>
              </w:rPr>
            </w:pPr>
            <w:r>
              <w:rPr>
                <w:rFonts w:ascii="Arial" w:cs="Arial" w:eastAsia="Arial" w:hAnsi="Arial"/>
                <w:sz w:val="18"/>
                <w:szCs w:val="18"/>
                <w:color w:val="auto"/>
              </w:rPr>
              <w:t>Cost of sales</w:t>
            </w:r>
          </w:p>
        </w:tc>
        <w:tc>
          <w:tcPr>
            <w:tcW w:w="1560" w:type="dxa"/>
            <w:vAlign w:val="bottom"/>
            <w:shd w:val="clear" w:color="auto" w:fill="D6F3E8"/>
          </w:tcPr>
          <w:p>
            <w:pPr>
              <w:spacing w:after="0"/>
              <w:rPr>
                <w:sz w:val="20"/>
                <w:szCs w:val="20"/>
                <w:color w:val="auto"/>
              </w:rPr>
            </w:pPr>
          </w:p>
        </w:tc>
        <w:tc>
          <w:tcPr>
            <w:tcW w:w="1100" w:type="dxa"/>
            <w:vAlign w:val="bottom"/>
            <w:shd w:val="clear" w:color="auto" w:fill="D6F3E8"/>
          </w:tcPr>
          <w:p>
            <w:pPr>
              <w:jc w:val="right"/>
              <w:ind w:right="135"/>
              <w:spacing w:after="0"/>
              <w:rPr>
                <w:sz w:val="20"/>
                <w:szCs w:val="20"/>
                <w:color w:val="auto"/>
              </w:rPr>
            </w:pPr>
            <w:r>
              <w:rPr>
                <w:rFonts w:ascii="Arial" w:cs="Arial" w:eastAsia="Arial" w:hAnsi="Arial"/>
                <w:sz w:val="18"/>
                <w:szCs w:val="18"/>
                <w:color w:val="auto"/>
                <w:w w:val="95"/>
              </w:rPr>
              <w:t>15,394,445</w:t>
            </w:r>
          </w:p>
        </w:tc>
        <w:tc>
          <w:tcPr>
            <w:tcW w:w="400" w:type="dxa"/>
            <w:vAlign w:val="bottom"/>
            <w:shd w:val="clear" w:color="auto" w:fill="D6F3E8"/>
          </w:tcPr>
          <w:p>
            <w:pPr>
              <w:spacing w:after="0"/>
              <w:rPr>
                <w:sz w:val="20"/>
                <w:szCs w:val="20"/>
                <w:color w:val="auto"/>
              </w:rPr>
            </w:pPr>
          </w:p>
        </w:tc>
        <w:tc>
          <w:tcPr>
            <w:tcW w:w="110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8,824,520</w:t>
            </w:r>
          </w:p>
        </w:tc>
        <w:tc>
          <w:tcPr>
            <w:tcW w:w="420" w:type="dxa"/>
            <w:vAlign w:val="bottom"/>
            <w:shd w:val="clear" w:color="auto" w:fill="D6F3E8"/>
          </w:tcPr>
          <w:p>
            <w:pPr>
              <w:spacing w:after="0"/>
              <w:rPr>
                <w:sz w:val="20"/>
                <w:szCs w:val="20"/>
                <w:color w:val="auto"/>
              </w:rPr>
            </w:pPr>
          </w:p>
        </w:tc>
        <w:tc>
          <w:tcPr>
            <w:tcW w:w="108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1,749,904</w:t>
            </w:r>
          </w:p>
        </w:tc>
        <w:tc>
          <w:tcPr>
            <w:tcW w:w="380" w:type="dxa"/>
            <w:vAlign w:val="bottom"/>
            <w:shd w:val="clear" w:color="auto" w:fill="D6F3E8"/>
          </w:tcPr>
          <w:p>
            <w:pPr>
              <w:spacing w:after="0"/>
              <w:rPr>
                <w:sz w:val="20"/>
                <w:szCs w:val="20"/>
                <w:color w:val="auto"/>
              </w:rPr>
            </w:pPr>
          </w:p>
        </w:tc>
        <w:tc>
          <w:tcPr>
            <w:tcW w:w="1320" w:type="dxa"/>
            <w:vAlign w:val="bottom"/>
            <w:shd w:val="clear" w:color="auto" w:fill="D6F3E8"/>
          </w:tcPr>
          <w:p>
            <w:pPr>
              <w:jc w:val="right"/>
              <w:ind w:right="355"/>
              <w:spacing w:after="0"/>
              <w:rPr>
                <w:sz w:val="20"/>
                <w:szCs w:val="20"/>
                <w:color w:val="auto"/>
              </w:rPr>
            </w:pPr>
            <w:r>
              <w:rPr>
                <w:rFonts w:ascii="Arial" w:cs="Arial" w:eastAsia="Arial" w:hAnsi="Arial"/>
                <w:sz w:val="18"/>
                <w:szCs w:val="18"/>
                <w:color w:val="auto"/>
                <w:w w:val="95"/>
              </w:rPr>
              <w:t>25,968,869</w:t>
            </w:r>
          </w:p>
        </w:tc>
      </w:tr>
      <w:tr>
        <w:trPr>
          <w:trHeight w:val="228"/>
        </w:trPr>
        <w:tc>
          <w:tcPr>
            <w:tcW w:w="4060" w:type="dxa"/>
            <w:vAlign w:val="bottom"/>
          </w:tcPr>
          <w:p>
            <w:pPr>
              <w:ind w:left="540"/>
              <w:spacing w:after="0"/>
              <w:rPr>
                <w:sz w:val="20"/>
                <w:szCs w:val="20"/>
                <w:color w:val="auto"/>
              </w:rPr>
            </w:pPr>
            <w:r>
              <w:rPr>
                <w:rFonts w:ascii="Arial" w:cs="Arial" w:eastAsia="Arial" w:hAnsi="Arial"/>
                <w:sz w:val="18"/>
                <w:szCs w:val="18"/>
                <w:color w:val="auto"/>
              </w:rPr>
              <w:t>Income/(loss) from operations</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1,282,370</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2,770,237</w:t>
            </w:r>
          </w:p>
        </w:tc>
        <w:tc>
          <w:tcPr>
            <w:tcW w:w="4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(65,345)</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5"/>
              <w:spacing w:after="0"/>
              <w:rPr>
                <w:sz w:val="20"/>
                <w:szCs w:val="20"/>
                <w:color w:val="auto"/>
              </w:rPr>
            </w:pPr>
            <w:r>
              <w:rPr>
                <w:rFonts w:ascii="Arial" w:cs="Arial" w:eastAsia="Arial" w:hAnsi="Arial"/>
                <w:sz w:val="18"/>
                <w:szCs w:val="18"/>
                <w:color w:val="auto"/>
              </w:rPr>
              <w:t>3,987,262</w:t>
            </w:r>
          </w:p>
        </w:tc>
      </w:tr>
    </w:tbl>
    <w:p>
      <w:pPr>
        <w:sectPr>
          <w:pgSz w:w="11900" w:h="16838" w:orient="portrait"/>
          <w:cols w:equalWidth="0" w:num="1">
            <w:col w:w="11420"/>
          </w:cols>
          <w:pgMar w:left="240" w:top="401"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12" w:lineRule="exact"/>
        <w:rPr>
          <w:sz w:val="20"/>
          <w:szCs w:val="20"/>
          <w:color w:val="auto"/>
        </w:rPr>
      </w:pPr>
    </w:p>
    <w:p>
      <w:pPr>
        <w:ind w:left="900" w:right="1200" w:hanging="890"/>
        <w:spacing w:after="0" w:line="251" w:lineRule="auto"/>
        <w:rPr>
          <w:sz w:val="20"/>
          <w:szCs w:val="20"/>
          <w:color w:val="auto"/>
        </w:rPr>
      </w:pPr>
      <w:r>
        <w:rPr>
          <w:rFonts w:ascii="Arial" w:cs="Arial" w:eastAsia="Arial" w:hAnsi="Arial"/>
          <w:sz w:val="22"/>
          <w:szCs w:val="22"/>
          <w:color w:val="auto"/>
        </w:rPr>
        <w:t>ITEM 2. 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information contained in this Quarterly Report on Form 10-Q for the period ended June 30, 2006 contains statements that we believe to be “forward-looking statements” within the meaning of the Private Securities Litigation Reform Act of 1995, and within the meaning of Section 27A of the Securities Act of 1933, as amended, and Section 21E of the Securities Exchange Act of 1934, as amended. Forward-looking statements give our current expectations or forecasts of future events. Forward-looking statements generally can be identified by the use of forward-looking terminology such as “may,” “will,” “expect,” “intend,” “estimate,” “anticipate,” “believe,” “project,” or “continue,” or the negative thereof or similar words. From time to time, we also may provide oral or written forward-looking statements in other materials we release to the public. Any or all of our forward-looking statements in this Quarterly Report on Form 10-Q and in any public statements we make could be materially different from actual results. They can be affected by assumptions we might make or by known or unknown risks or uncertainties, including those described in Item 1A “Risk Factors” and other factors disclosed throughout this Quarterly Report on Form 10-Q and the Company’s other filings with the Securities and Exchange Commission. Consequently, we cannot guarantee any forward-looking statements and undertake no obligation to revise any forward-looking statements in order to reflect events or circumstances that may arise after the date of this Quarterly Report on Form 10-Q. Investors are cautioned not to place undue reliance on any forward-looking statements. Investors should also understand that it is not possible to predict or identify all factors that might affect actual results and should not consider these factors to be a complete statement of all potential risks and uncertainties. We assume no obligation and disclaim any duty to update the forward-looking statements in this Quarterly Report on Form 10-Q or any other public statement.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 (in thousands, except percentages):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3"/>
          </w:tcPr>
          <w:p>
            <w:pPr>
              <w:ind w:left="220"/>
              <w:spacing w:after="0"/>
              <w:rPr>
                <w:sz w:val="20"/>
                <w:szCs w:val="20"/>
                <w:color w:val="auto"/>
              </w:rPr>
            </w:pPr>
            <w:r>
              <w:rPr>
                <w:rFonts w:ascii="Arial" w:cs="Arial" w:eastAsia="Arial" w:hAnsi="Arial"/>
                <w:sz w:val="14"/>
                <w:szCs w:val="14"/>
                <w:b w:val="1"/>
                <w:bCs w:val="1"/>
                <w:color w:val="auto"/>
                <w:w w:val="87"/>
              </w:rPr>
              <w:t>Three months ended June 30,</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3"/>
          </w:tcPr>
          <w:p>
            <w:pPr>
              <w:jc w:val="center"/>
              <w:ind w:left="56"/>
              <w:spacing w:after="0"/>
              <w:rPr>
                <w:sz w:val="20"/>
                <w:szCs w:val="20"/>
                <w:color w:val="auto"/>
              </w:rPr>
            </w:pPr>
            <w:r>
              <w:rPr>
                <w:rFonts w:ascii="Arial" w:cs="Arial" w:eastAsia="Arial" w:hAnsi="Arial"/>
                <w:sz w:val="14"/>
                <w:szCs w:val="14"/>
                <w:b w:val="1"/>
                <w:bCs w:val="1"/>
                <w:color w:val="auto"/>
                <w:w w:val="86"/>
              </w:rPr>
              <w:t>Three months ended June 30,</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2006</w:t>
            </w: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2005</w:t>
            </w: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32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1480" w:type="dxa"/>
            <w:vAlign w:val="bottom"/>
            <w:gridSpan w:val="2"/>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41,461</w:t>
            </w:r>
          </w:p>
        </w:tc>
        <w:tc>
          <w:tcPr>
            <w:tcW w:w="680" w:type="dxa"/>
            <w:vAlign w:val="bottom"/>
            <w:shd w:val="clear" w:color="auto" w:fill="D6F3E8"/>
          </w:tcPr>
          <w:p>
            <w:pPr>
              <w:spacing w:after="0"/>
              <w:rPr>
                <w:sz w:val="22"/>
                <w:szCs w:val="22"/>
                <w:color w:val="auto"/>
              </w:rPr>
            </w:pPr>
          </w:p>
        </w:tc>
        <w:tc>
          <w:tcPr>
            <w:tcW w:w="7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4"/>
              </w:rPr>
              <w:t>100.0%</w:t>
            </w:r>
          </w:p>
        </w:tc>
        <w:tc>
          <w:tcPr>
            <w:tcW w:w="4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35,855</w:t>
            </w:r>
          </w:p>
        </w:tc>
        <w:tc>
          <w:tcPr>
            <w:tcW w:w="680" w:type="dxa"/>
            <w:vAlign w:val="bottom"/>
            <w:shd w:val="clear" w:color="auto" w:fill="D6F3E8"/>
          </w:tcPr>
          <w:p>
            <w:pPr>
              <w:spacing w:after="0"/>
              <w:rPr>
                <w:sz w:val="22"/>
                <w:szCs w:val="22"/>
                <w:color w:val="auto"/>
              </w:rPr>
            </w:pPr>
          </w:p>
        </w:tc>
        <w:tc>
          <w:tcPr>
            <w:tcW w:w="6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56"/>
        </w:trPr>
        <w:tc>
          <w:tcPr>
            <w:tcW w:w="4320" w:type="dxa"/>
            <w:vAlign w:val="bottom"/>
          </w:tcPr>
          <w:p>
            <w:pPr>
              <w:spacing w:after="0"/>
              <w:rPr>
                <w:sz w:val="20"/>
                <w:szCs w:val="20"/>
                <w:color w:val="auto"/>
              </w:rPr>
            </w:pPr>
            <w:r>
              <w:rPr>
                <w:rFonts w:ascii="Arial" w:cs="Arial" w:eastAsia="Arial" w:hAnsi="Arial"/>
                <w:sz w:val="18"/>
                <w:szCs w:val="18"/>
                <w:color w:val="auto"/>
              </w:rPr>
              <w:t>Cost of sales</w:t>
            </w: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30,638</w:t>
            </w:r>
          </w:p>
        </w:tc>
        <w:tc>
          <w:tcPr>
            <w:tcW w:w="6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73.9</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25,969</w:t>
            </w:r>
          </w:p>
        </w:tc>
        <w:tc>
          <w:tcPr>
            <w:tcW w:w="68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Gross margin</w:t>
            </w:r>
          </w:p>
        </w:tc>
        <w:tc>
          <w:tcPr>
            <w:tcW w:w="1180" w:type="dxa"/>
            <w:vAlign w:val="bottom"/>
            <w:shd w:val="clear" w:color="auto" w:fill="D6F3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20" w:type="dxa"/>
            <w:vAlign w:val="bottom"/>
            <w:vMerge w:val="continue"/>
            <w:shd w:val="clear" w:color="auto" w:fill="D6F3E8"/>
          </w:tcPr>
          <w:p>
            <w:pPr>
              <w:spacing w:after="0"/>
              <w:rPr>
                <w:sz w:val="21"/>
                <w:szCs w:val="21"/>
                <w:color w:val="auto"/>
              </w:rPr>
            </w:pPr>
          </w:p>
        </w:tc>
        <w:tc>
          <w:tcPr>
            <w:tcW w:w="1180" w:type="dxa"/>
            <w:vAlign w:val="bottom"/>
            <w:shd w:val="clear" w:color="auto" w:fill="D6F3E8"/>
          </w:tcPr>
          <w:p>
            <w:pPr>
              <w:spacing w:after="0"/>
              <w:rPr>
                <w:sz w:val="21"/>
                <w:szCs w:val="21"/>
                <w:color w:val="auto"/>
              </w:rPr>
            </w:pPr>
          </w:p>
        </w:tc>
        <w:tc>
          <w:tcPr>
            <w:tcW w:w="300" w:type="dxa"/>
            <w:vAlign w:val="bottom"/>
            <w:shd w:val="clear" w:color="auto" w:fill="D6F3E8"/>
          </w:tcPr>
          <w:p>
            <w:pPr>
              <w:spacing w:after="0"/>
              <w:rPr>
                <w:sz w:val="21"/>
                <w:szCs w:val="21"/>
                <w:color w:val="auto"/>
              </w:rPr>
            </w:pPr>
          </w:p>
        </w:tc>
        <w:tc>
          <w:tcPr>
            <w:tcW w:w="12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10,823</w:t>
            </w:r>
          </w:p>
        </w:tc>
        <w:tc>
          <w:tcPr>
            <w:tcW w:w="680" w:type="dxa"/>
            <w:vAlign w:val="bottom"/>
            <w:shd w:val="clear" w:color="auto" w:fill="D6F3E8"/>
          </w:tcPr>
          <w:p>
            <w:pPr>
              <w:spacing w:after="0"/>
              <w:rPr>
                <w:sz w:val="21"/>
                <w:szCs w:val="21"/>
                <w:color w:val="auto"/>
              </w:rPr>
            </w:pPr>
          </w:p>
        </w:tc>
        <w:tc>
          <w:tcPr>
            <w:tcW w:w="4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26.1</w:t>
            </w:r>
          </w:p>
        </w:tc>
        <w:tc>
          <w:tcPr>
            <w:tcW w:w="24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300" w:type="dxa"/>
            <w:vAlign w:val="bottom"/>
            <w:shd w:val="clear" w:color="auto" w:fill="D6F3E8"/>
          </w:tcPr>
          <w:p>
            <w:pPr>
              <w:spacing w:after="0"/>
              <w:rPr>
                <w:sz w:val="21"/>
                <w:szCs w:val="21"/>
                <w:color w:val="auto"/>
              </w:rPr>
            </w:pPr>
          </w:p>
        </w:tc>
        <w:tc>
          <w:tcPr>
            <w:tcW w:w="12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9,886</w:t>
            </w:r>
          </w:p>
        </w:tc>
        <w:tc>
          <w:tcPr>
            <w:tcW w:w="680" w:type="dxa"/>
            <w:vAlign w:val="bottom"/>
            <w:shd w:val="clear" w:color="auto" w:fill="D6F3E8"/>
          </w:tcPr>
          <w:p>
            <w:pPr>
              <w:spacing w:after="0"/>
              <w:rPr>
                <w:sz w:val="21"/>
                <w:szCs w:val="21"/>
                <w:color w:val="auto"/>
              </w:rPr>
            </w:pPr>
          </w:p>
        </w:tc>
        <w:tc>
          <w:tcPr>
            <w:tcW w:w="6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56"/>
        </w:trPr>
        <w:tc>
          <w:tcPr>
            <w:tcW w:w="43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6,637</w:t>
            </w:r>
          </w:p>
        </w:tc>
        <w:tc>
          <w:tcPr>
            <w:tcW w:w="6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5,898</w:t>
            </w:r>
          </w:p>
        </w:tc>
        <w:tc>
          <w:tcPr>
            <w:tcW w:w="68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1180" w:type="dxa"/>
            <w:vAlign w:val="bottom"/>
            <w:shd w:val="clear" w:color="auto" w:fill="D6F3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20" w:type="dxa"/>
            <w:vAlign w:val="bottom"/>
            <w:vMerge w:val="continue"/>
            <w:shd w:val="clear" w:color="auto" w:fill="D6F3E8"/>
          </w:tcPr>
          <w:p>
            <w:pPr>
              <w:spacing w:after="0"/>
              <w:rPr>
                <w:sz w:val="21"/>
                <w:szCs w:val="21"/>
                <w:color w:val="auto"/>
              </w:rPr>
            </w:pPr>
          </w:p>
        </w:tc>
        <w:tc>
          <w:tcPr>
            <w:tcW w:w="1180" w:type="dxa"/>
            <w:vAlign w:val="bottom"/>
            <w:shd w:val="clear" w:color="auto" w:fill="D6F3E8"/>
          </w:tcPr>
          <w:p>
            <w:pPr>
              <w:spacing w:after="0"/>
              <w:rPr>
                <w:sz w:val="21"/>
                <w:szCs w:val="21"/>
                <w:color w:val="auto"/>
              </w:rPr>
            </w:pPr>
          </w:p>
        </w:tc>
        <w:tc>
          <w:tcPr>
            <w:tcW w:w="300" w:type="dxa"/>
            <w:vAlign w:val="bottom"/>
            <w:shd w:val="clear" w:color="auto" w:fill="D6F3E8"/>
          </w:tcPr>
          <w:p>
            <w:pPr>
              <w:spacing w:after="0"/>
              <w:rPr>
                <w:sz w:val="21"/>
                <w:szCs w:val="21"/>
                <w:color w:val="auto"/>
              </w:rPr>
            </w:pPr>
          </w:p>
        </w:tc>
        <w:tc>
          <w:tcPr>
            <w:tcW w:w="12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4,186</w:t>
            </w:r>
          </w:p>
        </w:tc>
        <w:tc>
          <w:tcPr>
            <w:tcW w:w="680" w:type="dxa"/>
            <w:vAlign w:val="bottom"/>
            <w:shd w:val="clear" w:color="auto" w:fill="D6F3E8"/>
          </w:tcPr>
          <w:p>
            <w:pPr>
              <w:spacing w:after="0"/>
              <w:rPr>
                <w:sz w:val="21"/>
                <w:szCs w:val="21"/>
                <w:color w:val="auto"/>
              </w:rPr>
            </w:pPr>
          </w:p>
        </w:tc>
        <w:tc>
          <w:tcPr>
            <w:tcW w:w="4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300" w:type="dxa"/>
            <w:vAlign w:val="bottom"/>
            <w:shd w:val="clear" w:color="auto" w:fill="D6F3E8"/>
          </w:tcPr>
          <w:p>
            <w:pPr>
              <w:spacing w:after="0"/>
              <w:rPr>
                <w:sz w:val="21"/>
                <w:szCs w:val="21"/>
                <w:color w:val="auto"/>
              </w:rPr>
            </w:pPr>
          </w:p>
        </w:tc>
        <w:tc>
          <w:tcPr>
            <w:tcW w:w="12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3,987</w:t>
            </w:r>
          </w:p>
        </w:tc>
        <w:tc>
          <w:tcPr>
            <w:tcW w:w="680" w:type="dxa"/>
            <w:vAlign w:val="bottom"/>
            <w:shd w:val="clear" w:color="auto" w:fill="D6F3E8"/>
          </w:tcPr>
          <w:p>
            <w:pPr>
              <w:spacing w:after="0"/>
              <w:rPr>
                <w:sz w:val="21"/>
                <w:szCs w:val="21"/>
                <w:color w:val="auto"/>
              </w:rPr>
            </w:pPr>
          </w:p>
        </w:tc>
        <w:tc>
          <w:tcPr>
            <w:tcW w:w="6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56"/>
        </w:trPr>
        <w:tc>
          <w:tcPr>
            <w:tcW w:w="4320" w:type="dxa"/>
            <w:vAlign w:val="bottom"/>
          </w:tcPr>
          <w:p>
            <w:pPr>
              <w:spacing w:after="0"/>
              <w:rPr>
                <w:sz w:val="20"/>
                <w:szCs w:val="20"/>
                <w:color w:val="auto"/>
              </w:rPr>
            </w:pPr>
            <w:r>
              <w:rPr>
                <w:rFonts w:ascii="Arial" w:cs="Arial" w:eastAsia="Arial" w:hAnsi="Arial"/>
                <w:sz w:val="18"/>
                <w:szCs w:val="18"/>
                <w:color w:val="auto"/>
              </w:rPr>
              <w:t>Investment income</w:t>
            </w: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301</w:t>
            </w:r>
          </w:p>
        </w:tc>
        <w:tc>
          <w:tcPr>
            <w:tcW w:w="6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308</w:t>
            </w:r>
          </w:p>
        </w:tc>
        <w:tc>
          <w:tcPr>
            <w:tcW w:w="68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1180" w:type="dxa"/>
            <w:vAlign w:val="bottom"/>
            <w:shd w:val="clear" w:color="auto" w:fill="D6F3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20" w:type="dxa"/>
            <w:vAlign w:val="bottom"/>
            <w:vMerge w:val="continue"/>
            <w:shd w:val="clear" w:color="auto" w:fill="D6F3E8"/>
          </w:tcPr>
          <w:p>
            <w:pPr>
              <w:spacing w:after="0"/>
              <w:rPr>
                <w:sz w:val="21"/>
                <w:szCs w:val="21"/>
                <w:color w:val="auto"/>
              </w:rPr>
            </w:pPr>
          </w:p>
        </w:tc>
        <w:tc>
          <w:tcPr>
            <w:tcW w:w="1180" w:type="dxa"/>
            <w:vAlign w:val="bottom"/>
            <w:shd w:val="clear" w:color="auto" w:fill="D6F3E8"/>
          </w:tcPr>
          <w:p>
            <w:pPr>
              <w:spacing w:after="0"/>
              <w:rPr>
                <w:sz w:val="21"/>
                <w:szCs w:val="21"/>
                <w:color w:val="auto"/>
              </w:rPr>
            </w:pPr>
          </w:p>
        </w:tc>
        <w:tc>
          <w:tcPr>
            <w:tcW w:w="300" w:type="dxa"/>
            <w:vAlign w:val="bottom"/>
            <w:shd w:val="clear" w:color="auto" w:fill="D6F3E8"/>
          </w:tcPr>
          <w:p>
            <w:pPr>
              <w:spacing w:after="0"/>
              <w:rPr>
                <w:sz w:val="21"/>
                <w:szCs w:val="21"/>
                <w:color w:val="auto"/>
              </w:rPr>
            </w:pPr>
          </w:p>
        </w:tc>
        <w:tc>
          <w:tcPr>
            <w:tcW w:w="12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4,487</w:t>
            </w:r>
          </w:p>
        </w:tc>
        <w:tc>
          <w:tcPr>
            <w:tcW w:w="680" w:type="dxa"/>
            <w:vAlign w:val="bottom"/>
            <w:shd w:val="clear" w:color="auto" w:fill="D6F3E8"/>
          </w:tcPr>
          <w:p>
            <w:pPr>
              <w:spacing w:after="0"/>
              <w:rPr>
                <w:sz w:val="21"/>
                <w:szCs w:val="21"/>
                <w:color w:val="auto"/>
              </w:rPr>
            </w:pPr>
          </w:p>
        </w:tc>
        <w:tc>
          <w:tcPr>
            <w:tcW w:w="4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300" w:type="dxa"/>
            <w:vAlign w:val="bottom"/>
            <w:shd w:val="clear" w:color="auto" w:fill="D6F3E8"/>
          </w:tcPr>
          <w:p>
            <w:pPr>
              <w:spacing w:after="0"/>
              <w:rPr>
                <w:sz w:val="21"/>
                <w:szCs w:val="21"/>
                <w:color w:val="auto"/>
              </w:rPr>
            </w:pPr>
          </w:p>
        </w:tc>
        <w:tc>
          <w:tcPr>
            <w:tcW w:w="12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4,295</w:t>
            </w:r>
          </w:p>
        </w:tc>
        <w:tc>
          <w:tcPr>
            <w:tcW w:w="680" w:type="dxa"/>
            <w:vAlign w:val="bottom"/>
            <w:shd w:val="clear" w:color="auto" w:fill="D6F3E8"/>
          </w:tcPr>
          <w:p>
            <w:pPr>
              <w:spacing w:after="0"/>
              <w:rPr>
                <w:sz w:val="21"/>
                <w:szCs w:val="21"/>
                <w:color w:val="auto"/>
              </w:rPr>
            </w:pPr>
          </w:p>
        </w:tc>
        <w:tc>
          <w:tcPr>
            <w:tcW w:w="6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56"/>
        </w:trPr>
        <w:tc>
          <w:tcPr>
            <w:tcW w:w="4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1,687</w:t>
            </w:r>
          </w:p>
        </w:tc>
        <w:tc>
          <w:tcPr>
            <w:tcW w:w="6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1,546</w:t>
            </w:r>
          </w:p>
        </w:tc>
        <w:tc>
          <w:tcPr>
            <w:tcW w:w="68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320" w:type="dxa"/>
            <w:vAlign w:val="bottom"/>
            <w:shd w:val="clear" w:color="auto" w:fill="D6F3E8"/>
          </w:tcPr>
          <w:p>
            <w:pPr>
              <w:spacing w:after="0" w:line="20" w:lineRule="exact"/>
              <w:rPr>
                <w:sz w:val="1"/>
                <w:szCs w:val="1"/>
                <w:color w:val="auto"/>
              </w:rPr>
            </w:pPr>
          </w:p>
        </w:tc>
        <w:tc>
          <w:tcPr>
            <w:tcW w:w="1180" w:type="dxa"/>
            <w:vAlign w:val="bottom"/>
            <w:shd w:val="clear" w:color="auto" w:fill="D6F3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32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D6F3E8"/>
            </w:tcBorders>
            <w:shd w:val="clear" w:color="auto" w:fill="D6F3E8"/>
          </w:tcPr>
          <w:p>
            <w:pPr>
              <w:spacing w:after="0"/>
              <w:rPr>
                <w:sz w:val="21"/>
                <w:szCs w:val="21"/>
                <w:color w:val="auto"/>
              </w:rPr>
            </w:pPr>
          </w:p>
        </w:tc>
        <w:tc>
          <w:tcPr>
            <w:tcW w:w="300" w:type="dxa"/>
            <w:vAlign w:val="bottom"/>
            <w:tcBorders>
              <w:bottom w:val="single" w:sz="8" w:color="D6F3E8"/>
            </w:tcBorders>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D6F3E8"/>
            </w:tcBorders>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2,800</w:t>
            </w:r>
          </w:p>
        </w:tc>
        <w:tc>
          <w:tcPr>
            <w:tcW w:w="680" w:type="dxa"/>
            <w:vAlign w:val="bottom"/>
            <w:tcBorders>
              <w:bottom w:val="single" w:sz="8" w:color="D6F3E8"/>
            </w:tcBorders>
            <w:shd w:val="clear" w:color="auto" w:fill="D6F3E8"/>
          </w:tcPr>
          <w:p>
            <w:pPr>
              <w:spacing w:after="0"/>
              <w:rPr>
                <w:sz w:val="21"/>
                <w:szCs w:val="21"/>
                <w:color w:val="auto"/>
              </w:rPr>
            </w:pPr>
          </w:p>
        </w:tc>
        <w:tc>
          <w:tcPr>
            <w:tcW w:w="700" w:type="dxa"/>
            <w:vAlign w:val="bottom"/>
            <w:tcBorders>
              <w:bottom w:val="single" w:sz="8" w:color="D6F3E8"/>
            </w:tcBorders>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6.8%</w:t>
            </w:r>
          </w:p>
        </w:tc>
        <w:tc>
          <w:tcPr>
            <w:tcW w:w="400" w:type="dxa"/>
            <w:vAlign w:val="bottom"/>
            <w:tcBorders>
              <w:bottom w:val="single" w:sz="8" w:color="D6F3E8"/>
            </w:tcBorders>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6F3E8"/>
            </w:tcBorders>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2,749</w:t>
            </w:r>
          </w:p>
        </w:tc>
        <w:tc>
          <w:tcPr>
            <w:tcW w:w="680" w:type="dxa"/>
            <w:vAlign w:val="bottom"/>
            <w:tcBorders>
              <w:bottom w:val="single" w:sz="8" w:color="D6F3E8"/>
            </w:tcBorders>
            <w:shd w:val="clear" w:color="auto" w:fill="D6F3E8"/>
          </w:tcPr>
          <w:p>
            <w:pPr>
              <w:spacing w:after="0"/>
              <w:rPr>
                <w:sz w:val="21"/>
                <w:szCs w:val="21"/>
                <w:color w:val="auto"/>
              </w:rPr>
            </w:pPr>
          </w:p>
        </w:tc>
        <w:tc>
          <w:tcPr>
            <w:tcW w:w="600" w:type="dxa"/>
            <w:vAlign w:val="bottom"/>
            <w:tcBorders>
              <w:bottom w:val="single" w:sz="8" w:color="D6F3E8"/>
            </w:tcBorders>
            <w:gridSpan w:val="2"/>
            <w:shd w:val="clear" w:color="auto" w:fill="D6F3E8"/>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4320" w:type="dxa"/>
            <w:vAlign w:val="bottom"/>
            <w:tcBorders>
              <w:top w:val="single" w:sz="8" w:color="D6F3E8"/>
            </w:tcBorders>
          </w:tcPr>
          <w:p>
            <w:pPr>
              <w:spacing w:after="0" w:line="20" w:lineRule="exact"/>
              <w:rPr>
                <w:sz w:val="1"/>
                <w:szCs w:val="1"/>
                <w:color w:val="auto"/>
              </w:rPr>
            </w:pPr>
          </w:p>
        </w:tc>
        <w:tc>
          <w:tcPr>
            <w:tcW w:w="1180" w:type="dxa"/>
            <w:vAlign w:val="bottom"/>
            <w:tcBorders>
              <w:top w:val="single" w:sz="8" w:color="D6F3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Sales increased $5,606,136, or 15.6%, in the three months ended June 30, 2006 as compared to the same period a year ago. Sales of bulk chemicals, including caustic soda, were approximately 33.8% of sales compared to 35.0% in the comparable period a year ago. The increase in sales was primarily driven by the Industrial and Water Treatment segments, as sales in these segments increased by $3,543,020 or 17.8% and $2,193,210 or 16.3%, respectively, in the three months ended June 30, 2006 over the comparable period last year. The increase in the Industrial segment was primarily attributable to increased sales volumes along existing product lines and selling price increases related to material cost increases in comparison to the prior year. Caustic soda volumes sold were comparable to the prior year. The increase in Water Treatment segment sales resulted from selling price increases associated with increases in material costs and an expansion of products sold to existing customers.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Gross margin, as a percentage of sales, for the three months ended June 30, 2006 was 26.1%, compared to 27.6% for the comparable period a year ago. Gross margin, as a percentage of sales, for the Water Treatment segment was 31.9% for the three months ended June 30, 2006 compared to 34.5% in the comparable period of last year. The decrease is related to product cost increases combined with competitive pressures, which limited the ability to pass on increases in product costs. Industrial segment gross margin, as a percentage of sales, was 21.8% for the three months ended June 30, 2006 compared to 22.5% in the comparable period last year. Changes in product mix and increased product costs were the primary factors for the decrease. The Company attempts to maintain relatively constant dollar margins as product costs increase or decrease. Many of the Company’s products are commodity based and therefore are subject to fluctuations, which is expected to continue in future periods. By attempting to maintain relatively stable dollar margins, the gross margin percentage will decrease when the product costs are increasing and will increase when product costs are decreasing. Gross margin, as a percentage of sales, for the Pharmaceutical segment was</w:t>
      </w:r>
    </w:p>
    <w:p>
      <w:pPr>
        <w:spacing w:after="0" w:line="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30.2% for the three months ended June 30, 2006 compared to 30.6% in the comparable period last year. The decrease is primarily related to product mix and an increase in operating costs for staffing increases to facilitate future growth.</w:t>
      </w:r>
    </w:p>
    <w:p>
      <w:pPr>
        <w:spacing w:after="0" w:line="192"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Selling, general and administrative expenses, as a percentage of sales, for the three months ended June 30, 2006 were 16.0% ($6,636,865) compared to 16.5% ($5,898,396) for the same period one year ago. The dollar increases were mainly due to consulting and contractor fees associated with the Company’s</w:t>
      </w:r>
    </w:p>
    <w:p>
      <w:pPr>
        <w:sectPr>
          <w:pgSz w:w="11900" w:h="16838" w:orient="portrait"/>
          <w:cols w:equalWidth="0" w:num="1">
            <w:col w:w="11420"/>
          </w:cols>
          <w:pgMar w:left="240" w:top="131" w:right="239" w:bottom="0" w:gutter="0" w:footer="0" w:header="0"/>
        </w:sectPr>
      </w:pPr>
    </w:p>
    <w:bookmarkStart w:id="6" w:name="page7"/>
    <w:bookmarkEnd w:id="6"/>
    <w:p>
      <w:pPr>
        <w:spacing w:after="0" w:line="5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implementation of an Enterprise Resource Planning (ERP) system. Employee compensation and benefits comprise the majority of the selling, general and administrative expenditures.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Investment income of $301,247 for the three months ended June 30, 2006 was comparable to $308,224 earned during the same period one year ago.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effective income tax rate was 37.6% for the three months ended June 30, 2006, compared to 34.9% for the fiscal year ended April 2, 2006. The increase was primarily due to a tax benefit recognized for adjustments to deferred tax estimates during the fiscal year ended April 2, 2006.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For the three-month period ended June 30, 2006, cash used in operations was $49,552 versus $212,491 for the same period one year ago. The decrease in cash used by operating activities related to changes in current assets and liabilities and an increase in net income. Historically, the Company’s cash requirements increase during the period from April thru September as caustic soda inventory levels increase as the majority of barges are received during this period. Additionally, due to the seasonality of the water treatment business, the Company’s accounts receivable balance generally increases during this period. Cash provided by investing activities increased by $1,754,076 for the three months ended June 30, 2006 compared to the same period one year ago, primarily due to a $499,772 reduction in additions to property, plant and equipment and the maturity of investments which were used to fund operations and not reinvested. Capital expenditures during the quarter ended June 30, 2006 consisted primarily of ERP-related additions and facilities improvement projects. Capital expenditures for the remainder of this fiscal year are expected to be comparable with the three previous years and they will primarily relate to facilities improvement projects and new route sales trucks.</w:t>
      </w:r>
    </w:p>
    <w:p>
      <w:pPr>
        <w:spacing w:after="0" w:line="17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Cash, cash equivalents and investments available-for-sale decreased by $2,775,877 from April 2, 2006 to $23,014,515 as of June 30, 2006 due primarily to dividends paid of $2,034,299 during the three-month period ended June 30, 2006. Cash equivalents consist of money market accounts and certificates of deposit with an original maturity of three months or less. Investments available-for-sale consists of investment contracts with high-rated, stable insurance companies; marketable securities consisting of corporate and municipal bonds; U.S. Government agency securities and a mutual fund carried at fair value. The Company’s investment objectives in order of importance are the preservation of principal, maintenance of liquidity and rate of return. The fixed income portfolio consists primarily of investment grade securities to minimize credit risk, and they generally mature within 10 years. The Company invests in a mutual fund with characteristics similar to its fixed income portfolio to enhance its investment portfolio diversification. The Company monitors the maturities of its investments to ensure that funding is available for anticipated cash needs. At June 30, 2006, $4,498,013 of available-for-sale investments were classified as non-current assets as they were determined to be temporarily impaired and have maturity dates of one year or longer. These investments were not determined to be other-than-temporarily impaired as the Company has the intent and ability to hold these investments for a period of time sufficient to allow a recovery of fair value. Expected future cash flows from operations, cash equivalents and investments included within current assets are expected to fund the Company’s short-term working capital needs.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At June 30, 2006, the Company had an investment portfolio of fixed income securities of $7,880,270, a mutual fund of $7,488,243, and $8,017,580 classified as cash and cash equivalents and variable rate securities. The fixed income securities, like all fixed income instruments, are subject to interest rate risk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or the amount ultimately realized on the investment. The value of the mutual fund, like all mutual funds, may increase or decrease due to market volatility. The Company recorded a loss of $30,595 during the three months ended June 30, 2006 due to declines in market value that were deemed other than temporary. The mutual fund held by the Company as of June 30, 2006 is a short-term bond fund that invests primarily in investment grade securities.</w:t>
      </w:r>
    </w:p>
    <w:p>
      <w:pPr>
        <w:spacing w:after="0" w:line="1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Expected future 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at June 30, 2006 puts it in a position to obtain debt financing on favorable terms.</w:t>
      </w:r>
    </w:p>
    <w:p>
      <w:pPr>
        <w:spacing w:after="0" w:line="16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significant accounting policies followed by the Company are set forth in Note 1 to the Company’s financial statements in the Company’s Annual Report on Form 10-K for the fiscal year ended April 2, 2006. The accounting policies used in preparing the Company’s interim fiscal 2007 financial statements are the same as those described in the Company’s Annual Report.</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preparing the financial statements, the Company follows accounting principles generally accepted in the United States. The preparation of these financial statements requires the Company to make estimates and judgments that affect the reported amounts of assets, liabilities, sales and expenses, and related disclosure of contingent assets and liabilities. The Company re-evaluates its estimates on an on-going basis. The Company’s estimates are based on historical experience and on various other assumptions that are believed to be reasonable under the circumstances. Actual results may differ from these estimates under different assumptions and conditions. The Company considers the following policies to involve the most judgment in the preparation of the Company’s financial statements.</w:t>
      </w:r>
    </w:p>
    <w:p>
      <w:pPr>
        <w:spacing w:after="0" w:line="77"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i w:val="1"/>
          <w:iCs w:val="1"/>
          <w:color w:val="auto"/>
        </w:rPr>
        <w:t xml:space="preserve">Revenue Recognition </w:t>
      </w:r>
      <w:r>
        <w:rPr>
          <w:rFonts w:ascii="Arial" w:cs="Arial" w:eastAsia="Arial" w:hAnsi="Arial"/>
          <w:sz w:val="15"/>
          <w:szCs w:val="15"/>
          <w:color w:val="auto"/>
        </w:rPr>
        <w:t>– The Company recognizes revenue when title passes to our customers, which occurs primarily when product has been shipped, if there is</w:t>
      </w:r>
      <w:r>
        <w:rPr>
          <w:rFonts w:ascii="Arial" w:cs="Arial" w:eastAsia="Arial" w:hAnsi="Arial"/>
          <w:sz w:val="15"/>
          <w:szCs w:val="15"/>
          <w:i w:val="1"/>
          <w:iCs w:val="1"/>
          <w:color w:val="auto"/>
        </w:rPr>
        <w:t xml:space="preserve"> </w:t>
      </w:r>
      <w:r>
        <w:rPr>
          <w:rFonts w:ascii="Arial" w:cs="Arial" w:eastAsia="Arial" w:hAnsi="Arial"/>
          <w:sz w:val="15"/>
          <w:szCs w:val="15"/>
          <w:color w:val="auto"/>
        </w:rPr>
        <w:t>evidence that the customer has agreed to purchase the products, performance has occurred, the price and terms of sale are fixed, and collection of the receivable is</w:t>
      </w:r>
    </w:p>
    <w:p>
      <w:pPr>
        <w:sectPr>
          <w:pgSz w:w="11900" w:h="16894" w:orient="portrait"/>
          <w:cols w:equalWidth="0" w:num="1">
            <w:col w:w="11420"/>
          </w:cols>
          <w:pgMar w:left="240" w:top="131" w:right="239" w:bottom="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reasonably assured.</w:t>
      </w:r>
    </w:p>
    <w:p>
      <w:pPr>
        <w:spacing w:after="0" w:line="18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Investments </w:t>
      </w:r>
      <w:r>
        <w:rPr>
          <w:rFonts w:ascii="Arial" w:cs="Arial" w:eastAsia="Arial" w:hAnsi="Arial"/>
          <w:sz w:val="16"/>
          <w:szCs w:val="16"/>
          <w:color w:val="auto"/>
        </w:rPr>
        <w:t>– Statement of Financial Accounting Standard (SFAS) No. 115, “Accounting for Certain Investments in Debt and Equity Securities,” Securities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Commission (SEC) Staff Accounting Bulletin (SAB) 59, “Accounting for Noncurrent Marketable Equity Securities,” and FASB Staff Position (FSP) FAS No. 115-1 and FAS No. 124-1, “The Meaning of Other-Than-Temporary Impairment and Its Application to Certain Investments” provide guidance on determining when an investment is other-than-temporarily impaired. Investments are reviewed quarterly for indicators of other-than-temporary impairment. This determination requires significant judgment. In making this judgment, we evaluate, among other factors, the duration and extent to which the fair value of an investment is less than its cost; the general market conditions, including factors such as industry and sector performance, rating agency actions, and our intent and ability to hold the investment. Investments with an indicator are further evaluated to determine the likelihood of a significant adverse effect on the fair value and amount of the impairment as necessary. If market, industry and/or investee conditions deteriorate, we may incur future impairments.</w:t>
      </w:r>
    </w:p>
    <w:p>
      <w:pPr>
        <w:spacing w:after="0" w:line="14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 Accounts receivable are reduced by an allowance for amounts that may become uncollectible in the future. Substantially all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reserve for doubtful accounts on a quarterly basis. There can be no assurance that our estimates will match actual amounts ultimately written off.</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cost or market. On a quarterly basis, management assesses the inventory quantities on hand to estimated future</w:t>
      </w:r>
      <w:r>
        <w:rPr>
          <w:rFonts w:ascii="Arial" w:cs="Arial" w:eastAsia="Arial" w:hAnsi="Arial"/>
          <w:sz w:val="18"/>
          <w:szCs w:val="18"/>
          <w:i w:val="1"/>
          <w:iCs w:val="1"/>
          <w:color w:val="auto"/>
        </w:rPr>
        <w:t xml:space="preserve"> </w:t>
      </w:r>
      <w:r>
        <w:rPr>
          <w:rFonts w:ascii="Arial" w:cs="Arial" w:eastAsia="Arial" w:hAnsi="Arial"/>
          <w:sz w:val="18"/>
          <w:szCs w:val="18"/>
          <w:color w:val="auto"/>
        </w:rPr>
        <w:t>usage and sales and, if necessary, writes down the value of inventory deemed obsolete or excess to market. Though management considers these reserves adequate and proper, changes in sales volumes due to unexpected economic or competitive conditions are among the factors that could materially affect the adequacy of this reserve.</w:t>
      </w:r>
    </w:p>
    <w:p>
      <w:pPr>
        <w:spacing w:after="0" w:line="15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i w:val="1"/>
          <w:iCs w:val="1"/>
          <w:color w:val="auto"/>
        </w:rPr>
        <w:t xml:space="preserve">LIFO Reserve </w:t>
      </w:r>
      <w:r>
        <w:rPr>
          <w:rFonts w:ascii="Arial" w:cs="Arial" w:eastAsia="Arial" w:hAnsi="Arial"/>
          <w:sz w:val="16"/>
          <w:szCs w:val="16"/>
          <w:color w:val="auto"/>
        </w:rPr>
        <w:t>– Inventories are primarily valued with cost being determined using the last-in, first-out (LIFO) method. We may incur significant fluctuations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our gross margins due primarily to changes in the cost of a single, large-volume component of inventory. The price of this inventory component may vary depending on the balance between supply and demand. Management reviews the LIFO reserve on a quarterly basis.</w:t>
      </w:r>
    </w:p>
    <w:p>
      <w:pPr>
        <w:spacing w:after="0" w:line="16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 We evaluate the carrying value of long-lived assets, including intangible assets subject to amortization and property, plant,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when events and changes in circumstances warrant such a review, such as prolonged industry downturn or significant reductions in projected future cash flows. The carrying value of long-lived assets is considered impaired when the projected future undiscounted cash flows from such assets are less than their carrying value. In that event, a loss is recognized equal to the amount by which the carrying value exceeds the fair value of the long-lived assets. Significant judgments and assumptions are required in the forecast of future operating results used in the preparation of the estimated future cash flows. We periodically review the appropriateness of the estimated useful lives of our long-lived assets. Changes in these estimates could have a material effect on the assessment of long-lived assets.</w:t>
      </w:r>
    </w:p>
    <w:p>
      <w:pPr>
        <w:spacing w:after="0" w:line="17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color w:val="auto"/>
        </w:rPr>
        <w:t xml:space="preserve">Self Insurance </w:t>
      </w:r>
      <w:r>
        <w:rPr>
          <w:rFonts w:ascii="Arial" w:cs="Arial" w:eastAsia="Arial" w:hAnsi="Arial"/>
          <w:sz w:val="16"/>
          <w:szCs w:val="16"/>
          <w:color w:val="auto"/>
        </w:rPr>
        <w:t>– The Company purchases insurance for employee medical benefits. Third party insurance is carried for what is believed to be the major portion of</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exposures that would exceed the Company’s self-insured retentions. The Company has established a liability for potential uninsured claims. The Company considers factors such as known outstanding claims, historical experience, and other relevant factors in setting the liability. These reserves are monitored and adjusted when warranted by changing circumstances. Though management considers these balances adequate, a substantial change in the number and/or severity of claims could result in materially different amounts for this item.</w:t>
      </w:r>
    </w:p>
    <w:p>
      <w:pPr>
        <w:spacing w:after="0" w:line="1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In the preparation of the Company’s financial statements, management calculates income taxes. This includes estimating the current tax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as well as assessing temporary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A valuation allowance is established to the extent that management believes that recovery is not likely. Reserves are also established for potential and ongoing audits of federal and state tax issues. The Company routinely monitors the potential impact of such situations and believes that it is properly reserved. Valuations related to amounts owed and tax rates could be impacted by changes to tax codes, changes in statutory tax rates, the Company’s future taxable income levels and the results of tax audits.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auto"/>
        </w:rPr>
        <w:t>ITEM 3. QUANTITATIVE AND QUALITATIVE DISCLOSURES ABOUT MARKET RISK</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At June 30, 2006, the Company had an investment portfolio of fixed income securities of $7,880,270, mutual funds of $7,488,243, insurance contracts of</w:t>
      </w:r>
    </w:p>
    <w:p>
      <w:pPr>
        <w:spacing w:after="0" w:line="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$3,478,511 and cash and cash equivalents of $4,539,069. The fixed income securities, like all fixed income instruments, are subject to interest rate risks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during the holding period. The value of the mutual fund, like all mutual funds, may increase or decrease due to market volatility. The insurance contracts are variable rate contracts that reset on a quarterly basis. A hypothetical 1% change in rates would impact investment income by approximately $35,000, based upon the amount of variable rate insurance contracts held at June 30, 2006. The Company adjusts the carrying value of its investments down if an impairment occurs that is other than temporary.</w:t>
      </w:r>
    </w:p>
    <w:p>
      <w:pPr>
        <w:spacing w:after="0" w:line="17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 is subject to the risk inherent in the cyclical nature of commodity chemical prices. However, the Company does not currently purchase forward contracts or otherwise engage in hedging activities with respect to the purchase of commodity chemicals. We generally attempt to pass changes in material prices to our customers, however, there are no assurances that we will be able to pass on the increases in the future.</w:t>
      </w:r>
    </w:p>
    <w:p>
      <w:pPr>
        <w:sectPr>
          <w:pgSz w:w="11900" w:h="16838" w:orient="portrait"/>
          <w:cols w:equalWidth="0" w:num="1">
            <w:col w:w="11420"/>
          </w:cols>
          <w:pgMar w:left="240" w:top="131" w:right="239" w:bottom="468"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468" w:gutter="0" w:footer="0" w:header="0"/>
          <w:type w:val="continuous"/>
        </w:sectPr>
      </w:pPr>
    </w:p>
    <w:bookmarkStart w:id="8" w:name="page9"/>
    <w:bookmarkEnd w:id="8"/>
    <w:p>
      <w:pPr>
        <w:spacing w:after="0" w:line="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ITEM 4. 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June 30, 2006 pursuant to Rule 13a-15(b) of the Securities Exchange Act of 1934 (the “Exchange Act”). Based upon their evaluation, our Chief Executive Officer and our Chief Financial Officer concluded that our disclosure controls and procedures were effective as of the end of the quarter ended June 30, 2006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9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During the quarter, there was no change in the Company’s internal control over financial reporting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II. OTHER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ITEM 1A. RISK FACTORS.</w:t>
      </w:r>
    </w:p>
    <w:p>
      <w:pPr>
        <w:spacing w:after="0" w:line="17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material changes to the Company’s risk factors from those disclosed in the Company’s Annual Report on Form 10-K for the fiscal year ended April 2, 2006.</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ITEM 6. EXHIBITS</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740" w:type="dxa"/>
            <w:vAlign w:val="bottom"/>
            <w:gridSpan w:val="3"/>
          </w:tcPr>
          <w:p>
            <w:pPr>
              <w:jc w:val="center"/>
              <w:ind w:right="660"/>
              <w:spacing w:after="0"/>
              <w:rPr>
                <w:sz w:val="20"/>
                <w:szCs w:val="20"/>
                <w:color w:val="auto"/>
              </w:rPr>
            </w:pPr>
            <w:r>
              <w:rPr>
                <w:rFonts w:ascii="Arial" w:cs="Arial" w:eastAsia="Arial" w:hAnsi="Arial"/>
                <w:sz w:val="18"/>
                <w:szCs w:val="18"/>
                <w:color w:val="auto"/>
                <w:w w:val="93"/>
              </w:rPr>
              <w:t>Exhibit Index</w:t>
            </w:r>
          </w:p>
        </w:tc>
        <w:tc>
          <w:tcPr>
            <w:tcW w:w="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6"/>
        </w:trPr>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Exhibit</w:t>
            </w:r>
          </w:p>
        </w:tc>
        <w:tc>
          <w:tcPr>
            <w:tcW w:w="1040" w:type="dxa"/>
            <w:vAlign w:val="bottom"/>
          </w:tcPr>
          <w:p>
            <w:pPr>
              <w:spacing w:after="0"/>
              <w:rPr>
                <w:sz w:val="24"/>
                <w:szCs w:val="24"/>
                <w:color w:val="auto"/>
              </w:rPr>
            </w:pPr>
          </w:p>
        </w:tc>
        <w:tc>
          <w:tcPr>
            <w:tcW w:w="674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Description</w:t>
            </w:r>
          </w:p>
        </w:tc>
        <w:tc>
          <w:tcPr>
            <w:tcW w:w="2480" w:type="dxa"/>
            <w:vAlign w:val="bottom"/>
            <w:gridSpan w:val="3"/>
          </w:tcPr>
          <w:p>
            <w:pPr>
              <w:jc w:val="center"/>
              <w:ind w:left="512"/>
              <w:spacing w:after="0"/>
              <w:rPr>
                <w:sz w:val="20"/>
                <w:szCs w:val="20"/>
                <w:color w:val="auto"/>
              </w:rPr>
            </w:pPr>
            <w:r>
              <w:rPr>
                <w:rFonts w:ascii="Arial" w:cs="Arial" w:eastAsia="Arial" w:hAnsi="Arial"/>
                <w:sz w:val="18"/>
                <w:szCs w:val="18"/>
                <w:color w:val="auto"/>
                <w:w w:val="93"/>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8"/>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7780" w:type="dxa"/>
            <w:vAlign w:val="bottom"/>
            <w:gridSpan w:val="4"/>
          </w:tcPr>
          <w:p>
            <w:pPr>
              <w:ind w:left="100"/>
              <w:spacing w:after="0"/>
              <w:rPr>
                <w:sz w:val="20"/>
                <w:szCs w:val="20"/>
                <w:color w:val="auto"/>
              </w:rPr>
            </w:pPr>
            <w:r>
              <w:rPr>
                <w:rFonts w:ascii="Arial" w:cs="Arial" w:eastAsia="Arial" w:hAnsi="Arial"/>
                <w:sz w:val="18"/>
                <w:szCs w:val="18"/>
                <w:color w:val="auto"/>
                <w:w w:val="95"/>
              </w:rPr>
              <w:t>Amended and Second Restated Articles of Incorporation as amended through February 27, 2001. (1)</w:t>
            </w:r>
          </w:p>
        </w:tc>
        <w:tc>
          <w:tcPr>
            <w:tcW w:w="248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Incorporated by Reference</w:t>
            </w:r>
          </w:p>
        </w:tc>
      </w:tr>
      <w:tr>
        <w:trPr>
          <w:trHeight w:val="216"/>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7780" w:type="dxa"/>
            <w:vAlign w:val="bottom"/>
            <w:gridSpan w:val="4"/>
          </w:tcPr>
          <w:p>
            <w:pPr>
              <w:ind w:left="100"/>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48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Incorporated by Reference</w:t>
            </w:r>
          </w:p>
        </w:tc>
      </w:tr>
      <w:tr>
        <w:trPr>
          <w:trHeight w:val="216"/>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7780" w:type="dxa"/>
            <w:vAlign w:val="bottom"/>
            <w:gridSpan w:val="4"/>
          </w:tcPr>
          <w:p>
            <w:pPr>
              <w:ind w:left="100"/>
              <w:spacing w:after="0"/>
              <w:rPr>
                <w:sz w:val="20"/>
                <w:szCs w:val="20"/>
                <w:color w:val="auto"/>
              </w:rPr>
            </w:pPr>
            <w:r>
              <w:rPr>
                <w:rFonts w:ascii="Arial" w:cs="Arial" w:eastAsia="Arial" w:hAnsi="Arial"/>
                <w:sz w:val="18"/>
                <w:szCs w:val="18"/>
                <w:color w:val="auto"/>
              </w:rPr>
              <w:t>Description of Consulting Arrangement with John S. McKeon. (3)</w:t>
            </w:r>
          </w:p>
        </w:tc>
        <w:tc>
          <w:tcPr>
            <w:tcW w:w="248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Incorporated by Reference</w:t>
            </w:r>
          </w:p>
        </w:tc>
      </w:tr>
      <w:tr>
        <w:trPr>
          <w:trHeight w:val="216"/>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7780" w:type="dxa"/>
            <w:vAlign w:val="bottom"/>
            <w:gridSpan w:val="4"/>
          </w:tcPr>
          <w:p>
            <w:pPr>
              <w:ind w:left="10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480" w:type="dxa"/>
            <w:vAlign w:val="bottom"/>
            <w:gridSpan w:val="3"/>
          </w:tcPr>
          <w:p>
            <w:pPr>
              <w:jc w:val="center"/>
              <w:ind w:left="532"/>
              <w:spacing w:after="0"/>
              <w:rPr>
                <w:sz w:val="20"/>
                <w:szCs w:val="20"/>
                <w:color w:val="auto"/>
              </w:rPr>
            </w:pPr>
            <w:r>
              <w:rPr>
                <w:rFonts w:ascii="Arial" w:cs="Arial" w:eastAsia="Arial" w:hAnsi="Arial"/>
                <w:sz w:val="18"/>
                <w:szCs w:val="18"/>
                <w:color w:val="auto"/>
                <w:w w:val="91"/>
              </w:rPr>
              <w:t>Filed Electronically</w:t>
            </w:r>
          </w:p>
        </w:tc>
      </w:tr>
      <w:tr>
        <w:trPr>
          <w:trHeight w:val="216"/>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7780" w:type="dxa"/>
            <w:vAlign w:val="bottom"/>
            <w:gridSpan w:val="4"/>
          </w:tcPr>
          <w:p>
            <w:pPr>
              <w:ind w:left="10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480" w:type="dxa"/>
            <w:vAlign w:val="bottom"/>
            <w:gridSpan w:val="3"/>
          </w:tcPr>
          <w:p>
            <w:pPr>
              <w:jc w:val="center"/>
              <w:ind w:left="532"/>
              <w:spacing w:after="0"/>
              <w:rPr>
                <w:sz w:val="20"/>
                <w:szCs w:val="20"/>
                <w:color w:val="auto"/>
              </w:rPr>
            </w:pPr>
            <w:r>
              <w:rPr>
                <w:rFonts w:ascii="Arial" w:cs="Arial" w:eastAsia="Arial" w:hAnsi="Arial"/>
                <w:sz w:val="18"/>
                <w:szCs w:val="18"/>
                <w:color w:val="auto"/>
                <w:w w:val="91"/>
              </w:rPr>
              <w:t>Filed Electronically</w:t>
            </w:r>
          </w:p>
        </w:tc>
      </w:tr>
      <w:tr>
        <w:trPr>
          <w:trHeight w:val="216"/>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1040" w:type="dxa"/>
            <w:vAlign w:val="bottom"/>
          </w:tcPr>
          <w:p>
            <w:pPr>
              <w:ind w:left="100"/>
              <w:spacing w:after="0"/>
              <w:rPr>
                <w:sz w:val="20"/>
                <w:szCs w:val="20"/>
                <w:color w:val="auto"/>
              </w:rPr>
            </w:pPr>
            <w:r>
              <w:rPr>
                <w:rFonts w:ascii="Arial" w:cs="Arial" w:eastAsia="Arial" w:hAnsi="Arial"/>
                <w:sz w:val="18"/>
                <w:szCs w:val="18"/>
                <w:color w:val="auto"/>
                <w:w w:val="87"/>
              </w:rPr>
              <w:t>Section 1350</w:t>
            </w:r>
          </w:p>
        </w:tc>
        <w:tc>
          <w:tcPr>
            <w:tcW w:w="6740" w:type="dxa"/>
            <w:vAlign w:val="bottom"/>
            <w:gridSpan w:val="3"/>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2480" w:type="dxa"/>
            <w:vAlign w:val="bottom"/>
            <w:gridSpan w:val="3"/>
          </w:tcPr>
          <w:p>
            <w:pPr>
              <w:jc w:val="center"/>
              <w:ind w:left="532"/>
              <w:spacing w:after="0"/>
              <w:rPr>
                <w:sz w:val="20"/>
                <w:szCs w:val="20"/>
                <w:color w:val="auto"/>
              </w:rPr>
            </w:pPr>
            <w:r>
              <w:rPr>
                <w:rFonts w:ascii="Arial" w:cs="Arial" w:eastAsia="Arial" w:hAnsi="Arial"/>
                <w:sz w:val="18"/>
                <w:szCs w:val="18"/>
                <w:color w:val="auto"/>
                <w:w w:val="91"/>
              </w:rPr>
              <w:t>Filed Electronically</w:t>
            </w:r>
          </w:p>
        </w:tc>
      </w:tr>
      <w:tr>
        <w:trPr>
          <w:trHeight w:val="222"/>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1040" w:type="dxa"/>
            <w:vAlign w:val="bottom"/>
          </w:tcPr>
          <w:p>
            <w:pPr>
              <w:ind w:left="100"/>
              <w:spacing w:after="0"/>
              <w:rPr>
                <w:sz w:val="20"/>
                <w:szCs w:val="20"/>
                <w:color w:val="auto"/>
              </w:rPr>
            </w:pPr>
            <w:r>
              <w:rPr>
                <w:rFonts w:ascii="Arial" w:cs="Arial" w:eastAsia="Arial" w:hAnsi="Arial"/>
                <w:sz w:val="18"/>
                <w:szCs w:val="18"/>
                <w:color w:val="auto"/>
                <w:w w:val="87"/>
              </w:rPr>
              <w:t>Section 1350</w:t>
            </w:r>
          </w:p>
        </w:tc>
        <w:tc>
          <w:tcPr>
            <w:tcW w:w="6740" w:type="dxa"/>
            <w:vAlign w:val="bottom"/>
            <w:gridSpan w:val="3"/>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2480" w:type="dxa"/>
            <w:vAlign w:val="bottom"/>
            <w:gridSpan w:val="3"/>
          </w:tcPr>
          <w:p>
            <w:pPr>
              <w:jc w:val="center"/>
              <w:ind w:left="532"/>
              <w:spacing w:after="0"/>
              <w:rPr>
                <w:sz w:val="20"/>
                <w:szCs w:val="20"/>
                <w:color w:val="auto"/>
              </w:rPr>
            </w:pPr>
            <w:r>
              <w:rPr>
                <w:rFonts w:ascii="Arial" w:cs="Arial" w:eastAsia="Arial" w:hAnsi="Arial"/>
                <w:sz w:val="18"/>
                <w:szCs w:val="18"/>
                <w:color w:val="auto"/>
                <w:w w:val="91"/>
              </w:rPr>
              <w:t>Filed Electronically</w:t>
            </w:r>
          </w:p>
        </w:tc>
      </w:tr>
    </w:tbl>
    <w:p>
      <w:pPr>
        <w:spacing w:after="0" w:line="14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37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37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Item 1.01 of the Company’s Current Report on Form 8-K dated May 3, 2006 and filed May 8,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SIGNATURES</w:t>
      </w:r>
    </w:p>
    <w:p>
      <w:pPr>
        <w:sectPr>
          <w:pgSz w:w="11900" w:h="16892" w:orient="portrait"/>
          <w:cols w:equalWidth="0" w:num="1">
            <w:col w:w="11380"/>
          </w:cols>
          <w:pgMar w:left="240" w:top="131" w:right="279" w:bottom="0" w:gutter="0" w:footer="0" w:header="0"/>
        </w:sectPr>
      </w:pPr>
    </w:p>
    <w:p>
      <w:pPr>
        <w:spacing w:after="0" w:line="10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92" w:orient="portrait"/>
          <w:cols w:equalWidth="0" w:num="1">
            <w:col w:w="11380"/>
          </w:cols>
          <w:pgMar w:left="240" w:top="131" w:right="279" w:bottom="0" w:gutter="0" w:footer="0" w:header="0"/>
          <w:type w:val="continuous"/>
        </w:sectPr>
      </w:pPr>
    </w:p>
    <w:bookmarkStart w:id="9" w:name="page10"/>
    <w:bookmarkEnd w:id="9"/>
    <w:p>
      <w:pPr>
        <w:ind w:left="5140"/>
        <w:spacing w:after="0"/>
        <w:rPr>
          <w:sz w:val="20"/>
          <w:szCs w:val="20"/>
          <w:color w:val="auto"/>
        </w:rPr>
      </w:pPr>
      <w:r>
        <w:rPr>
          <w:rFonts w:ascii="Arial" w:cs="Arial" w:eastAsia="Arial" w:hAnsi="Arial"/>
          <w:sz w:val="18"/>
          <w:szCs w:val="18"/>
          <w:color w:val="auto"/>
        </w:rPr>
        <w:t>HAWKINS, INC.</w:t>
      </w:r>
    </w:p>
    <w:p>
      <w:pPr>
        <w:spacing w:after="0" w:line="158" w:lineRule="exact"/>
        <w:rPr>
          <w:sz w:val="20"/>
          <w:szCs w:val="20"/>
          <w:color w:val="auto"/>
        </w:rPr>
      </w:pPr>
    </w:p>
    <w:p>
      <w:pPr>
        <w:ind w:left="514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10795</wp:posOffset>
            </wp:positionV>
            <wp:extent cx="2984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151" w:lineRule="exact"/>
        <w:rPr>
          <w:sz w:val="20"/>
          <w:szCs w:val="20"/>
          <w:color w:val="auto"/>
        </w:rPr>
      </w:pPr>
    </w:p>
    <w:p>
      <w:pPr>
        <w:jc w:val="center"/>
        <w:ind w:left="4420"/>
        <w:spacing w:after="0"/>
        <w:rPr>
          <w:sz w:val="20"/>
          <w:szCs w:val="20"/>
          <w:color w:val="auto"/>
        </w:rPr>
      </w:pPr>
      <w:r>
        <w:rPr>
          <w:rFonts w:ascii="Arial" w:cs="Arial" w:eastAsia="Arial" w:hAnsi="Arial"/>
          <w:sz w:val="18"/>
          <w:szCs w:val="18"/>
          <w:color w:val="auto"/>
        </w:rPr>
        <w:t>Marvin E. Dee</w:t>
      </w:r>
    </w:p>
    <w:p>
      <w:pPr>
        <w:spacing w:after="0" w:line="158" w:lineRule="exact"/>
        <w:rPr>
          <w:sz w:val="20"/>
          <w:szCs w:val="20"/>
          <w:color w:val="auto"/>
        </w:rPr>
      </w:pPr>
    </w:p>
    <w:p>
      <w:pPr>
        <w:jc w:val="center"/>
        <w:ind w:left="4420"/>
        <w:spacing w:after="0"/>
        <w:rPr>
          <w:sz w:val="20"/>
          <w:szCs w:val="20"/>
          <w:color w:val="auto"/>
        </w:rPr>
      </w:pPr>
      <w:r>
        <w:rPr>
          <w:rFonts w:ascii="Arial" w:cs="Arial" w:eastAsia="Arial" w:hAnsi="Arial"/>
          <w:sz w:val="18"/>
          <w:szCs w:val="18"/>
          <w:color w:val="auto"/>
        </w:rPr>
        <w:t>Vice President, Chief Financial Officer, Secretary and Treasurer</w:t>
      </w:r>
    </w:p>
    <w:p>
      <w:pPr>
        <w:spacing w:after="0" w:line="15" w:lineRule="exact"/>
        <w:rPr>
          <w:sz w:val="20"/>
          <w:szCs w:val="20"/>
          <w:color w:val="auto"/>
        </w:rPr>
      </w:pPr>
    </w:p>
    <w:p>
      <w:pPr>
        <w:jc w:val="center"/>
        <w:ind w:left="4420"/>
        <w:spacing w:after="0"/>
        <w:rPr>
          <w:sz w:val="20"/>
          <w:szCs w:val="20"/>
          <w:color w:val="auto"/>
        </w:rPr>
      </w:pPr>
      <w:r>
        <w:rPr>
          <w:rFonts w:ascii="Arial" w:cs="Arial" w:eastAsia="Arial" w:hAnsi="Arial"/>
          <w:sz w:val="18"/>
          <w:szCs w:val="18"/>
          <w:color w:val="auto"/>
        </w:rPr>
        <w:t>(On behalf of the Registrant and as 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06"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Exhibit Index</w:t>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Exhibit</w:t>
            </w:r>
          </w:p>
        </w:tc>
        <w:tc>
          <w:tcPr>
            <w:tcW w:w="1040" w:type="dxa"/>
            <w:vAlign w:val="bottom"/>
          </w:tcPr>
          <w:p>
            <w:pPr>
              <w:spacing w:after="0"/>
              <w:rPr>
                <w:sz w:val="17"/>
                <w:szCs w:val="17"/>
                <w:color w:val="auto"/>
              </w:rPr>
            </w:pPr>
          </w:p>
        </w:tc>
        <w:tc>
          <w:tcPr>
            <w:tcW w:w="6740" w:type="dxa"/>
            <w:vAlign w:val="bottom"/>
            <w:gridSpan w:val="3"/>
          </w:tcPr>
          <w:p>
            <w:pPr>
              <w:ind w:left="2620"/>
              <w:spacing w:after="0"/>
              <w:rPr>
                <w:sz w:val="20"/>
                <w:szCs w:val="20"/>
                <w:color w:val="auto"/>
              </w:rPr>
            </w:pPr>
            <w:r>
              <w:rPr>
                <w:rFonts w:ascii="Arial" w:cs="Arial" w:eastAsia="Arial" w:hAnsi="Arial"/>
                <w:sz w:val="18"/>
                <w:szCs w:val="18"/>
                <w:color w:val="auto"/>
              </w:rPr>
              <w:t>Description</w:t>
            </w:r>
          </w:p>
        </w:tc>
        <w:tc>
          <w:tcPr>
            <w:tcW w:w="2480" w:type="dxa"/>
            <w:vAlign w:val="bottom"/>
            <w:gridSpan w:val="3"/>
          </w:tcPr>
          <w:p>
            <w:pPr>
              <w:jc w:val="center"/>
              <w:ind w:left="512"/>
              <w:spacing w:after="0"/>
              <w:rPr>
                <w:sz w:val="20"/>
                <w:szCs w:val="20"/>
                <w:color w:val="auto"/>
              </w:rPr>
            </w:pPr>
            <w:r>
              <w:rPr>
                <w:rFonts w:ascii="Arial" w:cs="Arial" w:eastAsia="Arial" w:hAnsi="Arial"/>
                <w:sz w:val="18"/>
                <w:szCs w:val="18"/>
                <w:color w:val="auto"/>
                <w:w w:val="93"/>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8"/>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7780" w:type="dxa"/>
            <w:vAlign w:val="bottom"/>
            <w:gridSpan w:val="4"/>
          </w:tcPr>
          <w:p>
            <w:pPr>
              <w:ind w:left="100"/>
              <w:spacing w:after="0"/>
              <w:rPr>
                <w:sz w:val="20"/>
                <w:szCs w:val="20"/>
                <w:color w:val="auto"/>
              </w:rPr>
            </w:pPr>
            <w:r>
              <w:rPr>
                <w:rFonts w:ascii="Arial" w:cs="Arial" w:eastAsia="Arial" w:hAnsi="Arial"/>
                <w:sz w:val="18"/>
                <w:szCs w:val="18"/>
                <w:color w:val="auto"/>
                <w:w w:val="95"/>
              </w:rPr>
              <w:t>Amended and Second Restated Articles of Incorporation as amended through February 27, 2001. (1)</w:t>
            </w:r>
          </w:p>
        </w:tc>
        <w:tc>
          <w:tcPr>
            <w:tcW w:w="248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Incorporated by Reference</w:t>
            </w:r>
          </w:p>
        </w:tc>
      </w:tr>
      <w:tr>
        <w:trPr>
          <w:trHeight w:val="216"/>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7780" w:type="dxa"/>
            <w:vAlign w:val="bottom"/>
            <w:gridSpan w:val="4"/>
          </w:tcPr>
          <w:p>
            <w:pPr>
              <w:ind w:left="100"/>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48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Incorporated by Reference</w:t>
            </w:r>
          </w:p>
        </w:tc>
      </w:tr>
      <w:tr>
        <w:trPr>
          <w:trHeight w:val="216"/>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7780" w:type="dxa"/>
            <w:vAlign w:val="bottom"/>
            <w:gridSpan w:val="4"/>
          </w:tcPr>
          <w:p>
            <w:pPr>
              <w:ind w:left="100"/>
              <w:spacing w:after="0"/>
              <w:rPr>
                <w:sz w:val="20"/>
                <w:szCs w:val="20"/>
                <w:color w:val="auto"/>
              </w:rPr>
            </w:pPr>
            <w:r>
              <w:rPr>
                <w:rFonts w:ascii="Arial" w:cs="Arial" w:eastAsia="Arial" w:hAnsi="Arial"/>
                <w:sz w:val="18"/>
                <w:szCs w:val="18"/>
                <w:color w:val="auto"/>
              </w:rPr>
              <w:t>Description of Consulting Arrangement with John S. McKeon. (3)</w:t>
            </w:r>
          </w:p>
        </w:tc>
        <w:tc>
          <w:tcPr>
            <w:tcW w:w="248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Incorporated by Reference</w:t>
            </w:r>
          </w:p>
        </w:tc>
      </w:tr>
      <w:tr>
        <w:trPr>
          <w:trHeight w:val="216"/>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7780" w:type="dxa"/>
            <w:vAlign w:val="bottom"/>
            <w:gridSpan w:val="4"/>
          </w:tcPr>
          <w:p>
            <w:pPr>
              <w:ind w:left="10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480" w:type="dxa"/>
            <w:vAlign w:val="bottom"/>
            <w:gridSpan w:val="3"/>
          </w:tcPr>
          <w:p>
            <w:pPr>
              <w:jc w:val="center"/>
              <w:ind w:left="532"/>
              <w:spacing w:after="0"/>
              <w:rPr>
                <w:sz w:val="20"/>
                <w:szCs w:val="20"/>
                <w:color w:val="auto"/>
              </w:rPr>
            </w:pPr>
            <w:r>
              <w:rPr>
                <w:rFonts w:ascii="Arial" w:cs="Arial" w:eastAsia="Arial" w:hAnsi="Arial"/>
                <w:sz w:val="18"/>
                <w:szCs w:val="18"/>
                <w:color w:val="auto"/>
                <w:w w:val="91"/>
              </w:rPr>
              <w:t>Filed Electronically</w:t>
            </w:r>
          </w:p>
        </w:tc>
      </w:tr>
      <w:tr>
        <w:trPr>
          <w:trHeight w:val="216"/>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7780" w:type="dxa"/>
            <w:vAlign w:val="bottom"/>
            <w:gridSpan w:val="4"/>
          </w:tcPr>
          <w:p>
            <w:pPr>
              <w:ind w:left="10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480" w:type="dxa"/>
            <w:vAlign w:val="bottom"/>
            <w:gridSpan w:val="3"/>
          </w:tcPr>
          <w:p>
            <w:pPr>
              <w:jc w:val="center"/>
              <w:ind w:left="532"/>
              <w:spacing w:after="0"/>
              <w:rPr>
                <w:sz w:val="20"/>
                <w:szCs w:val="20"/>
                <w:color w:val="auto"/>
              </w:rPr>
            </w:pPr>
            <w:r>
              <w:rPr>
                <w:rFonts w:ascii="Arial" w:cs="Arial" w:eastAsia="Arial" w:hAnsi="Arial"/>
                <w:sz w:val="18"/>
                <w:szCs w:val="18"/>
                <w:color w:val="auto"/>
                <w:w w:val="91"/>
              </w:rPr>
              <w:t>Filed Electronically</w:t>
            </w:r>
          </w:p>
        </w:tc>
      </w:tr>
      <w:tr>
        <w:trPr>
          <w:trHeight w:val="216"/>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1040" w:type="dxa"/>
            <w:vAlign w:val="bottom"/>
          </w:tcPr>
          <w:p>
            <w:pPr>
              <w:ind w:left="100"/>
              <w:spacing w:after="0"/>
              <w:rPr>
                <w:sz w:val="20"/>
                <w:szCs w:val="20"/>
                <w:color w:val="auto"/>
              </w:rPr>
            </w:pPr>
            <w:r>
              <w:rPr>
                <w:rFonts w:ascii="Arial" w:cs="Arial" w:eastAsia="Arial" w:hAnsi="Arial"/>
                <w:sz w:val="18"/>
                <w:szCs w:val="18"/>
                <w:color w:val="auto"/>
                <w:w w:val="87"/>
              </w:rPr>
              <w:t>Section 1350</w:t>
            </w:r>
          </w:p>
        </w:tc>
        <w:tc>
          <w:tcPr>
            <w:tcW w:w="6740" w:type="dxa"/>
            <w:vAlign w:val="bottom"/>
            <w:gridSpan w:val="3"/>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2480" w:type="dxa"/>
            <w:vAlign w:val="bottom"/>
            <w:gridSpan w:val="3"/>
          </w:tcPr>
          <w:p>
            <w:pPr>
              <w:jc w:val="center"/>
              <w:ind w:left="532"/>
              <w:spacing w:after="0"/>
              <w:rPr>
                <w:sz w:val="20"/>
                <w:szCs w:val="20"/>
                <w:color w:val="auto"/>
              </w:rPr>
            </w:pPr>
            <w:r>
              <w:rPr>
                <w:rFonts w:ascii="Arial" w:cs="Arial" w:eastAsia="Arial" w:hAnsi="Arial"/>
                <w:sz w:val="18"/>
                <w:szCs w:val="18"/>
                <w:color w:val="auto"/>
                <w:w w:val="91"/>
              </w:rPr>
              <w:t>Filed Electronically</w:t>
            </w:r>
          </w:p>
        </w:tc>
      </w:tr>
      <w:tr>
        <w:trPr>
          <w:trHeight w:val="222"/>
        </w:trPr>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1040" w:type="dxa"/>
            <w:vAlign w:val="bottom"/>
          </w:tcPr>
          <w:p>
            <w:pPr>
              <w:ind w:left="100"/>
              <w:spacing w:after="0"/>
              <w:rPr>
                <w:sz w:val="20"/>
                <w:szCs w:val="20"/>
                <w:color w:val="auto"/>
              </w:rPr>
            </w:pPr>
            <w:r>
              <w:rPr>
                <w:rFonts w:ascii="Arial" w:cs="Arial" w:eastAsia="Arial" w:hAnsi="Arial"/>
                <w:sz w:val="18"/>
                <w:szCs w:val="18"/>
                <w:color w:val="auto"/>
                <w:w w:val="87"/>
              </w:rPr>
              <w:t>Section 1350</w:t>
            </w:r>
          </w:p>
        </w:tc>
        <w:tc>
          <w:tcPr>
            <w:tcW w:w="6740" w:type="dxa"/>
            <w:vAlign w:val="bottom"/>
            <w:gridSpan w:val="3"/>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2480" w:type="dxa"/>
            <w:vAlign w:val="bottom"/>
            <w:gridSpan w:val="3"/>
          </w:tcPr>
          <w:p>
            <w:pPr>
              <w:jc w:val="center"/>
              <w:ind w:left="532"/>
              <w:spacing w:after="0"/>
              <w:rPr>
                <w:sz w:val="20"/>
                <w:szCs w:val="20"/>
                <w:color w:val="auto"/>
              </w:rPr>
            </w:pPr>
            <w:r>
              <w:rPr>
                <w:rFonts w:ascii="Arial" w:cs="Arial" w:eastAsia="Arial" w:hAnsi="Arial"/>
                <w:sz w:val="18"/>
                <w:szCs w:val="18"/>
                <w:color w:val="auto"/>
                <w:w w:val="91"/>
              </w:rPr>
              <w:t>Filed Electronically</w:t>
            </w:r>
          </w:p>
        </w:tc>
      </w:tr>
    </w:tbl>
    <w:p>
      <w:pPr>
        <w:spacing w:after="0" w:line="14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37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37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to Item 1.01 of the Company’s Current Report on Form 8-K dated May 3, 2006 and filed May 8,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0" w:name="page11"/>
    <w:bookmarkEnd w:id="10"/>
    <w:p>
      <w:pPr>
        <w:ind w:left="10300"/>
        <w:spacing w:after="0"/>
        <w:rPr>
          <w:sz w:val="20"/>
          <w:szCs w:val="20"/>
          <w:color w:val="auto"/>
        </w:rPr>
      </w:pPr>
      <w:r>
        <w:rPr>
          <w:rFonts w:ascii="Arial" w:cs="Arial" w:eastAsia="Arial" w:hAnsi="Arial"/>
          <w:sz w:val="19"/>
          <w:szCs w:val="19"/>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Chief Executive Officer of Hawkins, Inc., certify that:</w:t>
      </w:r>
    </w:p>
    <w:p>
      <w:pPr>
        <w:spacing w:after="0" w:line="225" w:lineRule="exact"/>
        <w:rPr>
          <w:sz w:val="20"/>
          <w:szCs w:val="20"/>
          <w:color w:val="auto"/>
        </w:rPr>
      </w:pPr>
    </w:p>
    <w:p>
      <w:pPr>
        <w:ind w:left="800" w:hanging="319"/>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jc w:val="both"/>
        <w:ind w:left="820" w:hanging="326"/>
        <w:spacing w:after="0" w:line="259"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820" w:hanging="326"/>
        <w:spacing w:after="0" w:line="332" w:lineRule="auto"/>
        <w:tabs>
          <w:tab w:leader="none" w:pos="820" w:val="left"/>
        </w:tabs>
        <w:numPr>
          <w:ilvl w:val="1"/>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jc w:val="both"/>
        <w:ind w:left="820" w:hanging="326"/>
        <w:spacing w:after="0" w:line="259"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94" w:lineRule="exact"/>
        <w:rPr>
          <w:rFonts w:ascii="Arial" w:cs="Arial" w:eastAsia="Arial" w:hAnsi="Arial"/>
          <w:sz w:val="18"/>
          <w:szCs w:val="18"/>
          <w:color w:val="auto"/>
        </w:rPr>
      </w:pPr>
    </w:p>
    <w:p>
      <w:pPr>
        <w:jc w:val="both"/>
        <w:ind w:left="1140" w:hanging="322"/>
        <w:spacing w:after="0" w:line="259" w:lineRule="auto"/>
        <w:tabs>
          <w:tab w:leader="none" w:pos="1140"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1140" w:hanging="322"/>
        <w:spacing w:after="0" w:line="259" w:lineRule="auto"/>
        <w:tabs>
          <w:tab w:leader="none" w:pos="1140"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140" w:hanging="322"/>
        <w:spacing w:after="0" w:line="332" w:lineRule="auto"/>
        <w:tabs>
          <w:tab w:leader="none" w:pos="1140" w:val="left"/>
        </w:tabs>
        <w:numPr>
          <w:ilvl w:val="2"/>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1140" w:hanging="322"/>
        <w:spacing w:after="0" w:line="259" w:lineRule="auto"/>
        <w:tabs>
          <w:tab w:leader="none" w:pos="1140" w:val="left"/>
        </w:tabs>
        <w:numPr>
          <w:ilvl w:val="2"/>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4" w:lineRule="exact"/>
        <w:rPr>
          <w:rFonts w:ascii="Arial" w:cs="Arial" w:eastAsia="Arial" w:hAnsi="Arial"/>
          <w:sz w:val="18"/>
          <w:szCs w:val="18"/>
          <w:color w:val="auto"/>
        </w:rPr>
      </w:pPr>
    </w:p>
    <w:p>
      <w:pPr>
        <w:ind w:left="820" w:hanging="326"/>
        <w:spacing w:after="0" w:line="332" w:lineRule="auto"/>
        <w:tabs>
          <w:tab w:leader="none" w:pos="82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140" w:right="20" w:hanging="322"/>
        <w:spacing w:after="0" w:line="332" w:lineRule="auto"/>
        <w:tabs>
          <w:tab w:leader="none" w:pos="1140" w:val="left"/>
        </w:tabs>
        <w:numPr>
          <w:ilvl w:val="2"/>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140" w:hanging="322"/>
        <w:spacing w:after="0" w:line="268" w:lineRule="auto"/>
        <w:tabs>
          <w:tab w:leader="none" w:pos="1140"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2006</w:t>
      </w:r>
    </w:p>
    <w:p>
      <w:pPr>
        <w:spacing w:after="0" w:line="22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10795</wp:posOffset>
            </wp:positionV>
            <wp:extent cx="17151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1" w:name="page12"/>
    <w:bookmarkEnd w:id="11"/>
    <w:p>
      <w:pPr>
        <w:ind w:left="10300"/>
        <w:spacing w:after="0"/>
        <w:rPr>
          <w:sz w:val="20"/>
          <w:szCs w:val="20"/>
          <w:color w:val="auto"/>
        </w:rPr>
      </w:pPr>
      <w:r>
        <w:rPr>
          <w:rFonts w:ascii="Arial" w:cs="Arial" w:eastAsia="Arial" w:hAnsi="Arial"/>
          <w:sz w:val="19"/>
          <w:szCs w:val="19"/>
          <w:b w:val="1"/>
          <w:bCs w:val="1"/>
          <w:color w:val="auto"/>
        </w:rPr>
        <w:t>Exhibit 31.2</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jc w:val="center"/>
        <w:spacing w:after="0" w:line="230" w:lineRule="auto"/>
        <w:rPr>
          <w:sz w:val="20"/>
          <w:szCs w:val="20"/>
          <w:color w:val="auto"/>
        </w:rPr>
      </w:pPr>
      <w:r>
        <w:rPr>
          <w:rFonts w:ascii="Arial" w:cs="Arial" w:eastAsia="Arial" w:hAnsi="Arial"/>
          <w:sz w:val="22"/>
          <w:szCs w:val="22"/>
          <w:b w:val="1"/>
          <w:bCs w:val="1"/>
          <w:color w:val="auto"/>
        </w:rPr>
        <w:t>SECTION 302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Marvin E. Dee, Chief Financial Officer of Hawkins, Inc., certify that:</w:t>
      </w:r>
    </w:p>
    <w:p>
      <w:pPr>
        <w:spacing w:after="0" w:line="225"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jc w:val="both"/>
        <w:ind w:left="820" w:hanging="326"/>
        <w:spacing w:after="0" w:line="259"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820" w:hanging="326"/>
        <w:spacing w:after="0" w:line="332"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jc w:val="both"/>
        <w:ind w:left="820" w:hanging="326"/>
        <w:spacing w:after="0" w:line="259"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94" w:lineRule="exact"/>
        <w:rPr>
          <w:rFonts w:ascii="Arial" w:cs="Arial" w:eastAsia="Arial" w:hAnsi="Arial"/>
          <w:sz w:val="18"/>
          <w:szCs w:val="18"/>
          <w:color w:val="auto"/>
        </w:rPr>
      </w:pPr>
    </w:p>
    <w:p>
      <w:pPr>
        <w:jc w:val="both"/>
        <w:ind w:left="1140" w:hanging="322"/>
        <w:spacing w:after="0" w:line="259"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1140" w:hanging="322"/>
        <w:spacing w:after="0" w:line="259"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140" w:hanging="322"/>
        <w:spacing w:after="0" w:line="332" w:lineRule="auto"/>
        <w:tabs>
          <w:tab w:leader="none" w:pos="114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1140" w:hanging="322"/>
        <w:spacing w:after="0" w:line="259"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4" w:lineRule="exact"/>
        <w:rPr>
          <w:rFonts w:ascii="Arial" w:cs="Arial" w:eastAsia="Arial" w:hAnsi="Arial"/>
          <w:sz w:val="18"/>
          <w:szCs w:val="18"/>
          <w:color w:val="auto"/>
        </w:rPr>
      </w:pPr>
    </w:p>
    <w:p>
      <w:pPr>
        <w:ind w:left="820" w:hanging="326"/>
        <w:spacing w:after="0" w:line="332"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140" w:right="20" w:hanging="322"/>
        <w:spacing w:after="0" w:line="332" w:lineRule="auto"/>
        <w:tabs>
          <w:tab w:leader="none" w:pos="114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140" w:hanging="322"/>
        <w:spacing w:after="0" w:line="268"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2006</w:t>
      </w:r>
    </w:p>
    <w:p>
      <w:pPr>
        <w:spacing w:after="0" w:line="18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10795</wp:posOffset>
            </wp:positionV>
            <wp:extent cx="17151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Marvin E. Dee</w:t>
      </w:r>
    </w:p>
    <w:p>
      <w:pPr>
        <w:spacing w:after="0" w:line="1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b w:val="1"/>
          <w:bCs w:val="1"/>
          <w:color w:val="auto"/>
        </w:rPr>
        <w:t>Exhibit 32.1</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3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30, 2006 as filed with the Securities and Exchange Commission on the date hereof (the “Report”), I, John R. Hawkins, Chief Executive Officer of the Company, certify, pursuant to 18 U.S.C. § 1350, as adopted pursuant to § 906 of the Sarbanes-Oxley Act of 2002, that:</w:t>
      </w:r>
    </w:p>
    <w:p>
      <w:pPr>
        <w:spacing w:after="0" w:line="59" w:lineRule="exact"/>
        <w:rPr>
          <w:sz w:val="20"/>
          <w:szCs w:val="20"/>
          <w:color w:val="auto"/>
        </w:rPr>
      </w:pPr>
    </w:p>
    <w:p>
      <w:pPr>
        <w:ind w:left="720" w:hanging="25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720" w:hanging="258"/>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8522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690880</wp:posOffset>
            </wp:positionV>
            <wp:extent cx="725043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t>Exhibit 32.2</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37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30, 2006 as filed with the Securities and Exchange Commission on the date hereof (the “Report”), I, Marvin E. Dee, Chief Financial Officer of the Company, certify, pursuant to 18 U.S.C. § 1350, as adopted pursuant to § 906 of the Sarbanes-Oxley Act of 2002, that:</w:t>
      </w:r>
    </w:p>
    <w:p>
      <w:pPr>
        <w:spacing w:after="0" w:line="73" w:lineRule="exact"/>
        <w:rPr>
          <w:sz w:val="20"/>
          <w:szCs w:val="20"/>
          <w:color w:val="auto"/>
        </w:rPr>
      </w:pPr>
    </w:p>
    <w:p>
      <w:pPr>
        <w:ind w:left="720" w:hanging="25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720" w:hanging="258"/>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8522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690880</wp:posOffset>
            </wp:positionV>
            <wp:extent cx="725043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emdash "/>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6"/>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2019-12-13T01:51:35Z</dcterms:created>
  <dcterms:modified xsi:type="dcterms:W3CDTF">2019-12-13T01:51:35Z</dcterms:modified>
</cp:coreProperties>
</file>