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SCHEDULE 14A INFORMATION</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Exchange Act of 1934</w:t>
      </w:r>
    </w:p>
    <w:p>
      <w:pPr>
        <w:spacing w:after="0" w:line="3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9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69" w:lineRule="exact"/>
        <w:rPr>
          <w:sz w:val="24"/>
          <w:szCs w:val="24"/>
          <w:color w:val="auto"/>
        </w:rPr>
      </w:pPr>
    </w:p>
    <w:p>
      <w:pPr>
        <w:ind w:left="720" w:hanging="690"/>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82" w:lineRule="exact"/>
        <w:rPr>
          <w:rFonts w:ascii="MS PGothic" w:cs="MS PGothic" w:eastAsia="MS PGothic" w:hAnsi="MS PGothic"/>
          <w:sz w:val="17"/>
          <w:szCs w:val="17"/>
          <w:color w:val="auto"/>
        </w:rPr>
      </w:pPr>
    </w:p>
    <w:p>
      <w:pPr>
        <w:ind w:left="720" w:hanging="690"/>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82" w:lineRule="exact"/>
        <w:rPr>
          <w:sz w:val="24"/>
          <w:szCs w:val="24"/>
          <w:color w:val="auto"/>
        </w:rPr>
      </w:pPr>
    </w:p>
    <w:p>
      <w:pPr>
        <w:ind w:left="720" w:hanging="690"/>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82" w:lineRule="exact"/>
        <w:rPr>
          <w:sz w:val="24"/>
          <w:szCs w:val="24"/>
          <w:color w:val="auto"/>
        </w:rPr>
      </w:pPr>
    </w:p>
    <w:p>
      <w:pPr>
        <w:ind w:left="720" w:hanging="690"/>
        <w:spacing w:after="0"/>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82" w:lineRule="exact"/>
        <w:rPr>
          <w:rFonts w:ascii="MS PGothic" w:cs="MS PGothic" w:eastAsia="MS PGothic" w:hAnsi="MS PGothic"/>
          <w:sz w:val="17"/>
          <w:szCs w:val="17"/>
          <w:color w:val="auto"/>
        </w:rPr>
      </w:pPr>
    </w:p>
    <w:p>
      <w:pPr>
        <w:ind w:left="720" w:hanging="690"/>
        <w:spacing w:after="0"/>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section 240.14a-11(c) or Section 240.14a-12.</w:t>
      </w:r>
    </w:p>
    <w:p>
      <w:pPr>
        <w:spacing w:after="0" w:line="393" w:lineRule="exact"/>
        <w:rPr>
          <w:sz w:val="24"/>
          <w:szCs w:val="24"/>
          <w:color w:val="auto"/>
        </w:rPr>
      </w:pPr>
    </w:p>
    <w:p>
      <w:pPr>
        <w:ind w:left="5120"/>
        <w:spacing w:after="0"/>
        <w:rPr>
          <w:sz w:val="20"/>
          <w:szCs w:val="20"/>
          <w:color w:val="auto"/>
        </w:rPr>
      </w:pPr>
      <w:r>
        <w:rPr>
          <w:rFonts w:ascii="Arial" w:cs="Arial" w:eastAsia="Arial" w:hAnsi="Arial"/>
          <w:sz w:val="24"/>
          <w:szCs w:val="24"/>
          <w:b w:val="1"/>
          <w:bCs w:val="1"/>
          <w:u w:val="single" w:color="auto"/>
          <w:color w:val="auto"/>
        </w:rPr>
        <w:t>HAWKINS,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(Name of Registrant as Specified in its Charter)</w:t>
      </w:r>
    </w:p>
    <w:p>
      <w:pPr>
        <w:spacing w:after="0" w:line="77" w:lineRule="exact"/>
        <w:rPr>
          <w:sz w:val="24"/>
          <w:szCs w:val="24"/>
          <w:color w:val="auto"/>
        </w:rPr>
      </w:pPr>
    </w:p>
    <w:p>
      <w:pPr>
        <w:ind w:left="3200"/>
        <w:spacing w:after="0"/>
        <w:rPr>
          <w:sz w:val="20"/>
          <w:szCs w:val="20"/>
          <w:color w:val="auto"/>
        </w:rPr>
      </w:pPr>
      <w:r>
        <w:rPr>
          <w:rFonts w:ascii="Arial" w:cs="Arial" w:eastAsia="Arial" w:hAnsi="Arial"/>
          <w:sz w:val="17"/>
          <w:szCs w:val="17"/>
          <w:color w:val="auto"/>
        </w:rPr>
        <w:t>__________________________________________________________</w:t>
      </w:r>
    </w:p>
    <w:p>
      <w:pPr>
        <w:spacing w:after="0" w:line="25" w:lineRule="exact"/>
        <w:rPr>
          <w:sz w:val="24"/>
          <w:szCs w:val="24"/>
          <w:color w:val="auto"/>
        </w:rPr>
      </w:pPr>
    </w:p>
    <w:p>
      <w:pPr>
        <w:ind w:left="31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7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69" w:lineRule="exact"/>
        <w:rPr>
          <w:sz w:val="24"/>
          <w:szCs w:val="24"/>
          <w:color w:val="auto"/>
        </w:rPr>
      </w:pPr>
    </w:p>
    <w:p>
      <w:pPr>
        <w:ind w:left="580" w:hanging="550"/>
        <w:spacing w:after="0"/>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82" w:lineRule="exact"/>
        <w:rPr>
          <w:sz w:val="24"/>
          <w:szCs w:val="24"/>
          <w:color w:val="auto"/>
        </w:rPr>
      </w:pPr>
    </w:p>
    <w:p>
      <w:pPr>
        <w:ind w:left="580" w:hanging="550"/>
        <w:spacing w:after="0"/>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64" w:lineRule="exact"/>
        <w:rPr>
          <w:rFonts w:ascii="MS PGothic" w:cs="MS PGothic" w:eastAsia="MS PGothic" w:hAnsi="MS PGothic"/>
          <w:sz w:val="17"/>
          <w:szCs w:val="17"/>
          <w:color w:val="auto"/>
        </w:rPr>
      </w:pPr>
    </w:p>
    <w:p>
      <w:pPr>
        <w:ind w:left="1480" w:hanging="903"/>
        <w:spacing w:after="0"/>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64" w:lineRule="exact"/>
        <w:rPr>
          <w:rFonts w:ascii="Arial" w:cs="Arial" w:eastAsia="Arial" w:hAnsi="Arial"/>
          <w:sz w:val="17"/>
          <w:szCs w:val="17"/>
          <w:color w:val="auto"/>
        </w:rPr>
      </w:pPr>
    </w:p>
    <w:p>
      <w:pPr>
        <w:ind w:left="1480" w:hanging="903"/>
        <w:spacing w:after="0"/>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64" w:lineRule="exact"/>
        <w:rPr>
          <w:rFonts w:ascii="Arial" w:cs="Arial" w:eastAsia="Arial" w:hAnsi="Arial"/>
          <w:sz w:val="17"/>
          <w:szCs w:val="17"/>
          <w:color w:val="auto"/>
        </w:rPr>
      </w:pPr>
    </w:p>
    <w:p>
      <w:pPr>
        <w:ind w:left="1480" w:hanging="903"/>
        <w:spacing w:after="0" w:line="286" w:lineRule="auto"/>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 w:lineRule="exact"/>
        <w:rPr>
          <w:rFonts w:ascii="Arial" w:cs="Arial" w:eastAsia="Arial" w:hAnsi="Arial"/>
          <w:sz w:val="17"/>
          <w:szCs w:val="17"/>
          <w:color w:val="auto"/>
        </w:rPr>
      </w:pPr>
    </w:p>
    <w:p>
      <w:pPr>
        <w:ind w:left="1480" w:hanging="903"/>
        <w:spacing w:after="0"/>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64" w:lineRule="exact"/>
        <w:rPr>
          <w:rFonts w:ascii="Arial" w:cs="Arial" w:eastAsia="Arial" w:hAnsi="Arial"/>
          <w:sz w:val="17"/>
          <w:szCs w:val="17"/>
          <w:color w:val="auto"/>
        </w:rPr>
      </w:pPr>
    </w:p>
    <w:p>
      <w:pPr>
        <w:ind w:left="1480" w:hanging="903"/>
        <w:spacing w:after="0"/>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82" w:lineRule="exact"/>
        <w:rPr>
          <w:rFonts w:ascii="Arial" w:cs="Arial" w:eastAsia="Arial" w:hAnsi="Arial"/>
          <w:sz w:val="17"/>
          <w:szCs w:val="17"/>
          <w:color w:val="auto"/>
        </w:rPr>
      </w:pPr>
    </w:p>
    <w:p>
      <w:pPr>
        <w:ind w:left="580" w:hanging="550"/>
        <w:spacing w:after="0"/>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82" w:lineRule="exact"/>
        <w:rPr>
          <w:rFonts w:ascii="MS PGothic" w:cs="MS PGothic" w:eastAsia="MS PGothic" w:hAnsi="MS PGothic"/>
          <w:sz w:val="17"/>
          <w:szCs w:val="17"/>
          <w:color w:val="auto"/>
        </w:rPr>
      </w:pPr>
    </w:p>
    <w:p>
      <w:pPr>
        <w:ind w:left="580" w:right="640" w:hanging="550"/>
        <w:spacing w:after="0" w:line="286"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MS PGothic" w:cs="MS PGothic" w:eastAsia="MS PGothic" w:hAnsi="MS PGothic"/>
          <w:sz w:val="17"/>
          <w:szCs w:val="17"/>
          <w:color w:val="auto"/>
        </w:rPr>
      </w:pPr>
    </w:p>
    <w:p>
      <w:pPr>
        <w:ind w:left="1480" w:hanging="903"/>
        <w:spacing w:after="0"/>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64" w:lineRule="exact"/>
        <w:rPr>
          <w:rFonts w:ascii="Arial" w:cs="Arial" w:eastAsia="Arial" w:hAnsi="Arial"/>
          <w:sz w:val="17"/>
          <w:szCs w:val="17"/>
          <w:color w:val="auto"/>
        </w:rPr>
      </w:pPr>
    </w:p>
    <w:p>
      <w:pPr>
        <w:ind w:left="1480" w:hanging="903"/>
        <w:spacing w:after="0"/>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64" w:lineRule="exact"/>
        <w:rPr>
          <w:rFonts w:ascii="Arial" w:cs="Arial" w:eastAsia="Arial" w:hAnsi="Arial"/>
          <w:sz w:val="17"/>
          <w:szCs w:val="17"/>
          <w:color w:val="auto"/>
        </w:rPr>
      </w:pPr>
    </w:p>
    <w:p>
      <w:pPr>
        <w:ind w:left="1480" w:hanging="903"/>
        <w:spacing w:after="0"/>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64" w:lineRule="exact"/>
        <w:rPr>
          <w:rFonts w:ascii="Arial" w:cs="Arial" w:eastAsia="Arial" w:hAnsi="Arial"/>
          <w:sz w:val="17"/>
          <w:szCs w:val="17"/>
          <w:color w:val="auto"/>
        </w:rPr>
      </w:pPr>
    </w:p>
    <w:p>
      <w:pPr>
        <w:ind w:left="1480" w:hanging="903"/>
        <w:spacing w:after="0"/>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ectPr>
          <w:pgSz w:w="11900" w:h="16838" w:orient="portrait"/>
          <w:cols w:equalWidth="0" w:num="1">
            <w:col w:w="11360"/>
          </w:cols>
          <w:pgMar w:left="240" w:top="663" w:right="2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2883535</wp:posOffset>
            </wp:positionH>
            <wp:positionV relativeFrom="page">
              <wp:posOffset>419735</wp:posOffset>
            </wp:positionV>
            <wp:extent cx="1794510" cy="909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94510" cy="9093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HAWKINS,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2381 Rosegate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Roseville, Minnesota 55113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Be Held August 9, 2017</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Annual Meeting of Shareholders of Hawkins, Inc. will be held at the Midland Hills Country Club, 2001 Fulham Street, Roseville, Minnesota 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Wednesday, August 9, 2017, at 3:00 p.m., Central Time, for the following purposes:</w:t>
      </w:r>
    </w:p>
    <w:p>
      <w:pPr>
        <w:spacing w:after="0" w:line="79" w:lineRule="exact"/>
        <w:rPr>
          <w:sz w:val="20"/>
          <w:szCs w:val="20"/>
          <w:color w:val="auto"/>
        </w:rPr>
      </w:pPr>
    </w:p>
    <w:p>
      <w:pPr>
        <w:ind w:left="1020" w:hanging="169"/>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nine directors.</w:t>
      </w:r>
    </w:p>
    <w:p>
      <w:pPr>
        <w:spacing w:after="0" w:line="90" w:lineRule="exact"/>
        <w:rPr>
          <w:rFonts w:ascii="Arial" w:cs="Arial" w:eastAsia="Arial" w:hAnsi="Arial"/>
          <w:sz w:val="17"/>
          <w:szCs w:val="17"/>
          <w:color w:val="auto"/>
        </w:rPr>
      </w:pPr>
    </w:p>
    <w:p>
      <w:pPr>
        <w:ind w:left="1020" w:hanging="169"/>
        <w:spacing w:after="0"/>
        <w:tabs>
          <w:tab w:leader="none" w:pos="10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advise in a non-binding vote to approve the compensation of our executive officers as disclosed in the attached proxy statement, or a “say-on-pay”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vote.</w:t>
      </w:r>
    </w:p>
    <w:p>
      <w:pPr>
        <w:spacing w:after="0" w:line="79" w:lineRule="exact"/>
        <w:rPr>
          <w:sz w:val="20"/>
          <w:szCs w:val="20"/>
          <w:color w:val="auto"/>
        </w:rPr>
      </w:pPr>
    </w:p>
    <w:p>
      <w:pPr>
        <w:ind w:left="1020" w:hanging="169"/>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advise in a non-binding vote to recommend the frequency of future say-on-pay votes, or a “say when-on-pay” vote.</w:t>
      </w:r>
    </w:p>
    <w:p>
      <w:pPr>
        <w:spacing w:after="0" w:line="90" w:lineRule="exact"/>
        <w:rPr>
          <w:rFonts w:ascii="Arial" w:cs="Arial" w:eastAsia="Arial" w:hAnsi="Arial"/>
          <w:sz w:val="17"/>
          <w:szCs w:val="17"/>
          <w:color w:val="auto"/>
        </w:rPr>
      </w:pPr>
    </w:p>
    <w:p>
      <w:pPr>
        <w:ind w:left="1020" w:hanging="169"/>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any adjournment thereof.</w:t>
      </w:r>
    </w:p>
    <w:p>
      <w:pPr>
        <w:spacing w:after="0" w:line="169" w:lineRule="exact"/>
        <w:rPr>
          <w:sz w:val="20"/>
          <w:szCs w:val="20"/>
          <w:color w:val="auto"/>
        </w:rPr>
      </w:pPr>
    </w:p>
    <w:p>
      <w:pPr>
        <w:ind w:right="380" w:firstLine="417"/>
        <w:spacing w:after="0" w:line="319" w:lineRule="auto"/>
        <w:rPr>
          <w:sz w:val="20"/>
          <w:szCs w:val="20"/>
          <w:color w:val="auto"/>
        </w:rPr>
      </w:pPr>
      <w:r>
        <w:rPr>
          <w:rFonts w:ascii="Arial" w:cs="Arial" w:eastAsia="Arial" w:hAnsi="Arial"/>
          <w:sz w:val="16"/>
          <w:szCs w:val="16"/>
          <w:color w:val="auto"/>
        </w:rPr>
        <w:t>The Board of Directors has fixed the close of business on June 12, 2017 as the record date for determining the shareholders entitled to vote at the Annual Meeting. Accordingly, only shareholders of record at the close of business on that date will be entitled to vote. Our transfer books will not be closed.</w:t>
      </w:r>
    </w:p>
    <w:p>
      <w:pPr>
        <w:spacing w:after="0" w:line="370"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4227830</wp:posOffset>
            </wp:positionH>
            <wp:positionV relativeFrom="paragraph">
              <wp:posOffset>48895</wp:posOffset>
            </wp:positionV>
            <wp:extent cx="181927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9275" cy="63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 xml:space="preserve">RICHARD G. ERSTAD, </w:t>
      </w:r>
      <w:r>
        <w:rPr>
          <w:rFonts w:ascii="Arial" w:cs="Arial" w:eastAsia="Arial" w:hAnsi="Arial"/>
          <w:sz w:val="17"/>
          <w:szCs w:val="17"/>
          <w:i w:val="1"/>
          <w:iCs w:val="1"/>
          <w:color w:val="auto"/>
        </w:rPr>
        <w:t>Secretary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Dated: June 30, 2017</w:t>
      </w:r>
    </w:p>
    <w:p>
      <w:pPr>
        <w:spacing w:after="0" w:line="189" w:lineRule="exact"/>
        <w:rPr>
          <w:sz w:val="20"/>
          <w:szCs w:val="20"/>
          <w:color w:val="auto"/>
        </w:rPr>
      </w:pPr>
    </w:p>
    <w:p>
      <w:pPr>
        <w:ind w:right="440"/>
        <w:spacing w:after="0" w:line="299" w:lineRule="auto"/>
        <w:rPr>
          <w:sz w:val="20"/>
          <w:szCs w:val="20"/>
          <w:color w:val="auto"/>
        </w:rPr>
      </w:pPr>
      <w:r>
        <w:rPr>
          <w:rFonts w:ascii="Arial" w:cs="Arial" w:eastAsia="Arial" w:hAnsi="Arial"/>
          <w:sz w:val="16"/>
          <w:szCs w:val="16"/>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1"/>
          <w:szCs w:val="21"/>
          <w:b w:val="1"/>
          <w:bCs w:val="1"/>
          <w:color w:val="auto"/>
        </w:rPr>
        <w:t>PROXY STATEMENT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HAWKINS, INC.</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2381 Rosegate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Roseville, Minnesota 55113</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w:t>
      </w:r>
    </w:p>
    <w:p>
      <w:pPr>
        <w:spacing w:after="0" w:line="157" w:lineRule="exact"/>
        <w:rPr>
          <w:sz w:val="20"/>
          <w:szCs w:val="20"/>
          <w:color w:val="auto"/>
        </w:rPr>
      </w:pPr>
    </w:p>
    <w:p>
      <w:pPr>
        <w:ind w:firstLine="417"/>
        <w:spacing w:after="0" w:line="323" w:lineRule="auto"/>
        <w:rPr>
          <w:sz w:val="20"/>
          <w:szCs w:val="20"/>
          <w:color w:val="auto"/>
        </w:rPr>
      </w:pPr>
      <w:r>
        <w:rPr>
          <w:rFonts w:ascii="Arial" w:cs="Arial" w:eastAsia="Arial" w:hAnsi="Arial"/>
          <w:sz w:val="15"/>
          <w:szCs w:val="15"/>
          <w:color w:val="auto"/>
        </w:rPr>
        <w:t>The following proxy statement is furnished in connection with the solicitation of proxies by our Board of Directors to be voted at the Annual Meeting of Shareholders (the “Annual Meeting”) to be held on Wednesday, August 9, 2017, at the Midland Hills Country Club, 2001 Fulham Street, Roseville, Minnesota, at 3:00 p.m., Central Time, and at any adjournments of such meeting. Distribution of this Proxy Statement and proxy to shareholders began on or about June 30, 2017.</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SOLICITATION</w:t>
      </w:r>
    </w:p>
    <w:p>
      <w:pPr>
        <w:spacing w:after="0" w:line="97" w:lineRule="exact"/>
        <w:rPr>
          <w:sz w:val="20"/>
          <w:szCs w:val="20"/>
          <w:color w:val="auto"/>
        </w:rPr>
      </w:pPr>
    </w:p>
    <w:p>
      <w:pPr>
        <w:ind w:right="120" w:firstLine="417"/>
        <w:spacing w:after="0" w:line="266" w:lineRule="auto"/>
        <w:rPr>
          <w:sz w:val="20"/>
          <w:szCs w:val="20"/>
          <w:color w:val="auto"/>
        </w:rPr>
      </w:pPr>
      <w:r>
        <w:rPr>
          <w:rFonts w:ascii="Arial" w:cs="Arial" w:eastAsia="Arial" w:hAnsi="Arial"/>
          <w:sz w:val="17"/>
          <w:szCs w:val="17"/>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REVOCATION AND VOTING OF PROXY</w:t>
      </w:r>
    </w:p>
    <w:p>
      <w:pPr>
        <w:spacing w:after="0" w:line="97" w:lineRule="exact"/>
        <w:rPr>
          <w:sz w:val="20"/>
          <w:szCs w:val="20"/>
          <w:color w:val="auto"/>
        </w:rPr>
      </w:pPr>
    </w:p>
    <w:p>
      <w:pPr>
        <w:ind w:right="120" w:firstLine="417"/>
        <w:spacing w:after="0" w:line="266" w:lineRule="auto"/>
        <w:rPr>
          <w:sz w:val="20"/>
          <w:szCs w:val="20"/>
          <w:color w:val="auto"/>
        </w:rPr>
      </w:pPr>
      <w:r>
        <w:rPr>
          <w:rFonts w:ascii="Arial" w:cs="Arial" w:eastAsia="Arial" w:hAnsi="Arial"/>
          <w:sz w:val="17"/>
          <w:szCs w:val="17"/>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our Secretary at our principal executive offices, (2) signing and forwarding to us at our principal executive offices a later dated proxy, or (3) attending the Annual Meeting and casting his or her votes personally.</w:t>
      </w:r>
    </w:p>
    <w:p>
      <w:pPr>
        <w:spacing w:after="0" w:line="45" w:lineRule="exact"/>
        <w:rPr>
          <w:sz w:val="20"/>
          <w:szCs w:val="20"/>
          <w:color w:val="auto"/>
        </w:rPr>
      </w:pPr>
    </w:p>
    <w:p>
      <w:pPr>
        <w:ind w:right="220" w:firstLine="417"/>
        <w:spacing w:after="0" w:line="283" w:lineRule="auto"/>
        <w:rPr>
          <w:sz w:val="20"/>
          <w:szCs w:val="20"/>
          <w:color w:val="auto"/>
        </w:rPr>
      </w:pPr>
      <w:r>
        <w:rPr>
          <w:rFonts w:ascii="Arial" w:cs="Arial" w:eastAsia="Arial" w:hAnsi="Arial"/>
          <w:sz w:val="16"/>
          <w:szCs w:val="16"/>
          <w:color w:val="auto"/>
        </w:rPr>
        <w:t>If you indicate on your proxy that you wish to abstain from voting, and you hold your shares in street name or your broker records abstentions, your shares will be considered present and entitled to vote at the Annual Meeting. Such shares will also count toward determining whether or not a quorum is present for the Annual Meeting. A majority of the outstanding shares of our common stock represented in person or by proxy is necessary to constitute a quorum for the transaction of business at the Annual Meeting. If a shareholder (including a broker) does not give authority to a proxy to vote, or withholds authority to vote on a certain proposal, then the shareholder’s shares will not be considered present or entitled to vote on that proposal.</w:t>
      </w:r>
    </w:p>
    <w:p>
      <w:pPr>
        <w:spacing w:after="0" w:line="35" w:lineRule="exact"/>
        <w:rPr>
          <w:sz w:val="20"/>
          <w:szCs w:val="20"/>
          <w:color w:val="auto"/>
        </w:rPr>
      </w:pPr>
    </w:p>
    <w:p>
      <w:pPr>
        <w:ind w:right="40" w:firstLine="417"/>
        <w:spacing w:after="0" w:line="259" w:lineRule="auto"/>
        <w:rPr>
          <w:sz w:val="20"/>
          <w:szCs w:val="20"/>
          <w:color w:val="auto"/>
        </w:rPr>
      </w:pPr>
      <w:r>
        <w:rPr>
          <w:rFonts w:ascii="Arial" w:cs="Arial" w:eastAsia="Arial" w:hAnsi="Arial"/>
          <w:sz w:val="17"/>
          <w:szCs w:val="17"/>
          <w:color w:val="auto"/>
        </w:rPr>
        <w:t>If you hold your shares in street name and do not provide voting instructions to your broker, your broker has authority under New York Stock Exchange rules to vote those shares for or against “routine” proposals. Brokers cannot vote on their customers’ behalf on “non-routine” proposals such as the approval of an equity compensation plan, the election of directors or an advisory vote on executive compensation. These rules apply to us even though the shares of our common stock are traded on the NASDAQ Global Market. If a broker votes shares for which its customers have not provided voting instructions for or against a “routine” proposal, then those shares are counted for the purpose of establishing a quorum at the Annual Meeting and also will be counted for the purpose of determining the outcome of “routine” proposals. If a broker does not receive voting instructions as to a non-routine proposal, or chooses to leave shares unvoted on a routine proposal, a “broker non-vote” will occur and those shares will be counted for the purpose of establishing a quorum at the Annual Meeting, but not for determining the outcome of those proposals. Shares that are subject to broker non-votes are considered not entitled to vote on the particular proposal, and effectively reduce the number of shares needed to approve that proposal.</w:t>
      </w:r>
    </w:p>
    <w:p>
      <w:pPr>
        <w:spacing w:after="0" w:line="55" w:lineRule="exact"/>
        <w:rPr>
          <w:sz w:val="20"/>
          <w:szCs w:val="20"/>
          <w:color w:val="auto"/>
        </w:rPr>
      </w:pPr>
    </w:p>
    <w:p>
      <w:pPr>
        <w:ind w:right="40" w:firstLine="417"/>
        <w:spacing w:after="0" w:line="323" w:lineRule="auto"/>
        <w:rPr>
          <w:sz w:val="20"/>
          <w:szCs w:val="20"/>
          <w:color w:val="auto"/>
        </w:rPr>
      </w:pPr>
      <w:r>
        <w:rPr>
          <w:rFonts w:ascii="Arial" w:cs="Arial" w:eastAsia="Arial" w:hAnsi="Arial"/>
          <w:sz w:val="15"/>
          <w:szCs w:val="15"/>
          <w:color w:val="auto"/>
        </w:rPr>
        <w:t>As of the date of this proxy statement, we know of no matters that will be presented for determination at the meeting other than those referred to in this proxy statement. If any other matters properly come before the meeting calling for a vote of shareholders, proxies in the enclosed form returned to us will be voted in accordance with the recommendation of the Board of Directors or, in the absence of such a recommendation, in accordance with the judgment of the proxy holders.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OUTSTANDING SHARES AND VOTING RIGHTS</w:t>
      </w:r>
    </w:p>
    <w:p>
      <w:pPr>
        <w:spacing w:after="0" w:line="97" w:lineRule="exact"/>
        <w:rPr>
          <w:sz w:val="20"/>
          <w:szCs w:val="20"/>
          <w:color w:val="auto"/>
        </w:rPr>
      </w:pPr>
    </w:p>
    <w:p>
      <w:pPr>
        <w:ind w:right="20" w:firstLine="417"/>
        <w:spacing w:after="0" w:line="271" w:lineRule="auto"/>
        <w:rPr>
          <w:sz w:val="20"/>
          <w:szCs w:val="20"/>
          <w:color w:val="auto"/>
        </w:rPr>
      </w:pPr>
      <w:r>
        <w:rPr>
          <w:rFonts w:ascii="Arial" w:cs="Arial" w:eastAsia="Arial" w:hAnsi="Arial"/>
          <w:sz w:val="17"/>
          <w:szCs w:val="17"/>
          <w:color w:val="auto"/>
        </w:rPr>
        <w:t>At the close of business on June 12, 2017, the record date, there were 10,654,616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ectPr>
          <w:pgSz w:w="11900" w:h="16838" w:orient="portrait"/>
          <w:cols w:equalWidth="0" w:num="1">
            <w:col w:w="11400"/>
          </w:cols>
          <w:pgMar w:left="240" w:top="568"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VOTE REQUIRED</w:t>
      </w:r>
    </w:p>
    <w:p>
      <w:pPr>
        <w:spacing w:after="0" w:line="97" w:lineRule="exact"/>
        <w:rPr>
          <w:sz w:val="20"/>
          <w:szCs w:val="20"/>
          <w:color w:val="auto"/>
        </w:rPr>
      </w:pPr>
    </w:p>
    <w:p>
      <w:pPr>
        <w:jc w:val="both"/>
        <w:ind w:firstLine="625"/>
        <w:spacing w:after="0" w:line="271" w:lineRule="auto"/>
        <w:rPr>
          <w:sz w:val="20"/>
          <w:szCs w:val="20"/>
          <w:color w:val="auto"/>
        </w:rPr>
      </w:pPr>
      <w:r>
        <w:rPr>
          <w:rFonts w:ascii="Arial" w:cs="Arial" w:eastAsia="Arial" w:hAnsi="Arial"/>
          <w:sz w:val="17"/>
          <w:szCs w:val="17"/>
          <w:color w:val="auto"/>
        </w:rPr>
        <w:t>Proposal One - Election of Directors: Directors are elected by a plurality of the votes cast. A plurality means that the nominees with the greatest number of “for” votes are elected as directors, up to the maximum number of directors to be chosen at the Annual Meeting. Accordingly, an abstention or failure to vote on this proposal (including a broker non-vote) will have no effect on the voting for the election of directors.</w:t>
      </w:r>
    </w:p>
    <w:p>
      <w:pPr>
        <w:spacing w:after="0" w:line="171" w:lineRule="exact"/>
        <w:rPr>
          <w:sz w:val="20"/>
          <w:szCs w:val="20"/>
          <w:color w:val="auto"/>
        </w:rPr>
      </w:pPr>
    </w:p>
    <w:p>
      <w:pPr>
        <w:jc w:val="both"/>
        <w:ind w:firstLine="625"/>
        <w:spacing w:after="0" w:line="271" w:lineRule="auto"/>
        <w:rPr>
          <w:sz w:val="20"/>
          <w:szCs w:val="20"/>
          <w:color w:val="auto"/>
        </w:rPr>
      </w:pPr>
      <w:r>
        <w:rPr>
          <w:rFonts w:ascii="Arial" w:cs="Arial" w:eastAsia="Arial" w:hAnsi="Arial"/>
          <w:sz w:val="17"/>
          <w:szCs w:val="17"/>
          <w:color w:val="auto"/>
        </w:rPr>
        <w:t>Proposal Two - Advisory Vote to Approve Executive Compensation: We will consider our shareholders to have approved our executive compensation if the number of votes cast “for” this proposal exceed the number of votes cast “against” this proposal. Accordingly, an abstention or failure to vote on this proposal (including a broker non-vote) will have no effect on the outcome of this proposal.</w:t>
      </w:r>
    </w:p>
    <w:p>
      <w:pPr>
        <w:spacing w:after="0" w:line="171" w:lineRule="exact"/>
        <w:rPr>
          <w:sz w:val="20"/>
          <w:szCs w:val="20"/>
          <w:color w:val="auto"/>
        </w:rPr>
      </w:pPr>
    </w:p>
    <w:p>
      <w:pPr>
        <w:jc w:val="both"/>
        <w:ind w:firstLine="625"/>
        <w:spacing w:after="0" w:line="271" w:lineRule="auto"/>
        <w:rPr>
          <w:sz w:val="20"/>
          <w:szCs w:val="20"/>
          <w:color w:val="auto"/>
        </w:rPr>
      </w:pPr>
      <w:r>
        <w:rPr>
          <w:rFonts w:ascii="Arial" w:cs="Arial" w:eastAsia="Arial" w:hAnsi="Arial"/>
          <w:sz w:val="17"/>
          <w:szCs w:val="17"/>
          <w:color w:val="auto"/>
        </w:rPr>
        <w:t>Proposal Three - Advisory Vote on Frequency of Advisory Vote to Approve Executive Compensation: We will consider the opinion that obtains a plurality of the votes cast to have received the advisory approval of our shareholders. Accordingly, an abstention or failure to vote on this proposal (including a broker non-vote) will have no effect on the outcome of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9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 xml:space="preserve">PROPOSAL ONE </w:t>
      </w:r>
      <w:r>
        <w:rPr>
          <w:rFonts w:ascii="Arial" w:cs="Arial" w:eastAsia="Arial" w:hAnsi="Arial"/>
          <w:sz w:val="17"/>
          <w:szCs w:val="17"/>
          <w:color w:val="auto"/>
        </w:rPr>
        <w:t>—</w:t>
      </w:r>
      <w:r>
        <w:rPr>
          <w:rFonts w:ascii="Arial" w:cs="Arial" w:eastAsia="Arial" w:hAnsi="Arial"/>
          <w:sz w:val="17"/>
          <w:szCs w:val="17"/>
          <w:b w:val="1"/>
          <w:bCs w:val="1"/>
          <w:color w:val="auto"/>
        </w:rPr>
        <w:t xml:space="preserve"> ELECTION OF DIRECTORS</w:t>
      </w:r>
    </w:p>
    <w:p>
      <w:pPr>
        <w:spacing w:after="0" w:line="97" w:lineRule="exact"/>
        <w:rPr>
          <w:sz w:val="20"/>
          <w:szCs w:val="20"/>
          <w:color w:val="auto"/>
        </w:rPr>
      </w:pPr>
    </w:p>
    <w:p>
      <w:pPr>
        <w:ind w:right="140" w:firstLine="417"/>
        <w:spacing w:after="0" w:line="283" w:lineRule="auto"/>
        <w:rPr>
          <w:sz w:val="20"/>
          <w:szCs w:val="20"/>
          <w:color w:val="auto"/>
        </w:rPr>
      </w:pPr>
      <w:r>
        <w:rPr>
          <w:rFonts w:ascii="Arial" w:cs="Arial" w:eastAsia="Arial" w:hAnsi="Arial"/>
          <w:sz w:val="16"/>
          <w:szCs w:val="16"/>
          <w:color w:val="auto"/>
        </w:rPr>
        <w:t>At the Annual Meeting, nine persons are to be elected to our Board of Directors, each to hold office for the ensuing year and until his/her successor is duly elected and qualified. Our By-Laws provide for a Board of not fewer than three and not more than eleven directors. Our Board currently consists of nine directors, as established by resolution of the Board. Executed and delivered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Board of Directors has nominated James A. Faulconbridge, Patrick H. Hawkins, Duane M. Jergenson, John S. McKeon, Mary J. Schumacher, Daryl I.</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Skaar, Daniel J. Stauber, James T. Thompson and Jeffrey L. Wright for election to the Board.</w:t>
      </w:r>
    </w:p>
    <w:p>
      <w:pPr>
        <w:spacing w:after="0" w:line="73" w:lineRule="exact"/>
        <w:rPr>
          <w:sz w:val="20"/>
          <w:szCs w:val="20"/>
          <w:color w:val="auto"/>
        </w:rPr>
      </w:pPr>
    </w:p>
    <w:p>
      <w:pPr>
        <w:ind w:right="680" w:firstLine="417"/>
        <w:spacing w:after="0" w:line="294" w:lineRule="auto"/>
        <w:rPr>
          <w:sz w:val="20"/>
          <w:szCs w:val="20"/>
          <w:color w:val="auto"/>
        </w:rPr>
      </w:pPr>
      <w:r>
        <w:rPr>
          <w:rFonts w:ascii="Arial" w:cs="Arial" w:eastAsia="Arial" w:hAnsi="Arial"/>
          <w:sz w:val="17"/>
          <w:szCs w:val="17"/>
          <w:b w:val="1"/>
          <w:bCs w:val="1"/>
          <w:color w:val="auto"/>
        </w:rPr>
        <w:t>OUR BOARD OF DIRECTORS RECOMMENDS THAT SHAREHOLDERS VOTE “FOR” THE ELECTION OF ALL NOMINEES FOR DIRECTOR.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Directors</w:t>
      </w:r>
    </w:p>
    <w:p>
      <w:pPr>
        <w:spacing w:after="0" w:line="97" w:lineRule="exact"/>
        <w:rPr>
          <w:sz w:val="20"/>
          <w:szCs w:val="20"/>
          <w:color w:val="auto"/>
        </w:rPr>
      </w:pPr>
    </w:p>
    <w:p>
      <w:pPr>
        <w:ind w:right="300" w:firstLine="417"/>
        <w:spacing w:after="0" w:line="356" w:lineRule="auto"/>
        <w:rPr>
          <w:sz w:val="20"/>
          <w:szCs w:val="20"/>
          <w:color w:val="auto"/>
        </w:rPr>
      </w:pPr>
      <w:r>
        <w:rPr>
          <w:rFonts w:ascii="Arial" w:cs="Arial" w:eastAsia="Arial" w:hAnsi="Arial"/>
          <w:sz w:val="15"/>
          <w:szCs w:val="15"/>
          <w:color w:val="auto"/>
        </w:rPr>
        <w:t>Our directors have served as our directors continuously since the year indicated below. The following information, including the principal occupation or employment of each director nominee, has been furnished to us by the respective director nominees. All positions are with our company unless otherwise noted.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Director</w:t>
            </w:r>
          </w:p>
        </w:tc>
        <w:tc>
          <w:tcPr>
            <w:tcW w:w="120" w:type="dxa"/>
            <w:vAlign w:val="bottom"/>
            <w:vMerge w:val="restart"/>
          </w:tcPr>
          <w:p>
            <w:pPr>
              <w:spacing w:after="0"/>
              <w:rPr>
                <w:sz w:val="14"/>
                <w:szCs w:val="14"/>
                <w:color w:val="auto"/>
              </w:rPr>
            </w:pPr>
          </w:p>
        </w:tc>
        <w:tc>
          <w:tcPr>
            <w:tcW w:w="720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Principal Occupation or Employment</w:t>
            </w:r>
          </w:p>
        </w:tc>
        <w:tc>
          <w:tcPr>
            <w:tcW w:w="120" w:type="dxa"/>
            <w:vAlign w:val="bottom"/>
            <w:vMerge w:val="restart"/>
          </w:tcPr>
          <w:p>
            <w:pPr>
              <w:spacing w:after="0"/>
              <w:rPr>
                <w:sz w:val="14"/>
                <w:szCs w:val="14"/>
                <w:color w:val="auto"/>
              </w:rPr>
            </w:pPr>
          </w:p>
        </w:tc>
        <w:tc>
          <w:tcPr>
            <w:tcW w:w="5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4"/>
                <w:szCs w:val="14"/>
                <w:color w:val="auto"/>
              </w:rPr>
            </w:pPr>
          </w:p>
        </w:tc>
        <w:tc>
          <w:tcPr>
            <w:tcW w:w="1120" w:type="dxa"/>
            <w:vAlign w:val="bottom"/>
          </w:tcPr>
          <w:p>
            <w:pPr>
              <w:jc w:val="right"/>
              <w:ind w:right="236"/>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186"/>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21"/>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John S. McKeon</w:t>
            </w: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Chairman of the Board since 2005; Retired; President and Chief Operating Officer of ConAgra Foods,</w:t>
            </w: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1984</w:t>
            </w: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 Venture Development Group from 2003 to 2005; President and Chief Operating Officer of</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ConAgra Foods Snack Group (formerly Golden Valley Microwave Foods, Inc.) from 1993 to 2003;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President of McKeon Associates, Inc. (corporate finance consulting) from 1991 to 1993; Vice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President of Northstar Industries, Inc. from 1976 to 1990.</w:t>
            </w: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00" w:type="dxa"/>
            <w:vAlign w:val="bottom"/>
            <w:gridSpan w:val="2"/>
          </w:tcPr>
          <w:p>
            <w:pPr>
              <w:ind w:left="40"/>
              <w:spacing w:after="0"/>
              <w:rPr>
                <w:sz w:val="20"/>
                <w:szCs w:val="20"/>
                <w:color w:val="auto"/>
              </w:rPr>
            </w:pPr>
            <w:r>
              <w:rPr>
                <w:rFonts w:ascii="Arial" w:cs="Arial" w:eastAsia="Arial" w:hAnsi="Arial"/>
                <w:sz w:val="17"/>
                <w:szCs w:val="17"/>
                <w:color w:val="auto"/>
              </w:rPr>
              <w:t>Patrick H. Hawkins</w:t>
            </w:r>
          </w:p>
        </w:tc>
        <w:tc>
          <w:tcPr>
            <w:tcW w:w="7320" w:type="dxa"/>
            <w:vAlign w:val="bottom"/>
            <w:gridSpan w:val="2"/>
          </w:tcPr>
          <w:p>
            <w:pPr>
              <w:ind w:left="20"/>
              <w:spacing w:after="0"/>
              <w:rPr>
                <w:sz w:val="20"/>
                <w:szCs w:val="20"/>
                <w:color w:val="auto"/>
              </w:rPr>
            </w:pPr>
            <w:r>
              <w:rPr>
                <w:rFonts w:ascii="Arial" w:cs="Arial" w:eastAsia="Arial" w:hAnsi="Arial"/>
                <w:sz w:val="17"/>
                <w:szCs w:val="17"/>
                <w:color w:val="auto"/>
                <w:w w:val="95"/>
              </w:rPr>
              <w:t>Chief Executive Officer of Hawkins, Inc. since 2011; President since 2010; Business Director — Food</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7"/>
                <w:szCs w:val="17"/>
                <w:color w:val="auto"/>
                <w:w w:val="95"/>
              </w:rPr>
              <w:t>and Pharmaceuticals from 2009 to 2010; Business Manager — Food and Co-Extrusion Products from</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7"/>
                <w:szCs w:val="17"/>
                <w:color w:val="auto"/>
                <w:w w:val="97"/>
              </w:rPr>
              <w:t>2007 to 2009; Sales Representative — Food Ingredients from 2002 to 2009; various other positions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20" w:type="dxa"/>
            <w:vAlign w:val="bottom"/>
            <w:gridSpan w:val="2"/>
          </w:tcPr>
          <w:p>
            <w:pPr>
              <w:ind w:left="20"/>
              <w:spacing w:after="0"/>
              <w:rPr>
                <w:sz w:val="20"/>
                <w:szCs w:val="20"/>
                <w:color w:val="auto"/>
              </w:rPr>
            </w:pPr>
            <w:r>
              <w:rPr>
                <w:rFonts w:ascii="Arial" w:cs="Arial" w:eastAsia="Arial" w:hAnsi="Arial"/>
                <w:sz w:val="17"/>
                <w:szCs w:val="17"/>
                <w:color w:val="auto"/>
              </w:rPr>
              <w:t>with the company from 1992 to 2002.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James A. Faulconbridge</w:t>
            </w: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President of Karges-Faulconbridge, Inc. (engineering and technical services) since 1996.</w:t>
            </w: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2006</w:t>
            </w:r>
          </w:p>
        </w:tc>
        <w:tc>
          <w:tcPr>
            <w:tcW w:w="0" w:type="dxa"/>
            <w:vAlign w:val="bottom"/>
          </w:tcPr>
          <w:p>
            <w:pPr>
              <w:spacing w:after="0"/>
              <w:rPr>
                <w:sz w:val="1"/>
                <w:szCs w:val="1"/>
                <w:color w:val="auto"/>
              </w:rPr>
            </w:pPr>
          </w:p>
        </w:tc>
      </w:tr>
      <w:tr>
        <w:trPr>
          <w:trHeight w:val="222"/>
        </w:trPr>
        <w:tc>
          <w:tcPr>
            <w:tcW w:w="2300" w:type="dxa"/>
            <w:vAlign w:val="bottom"/>
            <w:gridSpan w:val="2"/>
          </w:tcPr>
          <w:p>
            <w:pPr>
              <w:ind w:left="40"/>
              <w:spacing w:after="0"/>
              <w:rPr>
                <w:sz w:val="20"/>
                <w:szCs w:val="20"/>
                <w:color w:val="auto"/>
              </w:rPr>
            </w:pPr>
            <w:r>
              <w:rPr>
                <w:rFonts w:ascii="Arial" w:cs="Arial" w:eastAsia="Arial" w:hAnsi="Arial"/>
                <w:sz w:val="17"/>
                <w:szCs w:val="17"/>
                <w:color w:val="auto"/>
              </w:rPr>
              <w:t>Duane M. Jergenson</w:t>
            </w:r>
          </w:p>
        </w:tc>
        <w:tc>
          <w:tcPr>
            <w:tcW w:w="7320" w:type="dxa"/>
            <w:vAlign w:val="bottom"/>
            <w:gridSpan w:val="2"/>
          </w:tcPr>
          <w:p>
            <w:pPr>
              <w:ind w:left="20"/>
              <w:spacing w:after="0"/>
              <w:rPr>
                <w:sz w:val="20"/>
                <w:szCs w:val="20"/>
                <w:color w:val="auto"/>
              </w:rPr>
            </w:pPr>
            <w:r>
              <w:rPr>
                <w:rFonts w:ascii="Arial" w:cs="Arial" w:eastAsia="Arial" w:hAnsi="Arial"/>
                <w:sz w:val="17"/>
                <w:szCs w:val="17"/>
                <w:color w:val="auto"/>
                <w:w w:val="95"/>
              </w:rPr>
              <w:t>Retired; Vice President of Operations of Taylor Corporation from 1985 to 1999; various positions with</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1996</w:t>
            </w:r>
          </w:p>
        </w:tc>
        <w:tc>
          <w:tcPr>
            <w:tcW w:w="0" w:type="dxa"/>
            <w:vAlign w:val="bottom"/>
          </w:tcPr>
          <w:p>
            <w:pPr>
              <w:spacing w:after="0"/>
              <w:rPr>
                <w:sz w:val="1"/>
                <w:szCs w:val="1"/>
                <w:color w:val="auto"/>
              </w:rPr>
            </w:pPr>
          </w:p>
        </w:tc>
      </w:tr>
      <w:tr>
        <w:trPr>
          <w:trHeight w:val="221"/>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20" w:type="dxa"/>
            <w:vAlign w:val="bottom"/>
            <w:gridSpan w:val="2"/>
          </w:tcPr>
          <w:p>
            <w:pPr>
              <w:ind w:left="20"/>
              <w:spacing w:after="0"/>
              <w:rPr>
                <w:sz w:val="20"/>
                <w:szCs w:val="20"/>
                <w:color w:val="auto"/>
              </w:rPr>
            </w:pPr>
            <w:r>
              <w:rPr>
                <w:rFonts w:ascii="Arial" w:cs="Arial" w:eastAsia="Arial" w:hAnsi="Arial"/>
                <w:sz w:val="17"/>
                <w:szCs w:val="17"/>
                <w:color w:val="auto"/>
              </w:rPr>
              <w:t>Taylor Corporation from 1966 to 1985.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Mary J. Schumacher</w:t>
            </w: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Retired; Twin Cities Habitat for Humanity — Chief Operating Officer from 2010 to 2011; Andersen</w:t>
            </w: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4"/>
              </w:rPr>
              <w:t>Corporation — Senior Vice President and General Manager from 2008 to 2010, Senior Vice President,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Research, Technology, Quality and Engineering from 2003 to 2008; various positions at Ecolab Inc.</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from 1992 to 2003; various positions at The Pillsbury Company from 1979 to 1992.</w:t>
            </w: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00" w:type="dxa"/>
            <w:vAlign w:val="bottom"/>
            <w:gridSpan w:val="2"/>
          </w:tcPr>
          <w:p>
            <w:pPr>
              <w:ind w:left="40"/>
              <w:spacing w:after="0"/>
              <w:rPr>
                <w:sz w:val="20"/>
                <w:szCs w:val="20"/>
                <w:color w:val="auto"/>
              </w:rPr>
            </w:pPr>
            <w:r>
              <w:rPr>
                <w:rFonts w:ascii="Arial" w:cs="Arial" w:eastAsia="Arial" w:hAnsi="Arial"/>
                <w:sz w:val="17"/>
                <w:szCs w:val="17"/>
                <w:color w:val="auto"/>
              </w:rPr>
              <w:t>Daryl I. Skaar</w:t>
            </w:r>
          </w:p>
        </w:tc>
        <w:tc>
          <w:tcPr>
            <w:tcW w:w="7320" w:type="dxa"/>
            <w:vAlign w:val="bottom"/>
            <w:gridSpan w:val="2"/>
          </w:tcPr>
          <w:p>
            <w:pPr>
              <w:ind w:left="20"/>
              <w:spacing w:after="0"/>
              <w:rPr>
                <w:sz w:val="20"/>
                <w:szCs w:val="20"/>
                <w:color w:val="auto"/>
              </w:rPr>
            </w:pPr>
            <w:r>
              <w:rPr>
                <w:rFonts w:ascii="Arial" w:cs="Arial" w:eastAsia="Arial" w:hAnsi="Arial"/>
                <w:sz w:val="17"/>
                <w:szCs w:val="17"/>
                <w:color w:val="auto"/>
                <w:w w:val="98"/>
              </w:rPr>
              <w:t>Retired; Vice President and Chief Procurement Officer of Lucent Technologies from 1997 to 2000;</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2001</w:t>
            </w: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7"/>
                <w:szCs w:val="17"/>
                <w:color w:val="auto"/>
              </w:rPr>
              <w:t>various positions at 3M from 1965 to 1997, most recently as Vice President of Purchasing and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20" w:type="dxa"/>
            <w:vAlign w:val="bottom"/>
            <w:gridSpan w:val="2"/>
          </w:tcPr>
          <w:p>
            <w:pPr>
              <w:ind w:left="20"/>
              <w:spacing w:after="0"/>
              <w:rPr>
                <w:sz w:val="20"/>
                <w:szCs w:val="20"/>
                <w:color w:val="auto"/>
              </w:rPr>
            </w:pPr>
            <w:r>
              <w:rPr>
                <w:rFonts w:ascii="Arial" w:cs="Arial" w:eastAsia="Arial" w:hAnsi="Arial"/>
                <w:sz w:val="17"/>
                <w:szCs w:val="17"/>
                <w:color w:val="auto"/>
              </w:rPr>
              <w:t>Packaging Engineering.</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Daniel J. Stauber</w:t>
            </w: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6"/>
              </w:rPr>
              <w:t>Chief Brand Officer for Stauber Performance Ingredients, Inc. (“Stauber”), a wholly owned subsidiary</w:t>
            </w: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February 2016</w:t>
            </w: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 the company since December 2015; Chief Executive Officer of Stauber from 1998 until its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6"/>
              </w:rPr>
              <w:t>acquisition in December 2015; President from 1994 to 1998 and various other positions with Stauber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from 1984 to 1994.</w:t>
            </w: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00" w:type="dxa"/>
            <w:vAlign w:val="bottom"/>
            <w:gridSpan w:val="2"/>
          </w:tcPr>
          <w:p>
            <w:pPr>
              <w:ind w:left="40"/>
              <w:spacing w:after="0"/>
              <w:rPr>
                <w:sz w:val="20"/>
                <w:szCs w:val="20"/>
                <w:color w:val="auto"/>
              </w:rPr>
            </w:pPr>
            <w:r>
              <w:rPr>
                <w:rFonts w:ascii="Arial" w:cs="Arial" w:eastAsia="Arial" w:hAnsi="Arial"/>
                <w:sz w:val="17"/>
                <w:szCs w:val="17"/>
                <w:color w:val="auto"/>
              </w:rPr>
              <w:t>James T. Thompson</w:t>
            </w:r>
          </w:p>
        </w:tc>
        <w:tc>
          <w:tcPr>
            <w:tcW w:w="7320" w:type="dxa"/>
            <w:vAlign w:val="bottom"/>
            <w:gridSpan w:val="2"/>
          </w:tcPr>
          <w:p>
            <w:pPr>
              <w:ind w:left="20"/>
              <w:spacing w:after="0"/>
              <w:rPr>
                <w:sz w:val="20"/>
                <w:szCs w:val="20"/>
                <w:color w:val="auto"/>
              </w:rPr>
            </w:pPr>
            <w:r>
              <w:rPr>
                <w:rFonts w:ascii="Arial" w:cs="Arial" w:eastAsia="Arial" w:hAnsi="Arial"/>
                <w:sz w:val="17"/>
                <w:szCs w:val="17"/>
                <w:color w:val="auto"/>
                <w:w w:val="96"/>
              </w:rPr>
              <w:t>Retired; Executive Vice President — Commercial of The Mosaic Company from 2004 to 2007; board</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2009</w:t>
            </w: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7"/>
                <w:szCs w:val="17"/>
                <w:color w:val="auto"/>
                <w:w w:val="98"/>
              </w:rPr>
              <w:t>member, Sims Metal Management since 2009; various positions at Cargill, Inc. from 1974 to 2004,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20" w:type="dxa"/>
            <w:vAlign w:val="bottom"/>
            <w:gridSpan w:val="2"/>
          </w:tcPr>
          <w:p>
            <w:pPr>
              <w:ind w:left="20"/>
              <w:spacing w:after="0"/>
              <w:rPr>
                <w:sz w:val="20"/>
                <w:szCs w:val="20"/>
                <w:color w:val="auto"/>
              </w:rPr>
            </w:pPr>
            <w:r>
              <w:rPr>
                <w:rFonts w:ascii="Arial" w:cs="Arial" w:eastAsia="Arial" w:hAnsi="Arial"/>
                <w:sz w:val="17"/>
                <w:szCs w:val="17"/>
                <w:color w:val="auto"/>
              </w:rPr>
              <w:t>most recently as President of Cargill Steel from 1996 to 2004.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300" w:type="dxa"/>
            <w:vAlign w:val="bottom"/>
            <w:gridSpan w:val="2"/>
          </w:tcPr>
          <w:p>
            <w:pPr>
              <w:ind w:left="40"/>
              <w:spacing w:after="0"/>
              <w:rPr>
                <w:sz w:val="20"/>
                <w:szCs w:val="20"/>
                <w:color w:val="auto"/>
              </w:rPr>
            </w:pPr>
            <w:r>
              <w:rPr>
                <w:rFonts w:ascii="Arial" w:cs="Arial" w:eastAsia="Arial" w:hAnsi="Arial"/>
                <w:sz w:val="17"/>
                <w:szCs w:val="17"/>
                <w:color w:val="auto"/>
              </w:rPr>
              <w:t>Jeffrey L. Wright</w:t>
            </w:r>
          </w:p>
        </w:tc>
        <w:tc>
          <w:tcPr>
            <w:tcW w:w="7320" w:type="dxa"/>
            <w:vAlign w:val="bottom"/>
            <w:gridSpan w:val="2"/>
          </w:tcPr>
          <w:p>
            <w:pPr>
              <w:ind w:left="20"/>
              <w:spacing w:after="0"/>
              <w:rPr>
                <w:sz w:val="20"/>
                <w:szCs w:val="20"/>
                <w:color w:val="auto"/>
              </w:rPr>
            </w:pPr>
            <w:r>
              <w:rPr>
                <w:rFonts w:ascii="Arial" w:cs="Arial" w:eastAsia="Arial" w:hAnsi="Arial"/>
                <w:sz w:val="17"/>
                <w:szCs w:val="17"/>
                <w:color w:val="auto"/>
                <w:w w:val="98"/>
              </w:rPr>
              <w:t>Retired; G&amp;K Services — Chief Financial Officer from 1999 to 2014, Executive Vice President and</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2009</w:t>
            </w: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7"/>
                <w:szCs w:val="17"/>
                <w:color w:val="auto"/>
                <w:w w:val="97"/>
              </w:rPr>
              <w:t>Director from 2009 to 2014, Senior Vice President from 2004 to 2009, Treasurer and Secretary from</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20" w:type="dxa"/>
            <w:vAlign w:val="bottom"/>
            <w:gridSpan w:val="2"/>
          </w:tcPr>
          <w:p>
            <w:pPr>
              <w:ind w:left="20"/>
              <w:spacing w:after="0"/>
              <w:rPr>
                <w:sz w:val="20"/>
                <w:szCs w:val="20"/>
                <w:color w:val="auto"/>
              </w:rPr>
            </w:pPr>
            <w:r>
              <w:rPr>
                <w:rFonts w:ascii="Arial" w:cs="Arial" w:eastAsia="Arial" w:hAnsi="Arial"/>
                <w:sz w:val="17"/>
                <w:szCs w:val="17"/>
                <w:color w:val="auto"/>
                <w:w w:val="99"/>
              </w:rPr>
              <w:t>1999 to 2003; BMC Industries, Inc. — Treasurer from 1998 to 1999, Controller from 1996 to 1998;</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7251700" cy="694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700" cy="694690"/>
                    </a:xfrm>
                    <a:prstGeom prst="rect">
                      <a:avLst/>
                    </a:prstGeom>
                    <a:noFill/>
                  </pic:spPr>
                </pic:pic>
              </a:graphicData>
            </a:graphic>
          </wp:anchor>
        </w:drawing>
      </w:r>
    </w:p>
    <w:p>
      <w:pPr>
        <w:ind w:left="2320" w:right="2080"/>
        <w:spacing w:after="0" w:line="271" w:lineRule="auto"/>
        <w:rPr>
          <w:sz w:val="20"/>
          <w:szCs w:val="20"/>
          <w:color w:val="auto"/>
        </w:rPr>
      </w:pPr>
      <w:r>
        <w:rPr>
          <w:rFonts w:ascii="Arial" w:cs="Arial" w:eastAsia="Arial" w:hAnsi="Arial"/>
          <w:sz w:val="17"/>
          <w:szCs w:val="17"/>
          <w:color w:val="auto"/>
        </w:rPr>
        <w:t>various positions at Employee Benefit Plans, Inc. from 1993 to 1996, most recently as Vice President and Treasurer; employed by Arthur Andersen &amp; Co. from 1984 to 1993.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98" w:right="239" w:bottom="1440" w:gutter="0" w:footer="0" w:header="0"/>
        </w:sectPr>
      </w:pPr>
    </w:p>
    <w:bookmarkStart w:id="5" w:name="page6"/>
    <w:bookmarkEnd w:id="5"/>
    <w:p>
      <w:pPr>
        <w:ind w:left="400"/>
        <w:spacing w:after="0"/>
        <w:rPr>
          <w:sz w:val="20"/>
          <w:szCs w:val="20"/>
          <w:color w:val="auto"/>
        </w:rPr>
      </w:pPr>
      <w:r>
        <w:rPr>
          <w:rFonts w:ascii="Arial" w:cs="Arial" w:eastAsia="Arial" w:hAnsi="Arial"/>
          <w:sz w:val="17"/>
          <w:szCs w:val="17"/>
          <w:color w:val="auto"/>
        </w:rPr>
        <w:t>There are no family relationships among any of our directors, executive officers, or director nominees.</w:t>
      </w:r>
    </w:p>
    <w:p>
      <w:pPr>
        <w:spacing w:after="0" w:line="91" w:lineRule="exact"/>
        <w:rPr>
          <w:sz w:val="20"/>
          <w:szCs w:val="20"/>
          <w:color w:val="auto"/>
        </w:rPr>
      </w:pPr>
    </w:p>
    <w:p>
      <w:pPr>
        <w:ind w:right="80" w:firstLine="417"/>
        <w:spacing w:after="0" w:line="266" w:lineRule="auto"/>
        <w:rPr>
          <w:sz w:val="20"/>
          <w:szCs w:val="20"/>
          <w:color w:val="auto"/>
        </w:rPr>
      </w:pPr>
      <w:r>
        <w:rPr>
          <w:rFonts w:ascii="Arial" w:cs="Arial" w:eastAsia="Arial" w:hAnsi="Arial"/>
          <w:sz w:val="17"/>
          <w:szCs w:val="17"/>
          <w:color w:val="auto"/>
        </w:rPr>
        <w:t>On December 23, 2015, we entered into an employment agreement with Mr. Stauber pursuant to which he is to serve as a member of our Board of Directors through December 23, 2018, subject to the approval of the Board of Directors and the standard policies and procedures for such Board service or removal from the Board. Other than the foregoing, there are no arrangements or understandings between any director nominee and any other person pursuant to which a director nominee was selected as a director or a director nominee.</w:t>
      </w:r>
    </w:p>
    <w:p>
      <w:pPr>
        <w:spacing w:after="0" w:line="45" w:lineRule="exact"/>
        <w:rPr>
          <w:sz w:val="20"/>
          <w:szCs w:val="20"/>
          <w:color w:val="auto"/>
        </w:rPr>
      </w:pPr>
    </w:p>
    <w:p>
      <w:pPr>
        <w:ind w:firstLine="417"/>
        <w:spacing w:after="0" w:line="263" w:lineRule="auto"/>
        <w:rPr>
          <w:sz w:val="20"/>
          <w:szCs w:val="20"/>
          <w:color w:val="auto"/>
        </w:rPr>
      </w:pPr>
      <w:r>
        <w:rPr>
          <w:rFonts w:ascii="Arial" w:cs="Arial" w:eastAsia="Arial" w:hAnsi="Arial"/>
          <w:sz w:val="17"/>
          <w:szCs w:val="17"/>
          <w:color w:val="auto"/>
        </w:rPr>
        <w:t>Each director nominee brings unique capabilities to our Board of Directors.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The following is information as to why each nominee should serve as a director of our company:</w:t>
      </w:r>
    </w:p>
    <w:p>
      <w:pPr>
        <w:spacing w:after="0" w:line="257" w:lineRule="exact"/>
        <w:rPr>
          <w:sz w:val="20"/>
          <w:szCs w:val="20"/>
          <w:color w:val="auto"/>
        </w:rPr>
      </w:pPr>
    </w:p>
    <w:p>
      <w:pPr>
        <w:jc w:val="both"/>
        <w:ind w:left="700" w:right="60" w:hanging="305"/>
        <w:spacing w:after="0" w:line="271"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Mr. McKeon </w:t>
      </w:r>
      <w:r>
        <w:rPr>
          <w:rFonts w:ascii="Arial" w:cs="Arial" w:eastAsia="Arial" w:hAnsi="Arial"/>
          <w:sz w:val="17"/>
          <w:szCs w:val="17"/>
          <w:color w:val="auto"/>
        </w:rPr>
        <w:t>has been our Chairman of the Board since 2005 and has extensive experience in management, manufacturing and corporate finance, having</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President and Chief Operating Officer of ConAgra Foods, Inc. Venture Development Group. His knowledge of our company and its business is also valuable in formulating and executing our business plans and growth strategies.</w:t>
      </w:r>
    </w:p>
    <w:p>
      <w:pPr>
        <w:spacing w:after="0" w:line="171" w:lineRule="exact"/>
        <w:rPr>
          <w:rFonts w:ascii="Arial" w:cs="Arial" w:eastAsia="Arial" w:hAnsi="Arial"/>
          <w:sz w:val="17"/>
          <w:szCs w:val="17"/>
          <w:color w:val="auto"/>
        </w:rPr>
      </w:pPr>
    </w:p>
    <w:p>
      <w:pPr>
        <w:ind w:left="700" w:right="20" w:hanging="305"/>
        <w:spacing w:after="0" w:line="286"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Mr. Hawkins </w:t>
      </w:r>
      <w:r>
        <w:rPr>
          <w:rFonts w:ascii="Arial" w:cs="Arial" w:eastAsia="Arial" w:hAnsi="Arial"/>
          <w:sz w:val="17"/>
          <w:szCs w:val="17"/>
          <w:color w:val="auto"/>
        </w:rPr>
        <w:t>has been our Chief Executive Officer since 2011. Mr. Hawkins has been with the company since 1992, giving him an intimate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and its business and a deep passion for our continued success.</w:t>
      </w:r>
    </w:p>
    <w:p>
      <w:pPr>
        <w:spacing w:after="0" w:line="159" w:lineRule="exact"/>
        <w:rPr>
          <w:rFonts w:ascii="Arial" w:cs="Arial" w:eastAsia="Arial" w:hAnsi="Arial"/>
          <w:sz w:val="17"/>
          <w:szCs w:val="17"/>
          <w:color w:val="auto"/>
        </w:rPr>
      </w:pPr>
    </w:p>
    <w:p>
      <w:pPr>
        <w:jc w:val="both"/>
        <w:ind w:left="700" w:right="340" w:hanging="305"/>
        <w:spacing w:after="0" w:line="356" w:lineRule="auto"/>
        <w:tabs>
          <w:tab w:leader="none" w:pos="7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Mr. Faulconbridge </w:t>
      </w:r>
      <w:r>
        <w:rPr>
          <w:rFonts w:ascii="Arial" w:cs="Arial" w:eastAsia="Arial" w:hAnsi="Arial"/>
          <w:sz w:val="15"/>
          <w:szCs w:val="15"/>
          <w:color w:val="auto"/>
        </w:rPr>
        <w:t>is a principal of Karges-Faulconbridge, Inc., an engineering and technical services firm that services a broad variety of industries,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the ethanol industry. His background provides the company with technical expertise and insight into ethanol and other industries we serve.</w:t>
      </w:r>
    </w:p>
    <w:p>
      <w:pPr>
        <w:spacing w:after="0" w:line="113" w:lineRule="exact"/>
        <w:rPr>
          <w:rFonts w:ascii="Arial" w:cs="Arial" w:eastAsia="Arial" w:hAnsi="Arial"/>
          <w:sz w:val="15"/>
          <w:szCs w:val="15"/>
          <w:color w:val="auto"/>
        </w:rPr>
      </w:pPr>
    </w:p>
    <w:p>
      <w:pPr>
        <w:ind w:left="700" w:right="480" w:hanging="305"/>
        <w:spacing w:after="0" w:line="319"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Mr. Jergenson </w:t>
      </w:r>
      <w:r>
        <w:rPr>
          <w:rFonts w:ascii="Arial" w:cs="Arial" w:eastAsia="Arial" w:hAnsi="Arial"/>
          <w:sz w:val="16"/>
          <w:szCs w:val="16"/>
          <w:color w:val="auto"/>
        </w:rPr>
        <w:t>has been on our Board since 1996. His operations management experience with Taylor Corporation, one of the largest privately held</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 the United States, provides valuable perspective and insight as our company seeks and implements growth opportunities.</w:t>
      </w:r>
    </w:p>
    <w:p>
      <w:pPr>
        <w:spacing w:after="0" w:line="135" w:lineRule="exact"/>
        <w:rPr>
          <w:rFonts w:ascii="Arial" w:cs="Arial" w:eastAsia="Arial" w:hAnsi="Arial"/>
          <w:sz w:val="16"/>
          <w:szCs w:val="16"/>
          <w:color w:val="auto"/>
        </w:rPr>
      </w:pPr>
    </w:p>
    <w:p>
      <w:pPr>
        <w:ind w:left="700" w:right="280" w:hanging="305"/>
        <w:spacing w:after="0" w:line="266"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Ms. Schumacher </w:t>
      </w:r>
      <w:r>
        <w:rPr>
          <w:rFonts w:ascii="Arial" w:cs="Arial" w:eastAsia="Arial" w:hAnsi="Arial"/>
          <w:sz w:val="17"/>
          <w:szCs w:val="17"/>
          <w:color w:val="auto"/>
        </w:rPr>
        <w:t>has extensive knowledge of the chemical industry and valuable experience in research and development, quality and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with major corporations such as Andersen Corporation, a manufacturer of windows and doors, Ecolab Corporation, a leading supplier of cleaning and sanitizing products and services and Pillsbury Company, a food manufacturer. In addition, Ms. Schumacher holds a bachelor’s degree in chemical engineering from the University of Minnesota.</w:t>
      </w:r>
    </w:p>
    <w:p>
      <w:pPr>
        <w:spacing w:after="0" w:line="175" w:lineRule="exact"/>
        <w:rPr>
          <w:rFonts w:ascii="Arial" w:cs="Arial" w:eastAsia="Arial" w:hAnsi="Arial"/>
          <w:sz w:val="17"/>
          <w:szCs w:val="17"/>
          <w:color w:val="auto"/>
        </w:rPr>
      </w:pPr>
    </w:p>
    <w:p>
      <w:pPr>
        <w:ind w:left="700" w:right="200" w:hanging="305"/>
        <w:spacing w:after="0" w:line="271"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Mr. Stauber </w:t>
      </w:r>
      <w:r>
        <w:rPr>
          <w:rFonts w:ascii="Arial" w:cs="Arial" w:eastAsia="Arial" w:hAnsi="Arial"/>
          <w:sz w:val="17"/>
          <w:szCs w:val="17"/>
          <w:color w:val="auto"/>
        </w:rPr>
        <w:t>has extensive knowledge of the health and nutrition industry, having spent over 30 years helping to build Stauber into the company we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in December 2015, and having served as Chief Executive Officer of Stauber from 1998 to 2015. His knowledge of this business is valuable in formulating and executing our business plans and growth strategies for this new segment of our business.</w:t>
      </w:r>
    </w:p>
    <w:p>
      <w:pPr>
        <w:spacing w:after="0" w:line="171" w:lineRule="exact"/>
        <w:rPr>
          <w:rFonts w:ascii="Arial" w:cs="Arial" w:eastAsia="Arial" w:hAnsi="Arial"/>
          <w:sz w:val="17"/>
          <w:szCs w:val="17"/>
          <w:color w:val="auto"/>
        </w:rPr>
      </w:pPr>
    </w:p>
    <w:p>
      <w:pPr>
        <w:ind w:left="700" w:right="140" w:hanging="305"/>
        <w:spacing w:after="0" w:line="271" w:lineRule="auto"/>
        <w:tabs>
          <w:tab w:leader="none" w:pos="70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Mr. Skaar </w:t>
      </w:r>
      <w:r>
        <w:rPr>
          <w:rFonts w:ascii="Arial" w:cs="Arial" w:eastAsia="Arial" w:hAnsi="Arial"/>
          <w:sz w:val="17"/>
          <w:szCs w:val="17"/>
          <w:color w:val="auto"/>
        </w:rPr>
        <w:t>has extensive experience in purchasing and procurement for large public companies, having served as Vice President and Chief Procurement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at Lucent Technologies and Vice President of Purchasing and Packing Engineering at 3M. This experience is valuable given the large number of products we must buy to operate our business.</w:t>
      </w:r>
    </w:p>
    <w:p>
      <w:pPr>
        <w:spacing w:after="0" w:line="171" w:lineRule="exact"/>
        <w:rPr>
          <w:rFonts w:ascii="Arial" w:cs="Arial" w:eastAsia="Arial" w:hAnsi="Arial"/>
          <w:sz w:val="17"/>
          <w:szCs w:val="17"/>
          <w:i w:val="1"/>
          <w:iCs w:val="1"/>
          <w:color w:val="auto"/>
        </w:rPr>
      </w:pPr>
    </w:p>
    <w:p>
      <w:pPr>
        <w:ind w:left="700" w:right="60" w:hanging="305"/>
        <w:spacing w:after="0" w:line="295"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Mr. Thompson </w:t>
      </w:r>
      <w:r>
        <w:rPr>
          <w:rFonts w:ascii="Arial" w:cs="Arial" w:eastAsia="Arial" w:hAnsi="Arial"/>
          <w:sz w:val="16"/>
          <w:szCs w:val="16"/>
          <w:color w:val="auto"/>
        </w:rPr>
        <w:t>has experience with major manufacturing and commodity companies, having served 30 years at Cargill, Inc., including eight years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Cargill Steel, and three years as Executive Vice President—Commercial for The Mosaic Company, one of the world’s leading producers and marketers of concentrated phosphate and potash. This knowledge and experience is valuable to us in our commodity chemicals business.</w:t>
      </w:r>
    </w:p>
    <w:p>
      <w:pPr>
        <w:spacing w:after="0" w:line="154" w:lineRule="exact"/>
        <w:rPr>
          <w:rFonts w:ascii="Arial" w:cs="Arial" w:eastAsia="Arial" w:hAnsi="Arial"/>
          <w:sz w:val="16"/>
          <w:szCs w:val="16"/>
          <w:color w:val="auto"/>
        </w:rPr>
      </w:pPr>
    </w:p>
    <w:p>
      <w:pPr>
        <w:ind w:left="700" w:right="100" w:hanging="305"/>
        <w:spacing w:after="0" w:line="271"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Mr. Wright </w:t>
      </w:r>
      <w:r>
        <w:rPr>
          <w:rFonts w:ascii="Arial" w:cs="Arial" w:eastAsia="Arial" w:hAnsi="Arial"/>
          <w:sz w:val="17"/>
          <w:szCs w:val="17"/>
          <w:color w:val="auto"/>
        </w:rPr>
        <w:t>has extensive public company finance and audit experience, having served as Chief Financial Officer of G&amp;K Services, Inc. and having been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Arthur Andersen &amp; Co. He also has public company board experience, previously serving as a director of G&amp;K Services, Inc. His background provides us with valuable financial and accounting experience as well as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726" w:right="2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Director Independence</w:t>
      </w:r>
    </w:p>
    <w:p>
      <w:pPr>
        <w:spacing w:after="0" w:line="97" w:lineRule="exact"/>
        <w:rPr>
          <w:sz w:val="20"/>
          <w:szCs w:val="20"/>
          <w:color w:val="auto"/>
        </w:rPr>
      </w:pPr>
    </w:p>
    <w:p>
      <w:pPr>
        <w:jc w:val="both"/>
        <w:ind w:right="20" w:firstLine="417"/>
        <w:spacing w:after="0" w:line="271" w:lineRule="auto"/>
        <w:rPr>
          <w:sz w:val="20"/>
          <w:szCs w:val="20"/>
          <w:color w:val="auto"/>
        </w:rPr>
      </w:pPr>
      <w:r>
        <w:rPr>
          <w:rFonts w:ascii="Arial" w:cs="Arial" w:eastAsia="Arial" w:hAnsi="Arial"/>
          <w:sz w:val="17"/>
          <w:szCs w:val="17"/>
          <w:color w:val="auto"/>
        </w:rPr>
        <w:t>Our Board of Directors has determined that, of the director nominees, each of Messrs. Faulconbridge, Jergenson, McKeon, Skaar, Thompson and Wright, and Ms. Schumacher, are “independent directors” as that term is defined under the applicable listing standards of the NASDAQ Stock Market. Accordingly, a majority of our directors are independent.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CORPORATE GOVERNANCE</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the Board of Directors</w:t>
      </w:r>
    </w:p>
    <w:p>
      <w:pPr>
        <w:spacing w:after="0" w:line="97" w:lineRule="exact"/>
        <w:rPr>
          <w:sz w:val="20"/>
          <w:szCs w:val="20"/>
          <w:color w:val="auto"/>
        </w:rPr>
      </w:pPr>
    </w:p>
    <w:p>
      <w:pPr>
        <w:ind w:right="60" w:firstLine="417"/>
        <w:spacing w:after="0" w:line="271" w:lineRule="auto"/>
        <w:rPr>
          <w:sz w:val="20"/>
          <w:szCs w:val="20"/>
          <w:color w:val="auto"/>
        </w:rPr>
      </w:pPr>
      <w:r>
        <w:rPr>
          <w:rFonts w:ascii="Arial" w:cs="Arial" w:eastAsia="Arial" w:hAnsi="Arial"/>
          <w:sz w:val="17"/>
          <w:szCs w:val="17"/>
          <w:color w:val="auto"/>
        </w:rPr>
        <w:t>Our Board of Directors held five meetings during the fiscal year ended April 2, 2017, hereinafter referred to as “fiscal 2017.” All directors attended at least 75% of the meetings of our Board and the committees on which they served. All active directors attended our Annual Meeting of Shareholders in 2016. Our Board encourages, but does not require, director attendance at annual meetings of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Leadership Structure of the Board of Directors</w:t>
      </w:r>
    </w:p>
    <w:p>
      <w:pPr>
        <w:spacing w:after="0" w:line="97" w:lineRule="exact"/>
        <w:rPr>
          <w:sz w:val="20"/>
          <w:szCs w:val="20"/>
          <w:color w:val="auto"/>
        </w:rPr>
      </w:pPr>
    </w:p>
    <w:p>
      <w:pPr>
        <w:ind w:right="100" w:firstLine="417"/>
        <w:spacing w:after="0" w:line="283" w:lineRule="auto"/>
        <w:rPr>
          <w:sz w:val="20"/>
          <w:szCs w:val="20"/>
          <w:color w:val="auto"/>
        </w:rPr>
      </w:pPr>
      <w:r>
        <w:rPr>
          <w:rFonts w:ascii="Arial" w:cs="Arial" w:eastAsia="Arial" w:hAnsi="Arial"/>
          <w:sz w:val="16"/>
          <w:szCs w:val="16"/>
          <w:color w:val="auto"/>
        </w:rPr>
        <w:t>Our Board of Directors does not have a policy regarding the separation of the roles of Chief Executive Officer and Chairman of the Board, as the Board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 Further, this structure permits our Chief Executive Officer to focus on the management of the company’s day-to-day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97" w:lineRule="exact"/>
        <w:rPr>
          <w:sz w:val="20"/>
          <w:szCs w:val="20"/>
          <w:color w:val="auto"/>
        </w:rPr>
      </w:pPr>
    </w:p>
    <w:p>
      <w:pPr>
        <w:ind w:right="40" w:firstLine="417"/>
        <w:spacing w:after="0" w:line="287" w:lineRule="auto"/>
        <w:rPr>
          <w:sz w:val="20"/>
          <w:szCs w:val="20"/>
          <w:color w:val="auto"/>
        </w:rPr>
      </w:pPr>
      <w:r>
        <w:rPr>
          <w:rFonts w:ascii="Arial" w:cs="Arial" w:eastAsia="Arial" w:hAnsi="Arial"/>
          <w:sz w:val="16"/>
          <w:szCs w:val="16"/>
          <w:color w:val="auto"/>
        </w:rPr>
        <w:t>The Audit Committee, which consists of Jeffrey L. Wright (Chair), James A. Faulconbridge, Mary J. Schumacher and Daryl I. Skaar,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four meetings during fiscal 2017.</w:t>
      </w:r>
    </w:p>
    <w:p>
      <w:pPr>
        <w:spacing w:after="0" w:line="31" w:lineRule="exact"/>
        <w:rPr>
          <w:sz w:val="20"/>
          <w:szCs w:val="20"/>
          <w:color w:val="auto"/>
        </w:rPr>
      </w:pPr>
    </w:p>
    <w:p>
      <w:pPr>
        <w:ind w:right="160" w:firstLine="417"/>
        <w:spacing w:after="0" w:line="266" w:lineRule="auto"/>
        <w:rPr>
          <w:sz w:val="20"/>
          <w:szCs w:val="20"/>
          <w:color w:val="auto"/>
        </w:rPr>
      </w:pPr>
      <w:r>
        <w:rPr>
          <w:rFonts w:ascii="Arial" w:cs="Arial" w:eastAsia="Arial" w:hAnsi="Arial"/>
          <w:sz w:val="17"/>
          <w:szCs w:val="17"/>
          <w:color w:val="auto"/>
        </w:rPr>
        <w:t>Our Board of Directors has determined that all members of the Audit Committee are “independent” as that term is used in Section 10A(m) of the Securities Exchange Act of 1934 and “Independent Directors” as that term is defined under the applicable listing standards of the NASDAQ Stock Market. Our Board has determined that Messrs. Wright, Faulconbridge and Skaar, and Ms. Schumacher, are “audit committee financial experts,” as the term is defined by regulations promulgated by the Securities and Exchange Commission (SEC).</w:t>
      </w:r>
    </w:p>
    <w:p>
      <w:pPr>
        <w:spacing w:after="0" w:line="45" w:lineRule="exact"/>
        <w:rPr>
          <w:sz w:val="20"/>
          <w:szCs w:val="20"/>
          <w:color w:val="auto"/>
        </w:rPr>
      </w:pPr>
    </w:p>
    <w:p>
      <w:pPr>
        <w:ind w:right="800" w:firstLine="417"/>
        <w:spacing w:after="0" w:line="286" w:lineRule="auto"/>
        <w:rPr>
          <w:sz w:val="20"/>
          <w:szCs w:val="20"/>
          <w:color w:val="auto"/>
        </w:rPr>
      </w:pPr>
      <w:r>
        <w:rPr>
          <w:rFonts w:ascii="Arial" w:cs="Arial" w:eastAsia="Arial" w:hAnsi="Arial"/>
          <w:sz w:val="17"/>
          <w:szCs w:val="17"/>
          <w:color w:val="auto"/>
        </w:rPr>
        <w:t>The responsibilities of the Audit Committee are set forth in the Audit Committee Charter. A current copy of the charter is available on our website (www.hawkinsinc.com).</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97" w:lineRule="exact"/>
        <w:rPr>
          <w:sz w:val="20"/>
          <w:szCs w:val="20"/>
          <w:color w:val="auto"/>
        </w:rPr>
      </w:pPr>
    </w:p>
    <w:p>
      <w:pPr>
        <w:ind w:firstLine="417"/>
        <w:spacing w:after="0" w:line="271" w:lineRule="auto"/>
        <w:rPr>
          <w:sz w:val="20"/>
          <w:szCs w:val="20"/>
          <w:color w:val="auto"/>
        </w:rPr>
      </w:pPr>
      <w:r>
        <w:rPr>
          <w:rFonts w:ascii="Arial" w:cs="Arial" w:eastAsia="Arial" w:hAnsi="Arial"/>
          <w:sz w:val="17"/>
          <w:szCs w:val="17"/>
          <w:color w:val="auto"/>
        </w:rPr>
        <w:t>The Compensation Committee, which currently consists of James T. Thompson (Chair), Duane M. Jergenson, Mary J. Schumacher, Daryl I. Skaar, and Jeffrey L. Wright, is responsible for establishing compensation policies for our company and for reviewing and setting compensation for our executive officers. The Compensation Committee held four meetings during fiscal 2017.</w:t>
      </w:r>
    </w:p>
    <w:p>
      <w:pPr>
        <w:spacing w:after="0" w:line="41" w:lineRule="exact"/>
        <w:rPr>
          <w:sz w:val="20"/>
          <w:szCs w:val="20"/>
          <w:color w:val="auto"/>
        </w:rPr>
      </w:pPr>
    </w:p>
    <w:p>
      <w:pPr>
        <w:jc w:val="both"/>
        <w:ind w:right="500" w:firstLine="417"/>
        <w:spacing w:after="0" w:line="295" w:lineRule="auto"/>
        <w:rPr>
          <w:sz w:val="20"/>
          <w:szCs w:val="20"/>
          <w:color w:val="auto"/>
        </w:rPr>
      </w:pPr>
      <w:r>
        <w:rPr>
          <w:rFonts w:ascii="Arial" w:cs="Arial" w:eastAsia="Arial" w:hAnsi="Arial"/>
          <w:sz w:val="16"/>
          <w:szCs w:val="16"/>
          <w:color w:val="auto"/>
        </w:rPr>
        <w:t>Our Board of Directors has determined that all members of the Compensation Committee are “independent directors” as that term is defined under the applicable listing standards of the NASDAQ Stock Market, “non-employee directors” as that term is defined in Rule 16b-3 promulgated under the Securities Exchange Act of 1934, and “outside directors” as that term is used in Section 162(m) of the Internal Revenue Code of 1986, as amended.</w:t>
      </w:r>
    </w:p>
    <w:p>
      <w:pPr>
        <w:spacing w:after="0" w:line="25" w:lineRule="exact"/>
        <w:rPr>
          <w:sz w:val="20"/>
          <w:szCs w:val="20"/>
          <w:color w:val="auto"/>
        </w:rPr>
      </w:pPr>
    </w:p>
    <w:p>
      <w:pPr>
        <w:ind w:firstLine="417"/>
        <w:spacing w:after="0" w:line="277" w:lineRule="auto"/>
        <w:rPr>
          <w:sz w:val="20"/>
          <w:szCs w:val="20"/>
          <w:color w:val="auto"/>
        </w:rPr>
      </w:pPr>
      <w:r>
        <w:rPr>
          <w:rFonts w:ascii="Arial" w:cs="Arial" w:eastAsia="Arial" w:hAnsi="Arial"/>
          <w:sz w:val="16"/>
          <w:szCs w:val="16"/>
          <w:color w:val="auto"/>
        </w:rPr>
        <w:t>The Compensation Committee retained independent compensation consultant McLagan to provide the Compensation Committee with independent advice regarding industry practices for fiscal 2017. No member of the Board of Directors or any executive officer has any affiliation with McLagan. McLagan provides no other services to the company, and reports directly to the chair of the Compensation Committee. The Compensation Committee has assessed the independence of McLagan in accordance with SEC and NASDAQ rules and regulations and has concluded that no conflict of interest exists that will prevent them from being independent consultants to the Compensation Committee. McLagan advised the Compensation Committee on the principal aspects of our executive compensation components and best practices in executive compensation and provided market information and analysis regarding the competitiveness of levels and components of total compensation for the company’s named executive officers for fiscal 2017. In determining the competitiveness of such compensation, the Compensation Committee reviewed survey data. The company does not benchmark its compensation. The Compensation Committee reviews and considers the information provided by McLagan to understand current compensation practices, levels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720" w:right="27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and structures and to inform its compensation decisions, but not to establish specific compensation parameters based on such data.</w:t>
      </w:r>
    </w:p>
    <w:p>
      <w:pPr>
        <w:spacing w:after="0" w:line="91" w:lineRule="exact"/>
        <w:rPr>
          <w:sz w:val="20"/>
          <w:szCs w:val="20"/>
          <w:color w:val="auto"/>
        </w:rPr>
      </w:pPr>
    </w:p>
    <w:p>
      <w:pPr>
        <w:ind w:right="500" w:firstLine="417"/>
        <w:spacing w:after="0" w:line="287" w:lineRule="auto"/>
        <w:rPr>
          <w:sz w:val="20"/>
          <w:szCs w:val="20"/>
          <w:color w:val="auto"/>
        </w:rPr>
      </w:pPr>
      <w:r>
        <w:rPr>
          <w:rFonts w:ascii="Arial" w:cs="Arial" w:eastAsia="Arial" w:hAnsi="Arial"/>
          <w:sz w:val="16"/>
          <w:szCs w:val="16"/>
          <w:color w:val="auto"/>
        </w:rPr>
        <w:t>The Compensation Committee also regularly consults with our Chief Executive Officer, who makes recommendations to the Compensation Committee regarding compensation of our executive officers other than the Chief Executive Officer, but the Chief Executive Officer is not present during voting or deliberations relating to his own compensation. Additional information on the role of the compensation consultants and management in the Compensation Committee’s processes and procedures can be found in the Compensation Discussion and Analysis section below.</w:t>
      </w:r>
    </w:p>
    <w:p>
      <w:pPr>
        <w:spacing w:after="0" w:line="31" w:lineRule="exact"/>
        <w:rPr>
          <w:sz w:val="20"/>
          <w:szCs w:val="20"/>
          <w:color w:val="auto"/>
        </w:rPr>
      </w:pPr>
    </w:p>
    <w:p>
      <w:pPr>
        <w:ind w:right="200" w:firstLine="417"/>
        <w:spacing w:after="0" w:line="286" w:lineRule="auto"/>
        <w:rPr>
          <w:sz w:val="20"/>
          <w:szCs w:val="20"/>
          <w:color w:val="auto"/>
        </w:rPr>
      </w:pPr>
      <w:r>
        <w:rPr>
          <w:rFonts w:ascii="Arial" w:cs="Arial" w:eastAsia="Arial" w:hAnsi="Arial"/>
          <w:sz w:val="17"/>
          <w:szCs w:val="17"/>
          <w:color w:val="auto"/>
        </w:rPr>
        <w:t>The responsibilities of the Compensation Committee are set forth in the Compensation Committee Charter. A current copy of the charter is available on our website (www.hawkinsinc.com).</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and Nominating Committee</w:t>
      </w:r>
    </w:p>
    <w:p>
      <w:pPr>
        <w:spacing w:after="0" w:line="97" w:lineRule="exact"/>
        <w:rPr>
          <w:sz w:val="20"/>
          <w:szCs w:val="20"/>
          <w:color w:val="auto"/>
        </w:rPr>
      </w:pPr>
    </w:p>
    <w:p>
      <w:pPr>
        <w:ind w:firstLine="417"/>
        <w:spacing w:after="0" w:line="260" w:lineRule="auto"/>
        <w:rPr>
          <w:sz w:val="20"/>
          <w:szCs w:val="20"/>
          <w:color w:val="auto"/>
        </w:rPr>
      </w:pPr>
      <w:r>
        <w:rPr>
          <w:rFonts w:ascii="Arial" w:cs="Arial" w:eastAsia="Arial" w:hAnsi="Arial"/>
          <w:sz w:val="17"/>
          <w:szCs w:val="17"/>
          <w:color w:val="auto"/>
        </w:rPr>
        <w:t>The Governance and Nominating Committee, which consists of James A. Faulconbridge (Chair), John S. McKeon, James T. Thompson and Jeffrey L. Wright, is responsible for identifying individuals qualified to become directors and recommending nominees to our Board of Directors for election at annual meetings of shareholders and to fill vacancies,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four meetings during fiscal 2017. The Governance and Nominating Committee evaluated potential candidates for director nomination on the basis indicated below and recommended to the Board that the director nominees included in this Proxy Statement be submitted to the shareholders for election at the Annual Meeting.</w:t>
      </w:r>
    </w:p>
    <w:p>
      <w:pPr>
        <w:spacing w:after="0" w:line="54" w:lineRule="exact"/>
        <w:rPr>
          <w:sz w:val="20"/>
          <w:szCs w:val="20"/>
          <w:color w:val="auto"/>
        </w:rPr>
      </w:pPr>
    </w:p>
    <w:p>
      <w:pPr>
        <w:ind w:right="40" w:firstLine="417"/>
        <w:spacing w:after="0" w:line="286" w:lineRule="auto"/>
        <w:rPr>
          <w:sz w:val="20"/>
          <w:szCs w:val="20"/>
          <w:color w:val="auto"/>
        </w:rPr>
      </w:pPr>
      <w:r>
        <w:rPr>
          <w:rFonts w:ascii="Arial" w:cs="Arial" w:eastAsia="Arial" w:hAnsi="Arial"/>
          <w:sz w:val="17"/>
          <w:szCs w:val="17"/>
          <w:color w:val="auto"/>
        </w:rPr>
        <w:t>The responsibilities of the Governance and Nominating Committee are set forth in the Governance and Nominating Committee Charter. A current copy of the charter is available on our website (www.hawkinsinc.com).</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Process</w:t>
      </w:r>
    </w:p>
    <w:p>
      <w:pPr>
        <w:spacing w:after="0" w:line="97" w:lineRule="exact"/>
        <w:rPr>
          <w:sz w:val="20"/>
          <w:szCs w:val="20"/>
          <w:color w:val="auto"/>
        </w:rPr>
      </w:pPr>
    </w:p>
    <w:p>
      <w:pPr>
        <w:ind w:right="20" w:firstLine="417"/>
        <w:spacing w:after="0" w:line="276" w:lineRule="auto"/>
        <w:rPr>
          <w:sz w:val="20"/>
          <w:szCs w:val="20"/>
          <w:color w:val="auto"/>
        </w:rPr>
      </w:pPr>
      <w:r>
        <w:rPr>
          <w:rFonts w:ascii="Arial" w:cs="Arial" w:eastAsia="Arial" w:hAnsi="Arial"/>
          <w:sz w:val="16"/>
          <w:szCs w:val="16"/>
          <w:color w:val="auto"/>
        </w:rPr>
        <w:t>In order to maintain flexibility in its consideration of candidates, our Board of Directors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Internal Revenue Service and SEC rules and NASDAQ Stock Market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w:t>
      </w:r>
    </w:p>
    <w:p>
      <w:pPr>
        <w:spacing w:after="0" w:line="97" w:lineRule="exact"/>
        <w:rPr>
          <w:sz w:val="20"/>
          <w:szCs w:val="20"/>
          <w:color w:val="auto"/>
        </w:rPr>
      </w:pPr>
    </w:p>
    <w:p>
      <w:pPr>
        <w:ind w:right="20" w:firstLine="417"/>
        <w:spacing w:after="0" w:line="277" w:lineRule="auto"/>
        <w:rPr>
          <w:sz w:val="20"/>
          <w:szCs w:val="20"/>
          <w:color w:val="auto"/>
        </w:rPr>
      </w:pPr>
      <w:r>
        <w:rPr>
          <w:rFonts w:ascii="Arial" w:cs="Arial" w:eastAsia="Arial" w:hAnsi="Arial"/>
          <w:sz w:val="16"/>
          <w:szCs w:val="16"/>
          <w:color w:val="auto"/>
        </w:rPr>
        <w:t>The company’s management is responsible for identifying the various risks facing the company, formulating risk management policies and procedures, and managing the company’s risk exposures on a day-to-day basis. The Board of Directors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is primarily responsible for monitoring management’s responsibility in the area of financial risk oversight, and financial risk management is a factor the Board and its Governance and Nominating Committee consider when determining which directors serve on the Audit Committee. Accordingly, management has reported to the Board and its Audit Committee on various risk management matters during fiscal 2017. The Audit Committee, in turn, reports on the matters discussed at the committee level to the full Board. The Audit Committee and the Board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648"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Communications with Directors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Shareholders can contact the full Board of Directors, the independent directors as a group or any of the individual directors by writing to our Secretary at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2381 Rosegate, Roseville, Minnesota 55113. All communications will be compiled by the Secretary and submitted to the addressees on a periodic basis.</w:t>
      </w: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040"/>
          </w:cols>
          <w:pgMar w:left="240" w:top="720" w:right="619" w:bottom="1440" w:gutter="0" w:footer="0" w:header="0"/>
        </w:sectPr>
      </w:pPr>
    </w:p>
    <w:bookmarkStart w:id="9" w:name="page10"/>
    <w:bookmarkEnd w:id="9"/>
    <w:p>
      <w:pPr>
        <w:ind w:left="2760"/>
        <w:spacing w:after="0"/>
        <w:rPr>
          <w:sz w:val="20"/>
          <w:szCs w:val="20"/>
          <w:color w:val="auto"/>
        </w:rPr>
      </w:pPr>
      <w:r>
        <w:rPr>
          <w:rFonts w:ascii="Arial" w:cs="Arial" w:eastAsia="Arial" w:hAnsi="Arial"/>
          <w:sz w:val="17"/>
          <w:szCs w:val="17"/>
          <w:b w:val="1"/>
          <w:bCs w:val="1"/>
          <w:color w:val="auto"/>
        </w:rPr>
        <w:t>REPORT OF THE AUDIT COMMITTEE OF THE BOARD OF DIRECTORS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Audit Committee has (i) reviewed and discussed our audited financial statements for fiscal 2017 with both our management and KPMG LLP (“KPMG”);</w:t>
      </w:r>
    </w:p>
    <w:p>
      <w:pPr>
        <w:spacing w:after="0" w:line="37" w:lineRule="exact"/>
        <w:rPr>
          <w:sz w:val="20"/>
          <w:szCs w:val="20"/>
          <w:color w:val="auto"/>
        </w:rPr>
      </w:pPr>
    </w:p>
    <w:p>
      <w:pPr>
        <w:ind w:right="20" w:firstLine="4"/>
        <w:spacing w:after="0" w:line="306" w:lineRule="auto"/>
        <w:tabs>
          <w:tab w:leader="none" w:pos="255" w:val="left"/>
        </w:tabs>
        <w:numPr>
          <w:ilvl w:val="0"/>
          <w:numId w:val="9"/>
        </w:numPr>
        <w:rPr>
          <w:rFonts w:ascii="Arial" w:cs="Arial" w:eastAsia="Arial" w:hAnsi="Arial"/>
          <w:sz w:val="15"/>
          <w:szCs w:val="15"/>
          <w:color w:val="auto"/>
        </w:rPr>
      </w:pPr>
      <w:r>
        <w:rPr>
          <w:rFonts w:ascii="Arial" w:cs="Arial" w:eastAsia="Arial" w:hAnsi="Arial"/>
          <w:sz w:val="15"/>
          <w:szCs w:val="15"/>
          <w:color w:val="auto"/>
        </w:rPr>
        <w:t>discussed with KPMG the matters required to be discussed by the applicable Public Company Accounting Oversight Board standards regarding communications with audit committees;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20" w:lineRule="exact"/>
        <w:rPr>
          <w:sz w:val="20"/>
          <w:szCs w:val="20"/>
          <w:color w:val="auto"/>
        </w:rPr>
      </w:pPr>
    </w:p>
    <w:p>
      <w:pPr>
        <w:ind w:right="160" w:firstLine="417"/>
        <w:spacing w:after="0" w:line="286" w:lineRule="auto"/>
        <w:rPr>
          <w:sz w:val="20"/>
          <w:szCs w:val="20"/>
          <w:color w:val="auto"/>
        </w:rPr>
      </w:pPr>
      <w:r>
        <w:rPr>
          <w:rFonts w:ascii="Arial" w:cs="Arial" w:eastAsia="Arial" w:hAnsi="Arial"/>
          <w:sz w:val="17"/>
          <w:szCs w:val="17"/>
          <w:color w:val="auto"/>
        </w:rPr>
        <w:t>Based on the review and discussions described above, the Audit Committee recommended to our Board of Directors that our audited financial statements be included in our Annual Report on Form 10-K for fiscal 2017 for filing with the SEC.</w:t>
      </w:r>
    </w:p>
    <w:p>
      <w:pPr>
        <w:spacing w:after="0" w:line="29" w:lineRule="exact"/>
        <w:rPr>
          <w:sz w:val="20"/>
          <w:szCs w:val="20"/>
          <w:color w:val="auto"/>
        </w:rPr>
      </w:pPr>
    </w:p>
    <w:p>
      <w:pPr>
        <w:ind w:left="2360"/>
        <w:spacing w:after="0"/>
        <w:tabs>
          <w:tab w:leader="none" w:pos="4460" w:val="left"/>
          <w:tab w:leader="none" w:pos="6560" w:val="left"/>
        </w:tabs>
        <w:rPr>
          <w:sz w:val="20"/>
          <w:szCs w:val="20"/>
          <w:color w:val="auto"/>
        </w:rPr>
      </w:pPr>
      <w:r>
        <w:rPr>
          <w:rFonts w:ascii="Arial" w:cs="Arial" w:eastAsia="Arial" w:hAnsi="Arial"/>
          <w:sz w:val="17"/>
          <w:szCs w:val="17"/>
          <w:i w:val="1"/>
          <w:iCs w:val="1"/>
          <w:color w:val="auto"/>
        </w:rPr>
        <w:t>Jeffrey L. Wright (Chair)</w:t>
      </w:r>
      <w:r>
        <w:rPr>
          <w:sz w:val="20"/>
          <w:szCs w:val="20"/>
          <w:color w:val="auto"/>
        </w:rPr>
        <w:tab/>
      </w:r>
      <w:r>
        <w:rPr>
          <w:rFonts w:ascii="Arial" w:cs="Arial" w:eastAsia="Arial" w:hAnsi="Arial"/>
          <w:sz w:val="17"/>
          <w:szCs w:val="17"/>
          <w:i w:val="1"/>
          <w:iCs w:val="1"/>
          <w:color w:val="auto"/>
        </w:rPr>
        <w:t>James A. Faulconbridge</w:t>
      </w:r>
      <w:r>
        <w:rPr>
          <w:sz w:val="20"/>
          <w:szCs w:val="20"/>
          <w:color w:val="auto"/>
        </w:rPr>
        <w:tab/>
      </w:r>
      <w:r>
        <w:rPr>
          <w:rFonts w:ascii="Arial" w:cs="Arial" w:eastAsia="Arial" w:hAnsi="Arial"/>
          <w:sz w:val="15"/>
          <w:szCs w:val="15"/>
          <w:i w:val="1"/>
          <w:iCs w:val="1"/>
          <w:color w:val="auto"/>
        </w:rPr>
        <w:t>Mary J. Schumacher Daryl I. Skaar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Audit Committee of the Board of Directors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ACCOUNTING FIRM’S FEES</w:t>
      </w:r>
    </w:p>
    <w:p>
      <w:pPr>
        <w:spacing w:after="0" w:line="97" w:lineRule="exact"/>
        <w:rPr>
          <w:sz w:val="20"/>
          <w:szCs w:val="20"/>
          <w:color w:val="auto"/>
        </w:rPr>
      </w:pPr>
    </w:p>
    <w:p>
      <w:pPr>
        <w:ind w:right="200" w:firstLine="417"/>
        <w:spacing w:after="0" w:line="286" w:lineRule="auto"/>
        <w:rPr>
          <w:sz w:val="20"/>
          <w:szCs w:val="20"/>
          <w:color w:val="auto"/>
        </w:rPr>
      </w:pPr>
      <w:r>
        <w:rPr>
          <w:rFonts w:ascii="Arial" w:cs="Arial" w:eastAsia="Arial" w:hAnsi="Arial"/>
          <w:sz w:val="17"/>
          <w:szCs w:val="17"/>
          <w:color w:val="auto"/>
        </w:rPr>
        <w:t>The following table shows the aggregate fees charged to us by our independent registered public accounting firm, KPMG LLP, for services rendered during fiscal 2017 and fiscal 2016. The Audit Committee pre-approved all of the services described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 of Fees</w:t>
            </w:r>
          </w:p>
        </w:tc>
        <w:tc>
          <w:tcPr>
            <w:tcW w:w="34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Fiscal 2017</w:t>
            </w:r>
          </w:p>
        </w:tc>
        <w:tc>
          <w:tcPr>
            <w:tcW w:w="380" w:type="dxa"/>
            <w:vAlign w:val="bottom"/>
          </w:tcPr>
          <w:p>
            <w:pPr>
              <w:spacing w:after="0"/>
              <w:rPr>
                <w:sz w:val="14"/>
                <w:szCs w:val="14"/>
                <w:color w:val="auto"/>
              </w:rPr>
            </w:pPr>
          </w:p>
        </w:tc>
        <w:tc>
          <w:tcPr>
            <w:tcW w:w="1540" w:type="dxa"/>
            <w:vAlign w:val="bottom"/>
          </w:tcPr>
          <w:p>
            <w:pPr>
              <w:jc w:val="right"/>
              <w:ind w:right="560"/>
              <w:spacing w:after="0"/>
              <w:rPr>
                <w:sz w:val="20"/>
                <w:szCs w:val="20"/>
                <w:color w:val="auto"/>
              </w:rPr>
            </w:pPr>
            <w:r>
              <w:rPr>
                <w:rFonts w:ascii="Arial" w:cs="Arial" w:eastAsia="Arial" w:hAnsi="Arial"/>
                <w:sz w:val="14"/>
                <w:szCs w:val="14"/>
                <w:b w:val="1"/>
                <w:bCs w:val="1"/>
                <w:color w:val="auto"/>
              </w:rPr>
              <w:t>Fiscal 2016</w:t>
            </w:r>
          </w:p>
        </w:tc>
        <w:tc>
          <w:tcPr>
            <w:tcW w:w="0" w:type="dxa"/>
            <w:vAlign w:val="bottom"/>
          </w:tcPr>
          <w:p>
            <w:pPr>
              <w:spacing w:after="0"/>
              <w:rPr>
                <w:sz w:val="1"/>
                <w:szCs w:val="1"/>
                <w:color w:val="auto"/>
              </w:rPr>
            </w:pPr>
          </w:p>
        </w:tc>
      </w:tr>
      <w:tr>
        <w:trPr>
          <w:trHeight w:val="153"/>
        </w:trPr>
        <w:tc>
          <w:tcPr>
            <w:tcW w:w="75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3"/>
                <w:szCs w:val="13"/>
                <w:color w:val="auto"/>
              </w:rPr>
            </w:pPr>
          </w:p>
        </w:tc>
        <w:tc>
          <w:tcPr>
            <w:tcW w:w="1540" w:type="dxa"/>
            <w:vAlign w:val="bottom"/>
          </w:tcPr>
          <w:p>
            <w:pPr>
              <w:jc w:val="right"/>
              <w:ind w:right="640"/>
              <w:spacing w:after="0" w:line="153"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Audit fees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536,500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563,900</w:t>
            </w:r>
          </w:p>
        </w:tc>
        <w:tc>
          <w:tcPr>
            <w:tcW w:w="0" w:type="dxa"/>
            <w:vAlign w:val="bottom"/>
          </w:tcPr>
          <w:p>
            <w:pPr>
              <w:spacing w:after="0"/>
              <w:rPr>
                <w:sz w:val="1"/>
                <w:szCs w:val="1"/>
                <w:color w:val="auto"/>
              </w:rPr>
            </w:pPr>
          </w:p>
        </w:tc>
      </w:tr>
      <w:tr>
        <w:trPr>
          <w:trHeight w:val="234"/>
        </w:trPr>
        <w:tc>
          <w:tcPr>
            <w:tcW w:w="7560" w:type="dxa"/>
            <w:vAlign w:val="bottom"/>
            <w:gridSpan w:val="3"/>
          </w:tcPr>
          <w:p>
            <w:pPr>
              <w:ind w:left="40"/>
              <w:spacing w:after="0"/>
              <w:rPr>
                <w:sz w:val="20"/>
                <w:szCs w:val="20"/>
                <w:color w:val="auto"/>
              </w:rPr>
            </w:pPr>
            <w:r>
              <w:rPr>
                <w:rFonts w:ascii="Arial" w:cs="Arial" w:eastAsia="Arial" w:hAnsi="Arial"/>
                <w:sz w:val="17"/>
                <w:szCs w:val="17"/>
                <w:color w:val="auto"/>
              </w:rPr>
              <w:t>Audit-related fees (a)</w:t>
            </w:r>
          </w:p>
        </w:tc>
        <w:tc>
          <w:tcPr>
            <w:tcW w:w="3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7"/>
                <w:szCs w:val="17"/>
                <w:color w:val="auto"/>
              </w:rPr>
              <w:t>71,022</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536,500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634,922</w:t>
            </w:r>
          </w:p>
        </w:tc>
        <w:tc>
          <w:tcPr>
            <w:tcW w:w="0" w:type="dxa"/>
            <w:vAlign w:val="bottom"/>
          </w:tcPr>
          <w:p>
            <w:pPr>
              <w:spacing w:after="0"/>
              <w:rPr>
                <w:sz w:val="1"/>
                <w:szCs w:val="1"/>
                <w:color w:val="auto"/>
              </w:rPr>
            </w:pPr>
          </w:p>
        </w:tc>
      </w:tr>
      <w:tr>
        <w:trPr>
          <w:trHeight w:val="26"/>
        </w:trPr>
        <w:tc>
          <w:tcPr>
            <w:tcW w:w="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400" w:right="140" w:hanging="396"/>
        <w:spacing w:after="0" w:line="286" w:lineRule="auto"/>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amounts related to financial due diligence services related to the acquisition of Stauber as well as amounts related to SEC filings in connection with the transaction.</w:t>
      </w:r>
    </w:p>
    <w:p>
      <w:pPr>
        <w:spacing w:after="0" w:line="29" w:lineRule="exact"/>
        <w:rPr>
          <w:sz w:val="20"/>
          <w:szCs w:val="20"/>
          <w:color w:val="auto"/>
        </w:rPr>
      </w:pPr>
    </w:p>
    <w:p>
      <w:pPr>
        <w:ind w:firstLine="417"/>
        <w:spacing w:after="0" w:line="306" w:lineRule="auto"/>
        <w:rPr>
          <w:sz w:val="20"/>
          <w:szCs w:val="20"/>
          <w:color w:val="auto"/>
        </w:rPr>
      </w:pPr>
      <w:r>
        <w:rPr>
          <w:rFonts w:ascii="Arial" w:cs="Arial" w:eastAsia="Arial" w:hAnsi="Arial"/>
          <w:sz w:val="15"/>
          <w:szCs w:val="15"/>
          <w:color w:val="auto"/>
        </w:rPr>
        <w:t>The Audit Committee’s current practice on pre-approval of services performed by our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OF EXECUTIVE OFFICERS AND DIRECTORS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97" w:lineRule="exact"/>
        <w:rPr>
          <w:sz w:val="20"/>
          <w:szCs w:val="20"/>
          <w:color w:val="auto"/>
        </w:rPr>
      </w:pPr>
    </w:p>
    <w:p>
      <w:pPr>
        <w:ind w:right="140" w:firstLine="417"/>
        <w:spacing w:after="0" w:line="286" w:lineRule="auto"/>
        <w:rPr>
          <w:sz w:val="20"/>
          <w:szCs w:val="20"/>
          <w:color w:val="auto"/>
        </w:rPr>
      </w:pPr>
      <w:r>
        <w:rPr>
          <w:rFonts w:ascii="Arial" w:cs="Arial" w:eastAsia="Arial" w:hAnsi="Arial"/>
          <w:sz w:val="17"/>
          <w:szCs w:val="17"/>
          <w:color w:val="auto"/>
        </w:rPr>
        <w:t>The following discussion and analysis describes our compensation objectives and policies and the compensation awarded to the following executive officers (our “named executive officers”) during fiscal 2017:</w:t>
      </w:r>
    </w:p>
    <w:p>
      <w:pPr>
        <w:spacing w:after="0" w:line="29" w:lineRule="exact"/>
        <w:rPr>
          <w:sz w:val="20"/>
          <w:szCs w:val="20"/>
          <w:color w:val="auto"/>
        </w:rPr>
      </w:pPr>
    </w:p>
    <w:p>
      <w:pPr>
        <w:ind w:left="700" w:hanging="30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Patrick H. Hawkins, Chief Executive Officer and President;</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Kathleen P. Pepski, Vice President, Chief Financial Officer and Treasurer;</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Richard G. Erstad, Vice President, General Counsel and Secretary;</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John R. Sevenich, Vice President - Industrial Group; and</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Thomas J. Keller, Vice President - Water Treatment Group.</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Overview</w:t>
      </w:r>
    </w:p>
    <w:p>
      <w:pPr>
        <w:spacing w:after="0" w:line="91" w:lineRule="exact"/>
        <w:rPr>
          <w:sz w:val="20"/>
          <w:szCs w:val="20"/>
          <w:color w:val="auto"/>
        </w:rPr>
      </w:pPr>
    </w:p>
    <w:p>
      <w:pPr>
        <w:ind w:right="100" w:firstLine="417"/>
        <w:spacing w:after="0" w:line="260" w:lineRule="auto"/>
        <w:rPr>
          <w:sz w:val="20"/>
          <w:szCs w:val="20"/>
          <w:color w:val="auto"/>
        </w:rPr>
      </w:pPr>
      <w:r>
        <w:rPr>
          <w:rFonts w:ascii="Arial" w:cs="Arial" w:eastAsia="Arial" w:hAnsi="Arial"/>
          <w:sz w:val="17"/>
          <w:szCs w:val="17"/>
          <w:color w:val="auto"/>
        </w:rPr>
        <w:t>Our executive compensation program is designed to attract and retain executives who will lead our company to achieve long-term success and growth in shareholder value. Consistent with that goal, our executive compensation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superior current business results as well as personal performance, and a long-term incentive plan that motivates long-term performance and aligns business objectives with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98" w:right="239" w:bottom="1440" w:gutter="0" w:footer="0" w:header="0"/>
        </w:sectPr>
      </w:pPr>
    </w:p>
    <w:bookmarkStart w:id="10" w:name="page11"/>
    <w:bookmarkEnd w:id="10"/>
    <w:p>
      <w:pPr>
        <w:ind w:right="40"/>
        <w:spacing w:after="0" w:line="266" w:lineRule="auto"/>
        <w:rPr>
          <w:sz w:val="20"/>
          <w:szCs w:val="20"/>
          <w:color w:val="auto"/>
        </w:rPr>
      </w:pPr>
      <w:r>
        <w:rPr>
          <w:rFonts w:ascii="Arial" w:cs="Arial" w:eastAsia="Arial" w:hAnsi="Arial"/>
          <w:sz w:val="17"/>
          <w:szCs w:val="17"/>
          <w:color w:val="auto"/>
        </w:rPr>
        <w:t>interests of our shareholders. During fiscal 2017, our compensation committee made no significant changes to its executive compensation policies or to the structure of our executive compensation program, having taken into account, among other things, the fact that the holders of over 95% of the shares voted at our 2016 annual meeting of shareholders approved, on an advisory basis, the compensation of our named executive officers as disclosed in the proxy statement for that annual meeting.</w:t>
      </w:r>
    </w:p>
    <w:p>
      <w:pPr>
        <w:spacing w:after="0" w:line="45" w:lineRule="exact"/>
        <w:rPr>
          <w:sz w:val="20"/>
          <w:szCs w:val="20"/>
          <w:color w:val="auto"/>
        </w:rPr>
      </w:pPr>
    </w:p>
    <w:p>
      <w:pPr>
        <w:ind w:right="220" w:firstLine="417"/>
        <w:spacing w:after="0" w:line="266" w:lineRule="auto"/>
        <w:rPr>
          <w:sz w:val="20"/>
          <w:szCs w:val="20"/>
          <w:color w:val="auto"/>
        </w:rPr>
      </w:pPr>
      <w:r>
        <w:rPr>
          <w:rFonts w:ascii="Arial" w:cs="Arial" w:eastAsia="Arial" w:hAnsi="Arial"/>
          <w:sz w:val="17"/>
          <w:szCs w:val="17"/>
          <w:color w:val="auto"/>
        </w:rPr>
        <w:t>Our named executive officers received payouts of 97% of the targeted payout level for the corporate performance measure under our annual non-equity incentive compensation arrangement and earned 97% of the targeted number of restricted shares issuable in settlement of the performance-based restricted stock units granted for fiscal 2017 each as described below. The corporate performance measure for fiscal 2017 for purposes of both the non-equity and equity-based incentive arrangements was income before income taxes.</w:t>
      </w:r>
    </w:p>
    <w:p>
      <w:pPr>
        <w:spacing w:after="0" w:line="45" w:lineRule="exact"/>
        <w:rPr>
          <w:sz w:val="20"/>
          <w:szCs w:val="20"/>
          <w:color w:val="auto"/>
        </w:rPr>
      </w:pPr>
    </w:p>
    <w:p>
      <w:pPr>
        <w:ind w:firstLine="417"/>
        <w:spacing w:after="0" w:line="281" w:lineRule="auto"/>
        <w:rPr>
          <w:sz w:val="20"/>
          <w:szCs w:val="20"/>
          <w:color w:val="auto"/>
        </w:rPr>
      </w:pPr>
      <w:r>
        <w:rPr>
          <w:rFonts w:ascii="Arial" w:cs="Arial" w:eastAsia="Arial" w:hAnsi="Arial"/>
          <w:sz w:val="16"/>
          <w:szCs w:val="16"/>
          <w:color w:val="auto"/>
        </w:rPr>
        <w:t>Gross profit for our Industrial segment was $38.9 million for fiscal 2017, as compared to $38.0 million for fiscal 2016. Gross profit for our Water Treatment segment was $36.0 million for fiscal 2017, as compared to $35.5 million for fiscal 2016. The Compensation Committee utilized an operational measure of business unit profitability, which includes gross profit as a component of that profitability measure, as the performance measure for the business unit performance portion of the non-equity incentive compensation arrangement. The actual performance against that operating measure was below target for both the Industrial segment and the Water Treatment segment. As a result, our Vice President - Industrial Group and Vice President - Water Treatment Group both received a below-target payout under the business unit performance measures of our annual non-equity incentive compensation arrangement.</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Determining Executive Compensation for Fiscal 2017</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executive compensation program for the last fiscal year consisted of the following elements:</w:t>
      </w:r>
    </w:p>
    <w:p>
      <w:pPr>
        <w:spacing w:after="0" w:line="195" w:lineRule="exact"/>
        <w:rPr>
          <w:sz w:val="20"/>
          <w:szCs w:val="20"/>
          <w:color w:val="auto"/>
        </w:rPr>
      </w:pPr>
    </w:p>
    <w:p>
      <w:pPr>
        <w:ind w:left="700" w:hanging="305"/>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annual non-equity incentive compensation,</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annual equity awards,</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contributions to long-term benefit plans, and</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benefits.</w:t>
      </w:r>
    </w:p>
    <w:p>
      <w:pPr>
        <w:spacing w:after="0" w:line="91" w:lineRule="exact"/>
        <w:rPr>
          <w:sz w:val="20"/>
          <w:szCs w:val="20"/>
          <w:color w:val="auto"/>
        </w:rPr>
      </w:pPr>
    </w:p>
    <w:p>
      <w:pPr>
        <w:ind w:right="100" w:firstLine="417"/>
        <w:spacing w:after="0" w:line="277" w:lineRule="auto"/>
        <w:rPr>
          <w:sz w:val="20"/>
          <w:szCs w:val="20"/>
          <w:color w:val="auto"/>
        </w:rPr>
      </w:pPr>
      <w:r>
        <w:rPr>
          <w:rFonts w:ascii="Arial" w:cs="Arial" w:eastAsia="Arial" w:hAnsi="Arial"/>
          <w:sz w:val="16"/>
          <w:szCs w:val="16"/>
          <w:color w:val="auto"/>
        </w:rPr>
        <w:t>The Compensation Committee does not benchmark the total compensation or any element of compensation for our executives. It also does not apply a mechanical formula or target a specific amount relative to comparative data for any individual nor does it target a specific amount or relative weight for any component of compensation. Rather, the Compensation Committee members reviewed and considered broad-based third-party survey data to understand current compensation practices, levels and structures and thereby inform its compensation decisions, but not to establish specific compensation parameters based on such data. The data was collected by independent compensation consultant McLagan, a compensation consulting firm, which also provided the Compensation Committee with independent advice on industry practices. McLagan provided no other services to the company in fiscal 2017.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38" w:lineRule="exact"/>
        <w:rPr>
          <w:sz w:val="20"/>
          <w:szCs w:val="20"/>
          <w:color w:val="auto"/>
        </w:rPr>
      </w:pPr>
    </w:p>
    <w:p>
      <w:pPr>
        <w:ind w:right="140" w:firstLine="417"/>
        <w:spacing w:after="0" w:line="263" w:lineRule="auto"/>
        <w:rPr>
          <w:sz w:val="20"/>
          <w:szCs w:val="20"/>
          <w:color w:val="auto"/>
        </w:rPr>
      </w:pPr>
      <w:r>
        <w:rPr>
          <w:rFonts w:ascii="Arial" w:cs="Arial" w:eastAsia="Arial" w:hAnsi="Arial"/>
          <w:sz w:val="17"/>
          <w:szCs w:val="17"/>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Elements of Executive Officer Compensation</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Base Salary</w:t>
      </w:r>
    </w:p>
    <w:p>
      <w:pPr>
        <w:spacing w:after="0" w:line="91" w:lineRule="exact"/>
        <w:rPr>
          <w:sz w:val="20"/>
          <w:szCs w:val="20"/>
          <w:color w:val="auto"/>
        </w:rPr>
      </w:pPr>
    </w:p>
    <w:p>
      <w:pPr>
        <w:ind w:right="60" w:firstLine="417"/>
        <w:spacing w:after="0" w:line="287" w:lineRule="auto"/>
        <w:rPr>
          <w:sz w:val="20"/>
          <w:szCs w:val="20"/>
          <w:color w:val="auto"/>
        </w:rPr>
      </w:pPr>
      <w:r>
        <w:rPr>
          <w:rFonts w:ascii="Arial" w:cs="Arial" w:eastAsia="Arial" w:hAnsi="Arial"/>
          <w:sz w:val="16"/>
          <w:szCs w:val="16"/>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June 2016, the Compensation Committee approved increases in the base salaries of the named executive officers of approximately 1 - 6% based on its evaluation of the competitive information available to it. The base salaries paid to our executive officers during the last three completed fiscal years are listed in the Summary Compensation Table below.</w:t>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648" w:right="299" w:bottom="1440" w:gutter="0" w:footer="0" w:header="0"/>
        </w:sectPr>
      </w:pPr>
    </w:p>
    <w:bookmarkStart w:id="11" w:name="page12"/>
    <w:bookmarkEnd w:id="11"/>
    <w:p>
      <w:pPr>
        <w:ind w:left="220"/>
        <w:spacing w:after="0"/>
        <w:rPr>
          <w:sz w:val="20"/>
          <w:szCs w:val="20"/>
          <w:color w:val="auto"/>
        </w:rPr>
      </w:pPr>
      <w:r>
        <w:rPr>
          <w:rFonts w:ascii="Arial" w:cs="Arial" w:eastAsia="Arial" w:hAnsi="Arial"/>
          <w:sz w:val="17"/>
          <w:szCs w:val="17"/>
          <w:i w:val="1"/>
          <w:iCs w:val="1"/>
          <w:color w:val="auto"/>
        </w:rPr>
        <w:t>Annual Non-Equity Incentive Compensation</w:t>
      </w:r>
    </w:p>
    <w:p>
      <w:pPr>
        <w:spacing w:after="0" w:line="91" w:lineRule="exact"/>
        <w:rPr>
          <w:sz w:val="20"/>
          <w:szCs w:val="20"/>
          <w:color w:val="auto"/>
        </w:rPr>
      </w:pPr>
    </w:p>
    <w:p>
      <w:pPr>
        <w:jc w:val="both"/>
        <w:ind w:right="120" w:firstLine="417"/>
        <w:spacing w:after="0" w:line="271" w:lineRule="auto"/>
        <w:rPr>
          <w:sz w:val="20"/>
          <w:szCs w:val="20"/>
          <w:color w:val="auto"/>
        </w:rPr>
      </w:pPr>
      <w:r>
        <w:rPr>
          <w:rFonts w:ascii="Arial" w:cs="Arial" w:eastAsia="Arial" w:hAnsi="Arial"/>
          <w:sz w:val="17"/>
          <w:szCs w:val="17"/>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41" w:lineRule="exact"/>
        <w:rPr>
          <w:sz w:val="20"/>
          <w:szCs w:val="20"/>
          <w:color w:val="auto"/>
        </w:rPr>
      </w:pPr>
    </w:p>
    <w:p>
      <w:pPr>
        <w:jc w:val="both"/>
        <w:ind w:right="180" w:firstLine="417"/>
        <w:spacing w:after="0" w:line="271" w:lineRule="auto"/>
        <w:rPr>
          <w:sz w:val="20"/>
          <w:szCs w:val="20"/>
          <w:color w:val="auto"/>
        </w:rPr>
      </w:pPr>
      <w:r>
        <w:rPr>
          <w:rFonts w:ascii="Arial" w:cs="Arial" w:eastAsia="Arial" w:hAnsi="Arial"/>
          <w:sz w:val="17"/>
          <w:szCs w:val="17"/>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41" w:lineRule="exact"/>
        <w:rPr>
          <w:sz w:val="20"/>
          <w:szCs w:val="20"/>
          <w:color w:val="auto"/>
        </w:rPr>
      </w:pPr>
    </w:p>
    <w:p>
      <w:pPr>
        <w:jc w:val="both"/>
        <w:ind w:right="240" w:firstLine="417"/>
        <w:spacing w:after="0" w:line="271" w:lineRule="auto"/>
        <w:rPr>
          <w:sz w:val="20"/>
          <w:szCs w:val="20"/>
          <w:color w:val="auto"/>
        </w:rPr>
      </w:pPr>
      <w:r>
        <w:rPr>
          <w:rFonts w:ascii="Arial" w:cs="Arial" w:eastAsia="Arial" w:hAnsi="Arial"/>
          <w:sz w:val="17"/>
          <w:szCs w:val="17"/>
          <w:color w:val="auto"/>
        </w:rPr>
        <w:t>For fiscal 2017, the Compensation Committee designated financial performance goals, including a corporate pre-tax income performance measure and, for each executive in charge of a business unit, an operational measure of business unit profitability, as well as individual objectives for determining whether a cash incentive payment would be paid under the arrangement and in what amount.</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annual cash incentive payment opportunities for our named executive officers were based on the following percentages of base salary for fiscal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Threshold</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3"/>
        </w:trPr>
        <w:tc>
          <w:tcPr>
            <w:tcW w:w="4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20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1"/>
              </w:rPr>
              <w:t>Annual Cash</w:t>
            </w:r>
          </w:p>
        </w:tc>
        <w:tc>
          <w:tcPr>
            <w:tcW w:w="19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8"/>
              </w:rPr>
              <w:t>Annual Cash</w:t>
            </w:r>
          </w:p>
        </w:tc>
        <w:tc>
          <w:tcPr>
            <w:tcW w:w="19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Annual Cash</w:t>
            </w:r>
          </w:p>
        </w:tc>
        <w:tc>
          <w:tcPr>
            <w:tcW w:w="0" w:type="dxa"/>
            <w:vAlign w:val="bottom"/>
          </w:tcPr>
          <w:p>
            <w:pPr>
              <w:spacing w:after="0"/>
              <w:rPr>
                <w:sz w:val="1"/>
                <w:szCs w:val="1"/>
                <w:color w:val="auto"/>
              </w:rPr>
            </w:pPr>
          </w:p>
        </w:tc>
      </w:tr>
      <w:tr>
        <w:trPr>
          <w:trHeight w:val="186"/>
        </w:trPr>
        <w:tc>
          <w:tcPr>
            <w:tcW w:w="4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Incentive Payment</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Incentive Payment</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Incentive Payment</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Chief Executive Officer</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34"/>
        </w:trPr>
        <w:tc>
          <w:tcPr>
            <w:tcW w:w="4640" w:type="dxa"/>
            <w:vAlign w:val="bottom"/>
            <w:gridSpan w:val="2"/>
          </w:tcPr>
          <w:p>
            <w:pPr>
              <w:ind w:left="40"/>
              <w:spacing w:after="0"/>
              <w:rPr>
                <w:sz w:val="20"/>
                <w:szCs w:val="20"/>
                <w:color w:val="auto"/>
              </w:rPr>
            </w:pPr>
            <w:r>
              <w:rPr>
                <w:rFonts w:ascii="Arial" w:cs="Arial" w:eastAsia="Arial" w:hAnsi="Arial"/>
                <w:sz w:val="17"/>
                <w:szCs w:val="17"/>
                <w:color w:val="auto"/>
              </w:rPr>
              <w:t>Chief Financial Officer</w:t>
            </w:r>
          </w:p>
        </w:tc>
        <w:tc>
          <w:tcPr>
            <w:tcW w:w="196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General Counsel</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34"/>
        </w:trPr>
        <w:tc>
          <w:tcPr>
            <w:tcW w:w="4640" w:type="dxa"/>
            <w:vAlign w:val="bottom"/>
            <w:gridSpan w:val="2"/>
          </w:tcPr>
          <w:p>
            <w:pPr>
              <w:ind w:left="40"/>
              <w:spacing w:after="0"/>
              <w:rPr>
                <w:sz w:val="20"/>
                <w:szCs w:val="20"/>
                <w:color w:val="auto"/>
              </w:rPr>
            </w:pPr>
            <w:r>
              <w:rPr>
                <w:rFonts w:ascii="Arial" w:cs="Arial" w:eastAsia="Arial" w:hAnsi="Arial"/>
                <w:sz w:val="17"/>
                <w:szCs w:val="17"/>
                <w:color w:val="auto"/>
              </w:rPr>
              <w:t>Vice President - Industrial Group</w:t>
            </w:r>
          </w:p>
        </w:tc>
        <w:tc>
          <w:tcPr>
            <w:tcW w:w="196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Vice President - Water Treatment Group</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6"/>
        </w:trPr>
        <w:tc>
          <w:tcPr>
            <w:tcW w:w="4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firstLine="391"/>
        <w:spacing w:after="0" w:line="323" w:lineRule="auto"/>
        <w:rPr>
          <w:sz w:val="20"/>
          <w:szCs w:val="20"/>
          <w:color w:val="auto"/>
        </w:rPr>
      </w:pPr>
      <w:r>
        <w:rPr>
          <w:rFonts w:ascii="Arial" w:cs="Arial" w:eastAsia="Arial" w:hAnsi="Arial"/>
          <w:sz w:val="15"/>
          <w:szCs w:val="15"/>
          <w:color w:val="auto"/>
        </w:rPr>
        <w:t>The Compensation Committee established the payment opportunities for each of the executive officers based on the relative scope of his or her responsibilities and resulting ability to impact the company’s performance. The Compensation Committee established a higher percentage payment opportunity for the Chief Executive Officer to reflect his significant responsibilities regarding the creation and implementation of long-term strategic direction for the entire company.</w:t>
      </w:r>
    </w:p>
    <w:p>
      <w:pPr>
        <w:spacing w:after="0" w:line="7" w:lineRule="exact"/>
        <w:rPr>
          <w:sz w:val="20"/>
          <w:szCs w:val="20"/>
          <w:color w:val="auto"/>
        </w:rPr>
      </w:pPr>
    </w:p>
    <w:p>
      <w:pPr>
        <w:ind w:right="100" w:firstLine="417"/>
        <w:spacing w:after="0" w:line="266" w:lineRule="auto"/>
        <w:rPr>
          <w:sz w:val="20"/>
          <w:szCs w:val="20"/>
          <w:color w:val="auto"/>
        </w:rPr>
      </w:pPr>
      <w:r>
        <w:rPr>
          <w:rFonts w:ascii="Arial" w:cs="Arial" w:eastAsia="Arial" w:hAnsi="Arial"/>
          <w:sz w:val="17"/>
          <w:szCs w:val="17"/>
          <w:color w:val="auto"/>
        </w:rPr>
        <w:t>The Compensation Committee determined that 80% of the annual cash incentive payment opportunities for our Chief Executive Officer, Chief Financial Officer and General Counsel for fiscal 2017 should be based upon corporate performance against the pre-tax income goal to reflect their significant company-wide responsibilities and resulting ability to impact the overall success of the company. In addition, the Compensation Committee determined that 20% should be based upon meeting their individual objectives and overall job performance.</w:t>
      </w:r>
    </w:p>
    <w:p>
      <w:pPr>
        <w:spacing w:after="0" w:line="45" w:lineRule="exact"/>
        <w:rPr>
          <w:sz w:val="20"/>
          <w:szCs w:val="20"/>
          <w:color w:val="auto"/>
        </w:rPr>
      </w:pPr>
    </w:p>
    <w:p>
      <w:pPr>
        <w:ind w:right="360" w:firstLine="417"/>
        <w:spacing w:after="0" w:line="287" w:lineRule="auto"/>
        <w:rPr>
          <w:sz w:val="20"/>
          <w:szCs w:val="20"/>
          <w:color w:val="auto"/>
        </w:rPr>
      </w:pPr>
      <w:r>
        <w:rPr>
          <w:rFonts w:ascii="Arial" w:cs="Arial" w:eastAsia="Arial" w:hAnsi="Arial"/>
          <w:sz w:val="16"/>
          <w:szCs w:val="16"/>
          <w:color w:val="auto"/>
        </w:rPr>
        <w:t>The Compensation Committee determined that 40% of the annual cash incentive payment opportunities for Mr. Keller and Mr. Sevenich for fiscal 2017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Compensation Committee determined that 20% should be based upon meeting their individual objectives and overall job performance.</w:t>
      </w:r>
    </w:p>
    <w:p>
      <w:pPr>
        <w:spacing w:after="0" w:line="57" w:lineRule="exact"/>
        <w:rPr>
          <w:sz w:val="20"/>
          <w:szCs w:val="20"/>
          <w:color w:val="auto"/>
        </w:rPr>
      </w:pPr>
    </w:p>
    <w:p>
      <w:pPr>
        <w:ind w:right="20" w:firstLine="417"/>
        <w:spacing w:after="0" w:line="301" w:lineRule="auto"/>
        <w:rPr>
          <w:sz w:val="20"/>
          <w:szCs w:val="20"/>
          <w:color w:val="auto"/>
        </w:rPr>
      </w:pPr>
      <w:r>
        <w:rPr>
          <w:rFonts w:ascii="Arial" w:cs="Arial" w:eastAsia="Arial" w:hAnsi="Arial"/>
          <w:sz w:val="15"/>
          <w:szCs w:val="15"/>
          <w:color w:val="auto"/>
        </w:rPr>
        <w:t>No annual cash incentive payments are made unless the threshold level of 80% of the respective target performance level is achieved. Performance between 80% and 100% of the respective target results in a payout on a sliding scale from 50% of the target level cash incentive payment for exactly achieving 80% of the performance target to 100% of the target level cash incentive payment for exactly achieving the respective target performance level (</w:t>
      </w:r>
      <w:r>
        <w:rPr>
          <w:rFonts w:ascii="Arial" w:cs="Arial" w:eastAsia="Arial" w:hAnsi="Arial"/>
          <w:sz w:val="15"/>
          <w:szCs w:val="15"/>
          <w:i w:val="1"/>
          <w:iCs w:val="1"/>
          <w:color w:val="auto"/>
        </w:rPr>
        <w:t>e.g</w:t>
      </w:r>
      <w:r>
        <w:rPr>
          <w:rFonts w:ascii="Arial" w:cs="Arial" w:eastAsia="Arial" w:hAnsi="Arial"/>
          <w:sz w:val="15"/>
          <w:szCs w:val="15"/>
          <w:color w:val="auto"/>
        </w:rPr>
        <w:t>., achieving 90% of the performance target will lead to a payout of 75% of the target level cash incentive payment). Performance between 100% and 120% of the respective target results in a payout on a sliding scale from 100% of the target level cash incentive payment for exactly meeting the performance target to 200% of the target level cash incentive payment for exceeding the performance target by 20% (</w:t>
      </w:r>
      <w:r>
        <w:rPr>
          <w:rFonts w:ascii="Arial" w:cs="Arial" w:eastAsia="Arial" w:hAnsi="Arial"/>
          <w:sz w:val="15"/>
          <w:szCs w:val="15"/>
          <w:i w:val="1"/>
          <w:iCs w:val="1"/>
          <w:color w:val="auto"/>
        </w:rPr>
        <w:t>e.g</w:t>
      </w:r>
      <w:r>
        <w:rPr>
          <w:rFonts w:ascii="Arial" w:cs="Arial" w:eastAsia="Arial" w:hAnsi="Arial"/>
          <w:sz w:val="15"/>
          <w:szCs w:val="15"/>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22" w:lineRule="exact"/>
        <w:rPr>
          <w:sz w:val="20"/>
          <w:szCs w:val="20"/>
          <w:color w:val="auto"/>
        </w:rPr>
      </w:pPr>
    </w:p>
    <w:p>
      <w:pPr>
        <w:ind w:right="40" w:firstLine="417"/>
        <w:spacing w:after="0" w:line="279" w:lineRule="auto"/>
        <w:rPr>
          <w:sz w:val="20"/>
          <w:szCs w:val="20"/>
          <w:color w:val="auto"/>
        </w:rPr>
      </w:pPr>
      <w:r>
        <w:rPr>
          <w:rFonts w:ascii="Arial" w:cs="Arial" w:eastAsia="Arial" w:hAnsi="Arial"/>
          <w:sz w:val="16"/>
          <w:szCs w:val="16"/>
          <w:i w:val="1"/>
          <w:iCs w:val="1"/>
          <w:color w:val="auto"/>
        </w:rPr>
        <w:t xml:space="preserve">Corporate and Business Unit Financial Measures. </w:t>
      </w:r>
      <w:r>
        <w:rPr>
          <w:rFonts w:ascii="Arial" w:cs="Arial" w:eastAsia="Arial" w:hAnsi="Arial"/>
          <w:sz w:val="16"/>
          <w:szCs w:val="16"/>
          <w:color w:val="auto"/>
        </w:rPr>
        <w:t>The corporate performance portion of the annual cash incentive payment was based on our company-wide</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for fiscal 2017 as measured by income before income taxes, as compared to a targeted level of the same financial measure for that period. The business unit performance portion of the annual cash incentive payment was based on an operational measure of business unit profitability for fiscal 2017 that measures product sales less the cost of materials including freight in, the freight costs to deliver the product to the customer and the selling costs as compared to a targeted level of such operational profitability for the respective business unit for that period. In each case, the targeted levels of performance were based on the level of anticipated performance that was derived from the company’s annual operating plan. The corporate and business unit financial goals for fiscal 2017 and the actual performance against those goals are summarized in the following table: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72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Threshold</w:t>
            </w:r>
          </w:p>
        </w:tc>
        <w:tc>
          <w:tcPr>
            <w:tcW w:w="28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Target</w:t>
            </w:r>
          </w:p>
        </w:tc>
        <w:tc>
          <w:tcPr>
            <w:tcW w:w="28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Maximum</w:t>
            </w:r>
          </w:p>
        </w:tc>
        <w:tc>
          <w:tcPr>
            <w:tcW w:w="280" w:type="dxa"/>
            <w:vAlign w:val="bottom"/>
          </w:tcPr>
          <w:p>
            <w:pPr>
              <w:spacing w:after="0"/>
              <w:rPr>
                <w:sz w:val="14"/>
                <w:szCs w:val="14"/>
                <w:color w:val="auto"/>
              </w:rPr>
            </w:pPr>
          </w:p>
        </w:tc>
        <w:tc>
          <w:tcPr>
            <w:tcW w:w="1380" w:type="dxa"/>
            <w:vAlign w:val="bottom"/>
          </w:tcPr>
          <w:p>
            <w:pPr>
              <w:jc w:val="center"/>
              <w:ind w:right="222"/>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43"/>
        </w:trPr>
        <w:tc>
          <w:tcPr>
            <w:tcW w:w="4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Measure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8"/>
              </w:rPr>
              <w:t>Performance</w:t>
            </w:r>
          </w:p>
        </w:tc>
        <w:tc>
          <w:tcPr>
            <w:tcW w:w="280" w:type="dxa"/>
            <w:vAlign w:val="bottom"/>
          </w:tcPr>
          <w:p>
            <w:pPr>
              <w:spacing w:after="0"/>
              <w:rPr>
                <w:sz w:val="12"/>
                <w:szCs w:val="12"/>
                <w:color w:val="auto"/>
              </w:rPr>
            </w:pPr>
          </w:p>
        </w:tc>
        <w:tc>
          <w:tcPr>
            <w:tcW w:w="14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1"/>
              </w:rPr>
              <w:t>Performance</w:t>
            </w:r>
          </w:p>
        </w:tc>
        <w:tc>
          <w:tcPr>
            <w:tcW w:w="280" w:type="dxa"/>
            <w:vAlign w:val="bottom"/>
          </w:tcPr>
          <w:p>
            <w:pPr>
              <w:spacing w:after="0"/>
              <w:rPr>
                <w:sz w:val="12"/>
                <w:szCs w:val="12"/>
                <w:color w:val="auto"/>
              </w:rPr>
            </w:pPr>
          </w:p>
        </w:tc>
        <w:tc>
          <w:tcPr>
            <w:tcW w:w="14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1"/>
              </w:rPr>
              <w:t>Performance</w:t>
            </w:r>
          </w:p>
        </w:tc>
        <w:tc>
          <w:tcPr>
            <w:tcW w:w="280" w:type="dxa"/>
            <w:vAlign w:val="bottom"/>
          </w:tcPr>
          <w:p>
            <w:pPr>
              <w:spacing w:after="0"/>
              <w:rPr>
                <w:sz w:val="12"/>
                <w:szCs w:val="12"/>
                <w:color w:val="auto"/>
              </w:rPr>
            </w:pPr>
          </w:p>
        </w:tc>
        <w:tc>
          <w:tcPr>
            <w:tcW w:w="1380" w:type="dxa"/>
            <w:vAlign w:val="bottom"/>
          </w:tcPr>
          <w:p>
            <w:pPr>
              <w:jc w:val="center"/>
              <w:ind w:right="222"/>
              <w:spacing w:after="0" w:line="143"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86"/>
        </w:trPr>
        <w:tc>
          <w:tcPr>
            <w:tcW w:w="4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9"/>
              </w:rPr>
              <w:t>Level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89"/>
              </w:rPr>
              <w:t>Level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6"/>
              </w:rPr>
              <w:t>Achieved</w:t>
            </w:r>
          </w:p>
        </w:tc>
        <w:tc>
          <w:tcPr>
            <w:tcW w:w="0" w:type="dxa"/>
            <w:vAlign w:val="bottom"/>
          </w:tcPr>
          <w:p>
            <w:pPr>
              <w:spacing w:after="0"/>
              <w:rPr>
                <w:sz w:val="1"/>
                <w:szCs w:val="1"/>
                <w:color w:val="auto"/>
              </w:rPr>
            </w:pPr>
          </w:p>
        </w:tc>
      </w:tr>
      <w:tr>
        <w:trPr>
          <w:trHeight w:val="239"/>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Income before Income Taxes</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29,142,054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36,427,567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43,713,080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36,047,905</w:t>
            </w:r>
          </w:p>
        </w:tc>
        <w:tc>
          <w:tcPr>
            <w:tcW w:w="0" w:type="dxa"/>
            <w:vAlign w:val="bottom"/>
          </w:tcPr>
          <w:p>
            <w:pPr>
              <w:spacing w:after="0"/>
              <w:rPr>
                <w:sz w:val="1"/>
                <w:szCs w:val="1"/>
                <w:color w:val="auto"/>
              </w:rPr>
            </w:pPr>
          </w:p>
        </w:tc>
      </w:tr>
      <w:tr>
        <w:trPr>
          <w:trHeight w:val="222"/>
        </w:trPr>
        <w:tc>
          <w:tcPr>
            <w:tcW w:w="4140" w:type="dxa"/>
            <w:vAlign w:val="bottom"/>
            <w:gridSpan w:val="2"/>
          </w:tcPr>
          <w:p>
            <w:pPr>
              <w:ind w:left="40"/>
              <w:spacing w:after="0"/>
              <w:rPr>
                <w:sz w:val="20"/>
                <w:szCs w:val="20"/>
                <w:color w:val="auto"/>
              </w:rPr>
            </w:pPr>
            <w:r>
              <w:rPr>
                <w:rFonts w:ascii="Arial" w:cs="Arial" w:eastAsia="Arial" w:hAnsi="Arial"/>
                <w:sz w:val="17"/>
                <w:szCs w:val="17"/>
                <w:color w:val="auto"/>
              </w:rPr>
              <w:t>Water Treatment Group Operational Profitability</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ind w:left="40"/>
              <w:spacing w:after="0"/>
              <w:rPr>
                <w:sz w:val="20"/>
                <w:szCs w:val="20"/>
                <w:color w:val="auto"/>
              </w:rPr>
            </w:pPr>
            <w:r>
              <w:rPr>
                <w:rFonts w:ascii="Arial" w:cs="Arial" w:eastAsia="Arial" w:hAnsi="Arial"/>
                <w:sz w:val="17"/>
                <w:szCs w:val="17"/>
                <w:color w:val="auto"/>
              </w:rPr>
              <w:t>Measure</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42"/>
              <w:spacing w:after="0"/>
              <w:rPr>
                <w:sz w:val="20"/>
                <w:szCs w:val="20"/>
                <w:color w:val="auto"/>
              </w:rPr>
            </w:pPr>
            <w:r>
              <w:rPr>
                <w:rFonts w:ascii="Arial" w:cs="Arial" w:eastAsia="Arial" w:hAnsi="Arial"/>
                <w:sz w:val="17"/>
                <w:szCs w:val="17"/>
                <w:color w:val="auto"/>
              </w:rPr>
              <w:t>21,877,355</w:t>
            </w:r>
          </w:p>
        </w:tc>
        <w:tc>
          <w:tcPr>
            <w:tcW w:w="12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22"/>
              <w:spacing w:after="0"/>
              <w:rPr>
                <w:sz w:val="20"/>
                <w:szCs w:val="20"/>
                <w:color w:val="auto"/>
              </w:rPr>
            </w:pPr>
            <w:r>
              <w:rPr>
                <w:rFonts w:ascii="Arial" w:cs="Arial" w:eastAsia="Arial" w:hAnsi="Arial"/>
                <w:sz w:val="17"/>
                <w:szCs w:val="17"/>
                <w:color w:val="auto"/>
              </w:rPr>
              <w:t>27,346,694</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42"/>
              <w:spacing w:after="0"/>
              <w:rPr>
                <w:sz w:val="20"/>
                <w:szCs w:val="20"/>
                <w:color w:val="auto"/>
              </w:rPr>
            </w:pPr>
            <w:r>
              <w:rPr>
                <w:rFonts w:ascii="Arial" w:cs="Arial" w:eastAsia="Arial" w:hAnsi="Arial"/>
                <w:sz w:val="17"/>
                <w:szCs w:val="17"/>
                <w:color w:val="auto"/>
              </w:rPr>
              <w:t>32,816,033</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42"/>
              <w:spacing w:after="0"/>
              <w:rPr>
                <w:sz w:val="20"/>
                <w:szCs w:val="20"/>
                <w:color w:val="auto"/>
              </w:rPr>
            </w:pPr>
            <w:r>
              <w:rPr>
                <w:rFonts w:ascii="Arial" w:cs="Arial" w:eastAsia="Arial" w:hAnsi="Arial"/>
                <w:sz w:val="17"/>
                <w:szCs w:val="17"/>
                <w:color w:val="auto"/>
              </w:rPr>
              <w:t>26,434,086</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Industrial Group Operational Profitability Measure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42,866,937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53,583,671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64,300,405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53,205,575</w:t>
            </w:r>
          </w:p>
        </w:tc>
        <w:tc>
          <w:tcPr>
            <w:tcW w:w="0" w:type="dxa"/>
            <w:vAlign w:val="bottom"/>
          </w:tcPr>
          <w:p>
            <w:pPr>
              <w:spacing w:after="0"/>
              <w:rPr>
                <w:sz w:val="1"/>
                <w:szCs w:val="1"/>
                <w:color w:val="auto"/>
              </w:rPr>
            </w:pPr>
          </w:p>
        </w:tc>
      </w:tr>
      <w:tr>
        <w:trPr>
          <w:trHeight w:val="26"/>
        </w:trPr>
        <w:tc>
          <w:tcPr>
            <w:tcW w:w="4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firstLine="417"/>
        <w:spacing w:after="0" w:line="287" w:lineRule="auto"/>
        <w:rPr>
          <w:sz w:val="20"/>
          <w:szCs w:val="20"/>
          <w:color w:val="auto"/>
        </w:rPr>
      </w:pPr>
      <w:r>
        <w:rPr>
          <w:rFonts w:ascii="Arial" w:cs="Arial" w:eastAsia="Arial" w:hAnsi="Arial"/>
          <w:sz w:val="16"/>
          <w:szCs w:val="16"/>
          <w:color w:val="auto"/>
        </w:rPr>
        <w:t>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 The Compensation Committee determined that income before income taxes was the best measure of overall corporate financial performance and that the operational profitability measures described above were the best measures of business unit financial performance.</w:t>
      </w:r>
    </w:p>
    <w:p>
      <w:pPr>
        <w:spacing w:after="0" w:line="31" w:lineRule="exact"/>
        <w:rPr>
          <w:sz w:val="20"/>
          <w:szCs w:val="20"/>
          <w:color w:val="auto"/>
        </w:rPr>
      </w:pPr>
    </w:p>
    <w:p>
      <w:pPr>
        <w:ind w:firstLine="417"/>
        <w:spacing w:after="0" w:line="260" w:lineRule="auto"/>
        <w:rPr>
          <w:sz w:val="20"/>
          <w:szCs w:val="20"/>
          <w:color w:val="auto"/>
        </w:rPr>
      </w:pPr>
      <w:r>
        <w:rPr>
          <w:rFonts w:ascii="Arial" w:cs="Arial" w:eastAsia="Arial" w:hAnsi="Arial"/>
          <w:sz w:val="17"/>
          <w:szCs w:val="17"/>
          <w:color w:val="auto"/>
        </w:rPr>
        <w:t>Because our income before income taxes was below the target level performance for the 2017 fiscal year, our named executive officers received approximately 97% of the targeted payout under the corporate financial performance element of the annual cash incentive arrangement. Because business unit operational profitability performance for the Industrial Group was between threshold and maximum performance levels, Mr. Sevenich received approximately 98% of his targeted payout under the Industrial Group financial measure. Because business unit operational profitability performance for the Water Treatment Group was between threshold and target performance levels, Mr. Keller received approximately 92% of his targeted payout under the Water Treatment Group financial measure. While the Compensation Committee has discretion to adjust the final payouts under the program, it has not typically done so, and did not do so for fiscal 2017.</w:t>
      </w:r>
    </w:p>
    <w:p>
      <w:pPr>
        <w:spacing w:after="0" w:line="54" w:lineRule="exact"/>
        <w:rPr>
          <w:sz w:val="20"/>
          <w:szCs w:val="20"/>
          <w:color w:val="auto"/>
        </w:rPr>
      </w:pPr>
    </w:p>
    <w:p>
      <w:pPr>
        <w:ind w:right="20" w:firstLine="417"/>
        <w:spacing w:after="0" w:line="276" w:lineRule="auto"/>
        <w:rPr>
          <w:sz w:val="20"/>
          <w:szCs w:val="20"/>
          <w:color w:val="auto"/>
        </w:rPr>
      </w:pPr>
      <w:r>
        <w:rPr>
          <w:rFonts w:ascii="Arial" w:cs="Arial" w:eastAsia="Arial" w:hAnsi="Arial"/>
          <w:sz w:val="16"/>
          <w:szCs w:val="16"/>
          <w:i w:val="1"/>
          <w:iCs w:val="1"/>
          <w:color w:val="auto"/>
        </w:rPr>
        <w:t xml:space="preserve">Individual Objectives and Job Performance. </w:t>
      </w:r>
      <w:r>
        <w:rPr>
          <w:rFonts w:ascii="Arial" w:cs="Arial" w:eastAsia="Arial" w:hAnsi="Arial"/>
          <w:sz w:val="16"/>
          <w:szCs w:val="16"/>
          <w:color w:val="auto"/>
        </w:rPr>
        <w:t>The Compensation Committee established multiple individual objectives for each executive officer for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The individual objectives for our Chief Executive Officer included overseeing strategic direction matters, business expansion matters and operational efficiency initiatives. For our Chief Financial Officer, the individual objectives included supporting acquisition activities, overseeing significant information technology initiatives and talent management and engagement initiatives. For our General Counsel, the individual objectives included supporting acquisition activities, legal support to other business expansion activities and overseeing health, safety and environmental initiatives. For our Vice President - Industrial Group, the individual objectives included business expansion initiatives. For our Vice President - Water Treatment Group, the individual objectives included business expansion initiatives. The Compensation Committee consulted with our Chief Executive Officer for his assessment of the overall job performance of the other executive officers and the degree to which the other executive officers had met their respective individual objectives, and then made its own determination as to the Chief Executive Officer’s overall job performance and the degree to which the he had met his individual objectives. The Compensation Committee then determined the appropriate level of payout under these individual objectives in light of the individual performance, which includes evaluation of the level of overall performance effectiveness, of each of the executive officers.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Achievement of individual objectives and job performance effectiveness is qualitative and more subjective than the assessment of financial measures.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Messrs. Hawkins, Erstad, Keller and Sevenich were awarded a target level annual cash incentive payment for individual objectives and job performance. Ms.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Pepski was awarded an annual cash incentive equal to 128% of the target amount for her individual objectives and job performance. The cash incentive paid to Ms.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Pepski was above target due to her exceptional level of performance over the past year.</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Equity Awards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equity incentive compensation program is designed to:</w:t>
      </w:r>
    </w:p>
    <w:p>
      <w:pPr>
        <w:spacing w:after="0" w:line="195" w:lineRule="exact"/>
        <w:rPr>
          <w:sz w:val="20"/>
          <w:szCs w:val="20"/>
          <w:color w:val="auto"/>
        </w:rPr>
      </w:pPr>
    </w:p>
    <w:p>
      <w:pPr>
        <w:ind w:left="700" w:hanging="305"/>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align the interests of the participants with those of our shareholders,</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provide incentives for the retention of executive officers,</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 a minimum level of performance for payouts,</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provide an opportunity for increased payouts for performance in excess of established targets, and</w:t>
      </w:r>
    </w:p>
    <w:p>
      <w:pPr>
        <w:spacing w:after="0" w:line="90" w:lineRule="exact"/>
        <w:rPr>
          <w:rFonts w:ascii="Arial" w:cs="Arial" w:eastAsia="Arial" w:hAnsi="Arial"/>
          <w:sz w:val="17"/>
          <w:szCs w:val="17"/>
          <w:color w:val="auto"/>
        </w:rPr>
      </w:pPr>
    </w:p>
    <w:p>
      <w:pPr>
        <w:ind w:left="700" w:hanging="305"/>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provide an equity incentive program comparable to those at competitive companies.</w:t>
      </w:r>
    </w:p>
    <w:p>
      <w:pPr>
        <w:spacing w:after="0" w:line="91" w:lineRule="exact"/>
        <w:rPr>
          <w:sz w:val="20"/>
          <w:szCs w:val="20"/>
          <w:color w:val="auto"/>
        </w:rPr>
      </w:pPr>
    </w:p>
    <w:p>
      <w:pPr>
        <w:ind w:right="40" w:firstLine="417"/>
        <w:spacing w:after="0" w:line="287" w:lineRule="auto"/>
        <w:rPr>
          <w:sz w:val="20"/>
          <w:szCs w:val="20"/>
          <w:color w:val="auto"/>
        </w:rPr>
      </w:pPr>
      <w:r>
        <w:rPr>
          <w:rFonts w:ascii="Arial" w:cs="Arial" w:eastAsia="Arial" w:hAnsi="Arial"/>
          <w:sz w:val="16"/>
          <w:szCs w:val="16"/>
          <w:color w:val="auto"/>
        </w:rPr>
        <w:t>For fiscal 2017, as had been the case in each of the prior three fiscal years,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Compensation Committee determined, with the assistance of McLagan, to continue granting performance-based restricted stock units to our executives so that a significant portion of the executive’s compensation would be performance-based.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698" w:right="259" w:bottom="1440" w:gutter="0" w:footer="0" w:header="0"/>
        </w:sectPr>
      </w:pPr>
    </w:p>
    <w:bookmarkStart w:id="13" w:name="page14"/>
    <w:bookmarkEnd w:id="13"/>
    <w:p>
      <w:pPr>
        <w:ind w:right="280" w:firstLine="417"/>
        <w:spacing w:after="0" w:line="287" w:lineRule="auto"/>
        <w:rPr>
          <w:sz w:val="20"/>
          <w:szCs w:val="20"/>
          <w:color w:val="auto"/>
        </w:rPr>
      </w:pPr>
      <w:r>
        <w:rPr>
          <w:rFonts w:ascii="Arial" w:cs="Arial" w:eastAsia="Arial" w:hAnsi="Arial"/>
          <w:sz w:val="16"/>
          <w:szCs w:val="16"/>
          <w:color w:val="auto"/>
        </w:rPr>
        <w:t>For fiscal 2017, each named executive officer’s target level restricted stock unit grant was based on a percentage of the executive’s base salary, which was converted into a target number of units based on the closing market price of a share of our common stock on the date of grant. These grants, made in June 2016, provided that each named executive officer would receive a number of restricted shares of our common stock based on our performance during the fiscal year against the same pre-tax income target used in the annual non-equity incentive program described above.</w:t>
      </w:r>
    </w:p>
    <w:p>
      <w:pPr>
        <w:spacing w:after="0" w:line="31" w:lineRule="exact"/>
        <w:rPr>
          <w:sz w:val="20"/>
          <w:szCs w:val="20"/>
          <w:color w:val="auto"/>
        </w:rPr>
      </w:pPr>
    </w:p>
    <w:p>
      <w:pPr>
        <w:ind w:right="100" w:firstLine="417"/>
        <w:spacing w:after="0" w:line="277" w:lineRule="auto"/>
        <w:rPr>
          <w:sz w:val="20"/>
          <w:szCs w:val="20"/>
          <w:color w:val="auto"/>
        </w:rPr>
      </w:pPr>
      <w:r>
        <w:rPr>
          <w:rFonts w:ascii="Arial" w:cs="Arial" w:eastAsia="Arial" w:hAnsi="Arial"/>
          <w:sz w:val="16"/>
          <w:szCs w:val="16"/>
          <w:color w:val="auto"/>
        </w:rPr>
        <w:t>The actual number of restricted stock units that would vest and be settled on a one-for-one basis in restricted shares was based on a sliding scale for the relevant income above or below the target level, and was subject to minimum threshold and maximum settlement amounts. For fiscal 2017, the target was set at $36,427,567, the same level as our target used for our non-equity incentive plan arrangement described above, while our actual performance was $36,047,905. If our actual results were less than 80% of the target in fiscal 2017, then no restricted stock units would vest and be settled in restricted shares. If our actual results were between 80% and 100% of the target in fiscal 2017, then a number of restricted stock units would have vested and been settled in restricted shares based on a sliding scale between 50% and 100% of the target number of restricted stock units. If our actual results were between 100% and 120% of the target in fiscal 2017, then a number of restricted stock units would have vested and been settled in restricted shares based on a sliding scale between 100% and 150% of the target number of restricted stock units. Because our actual results were less than the target in fiscal 2017, the named executive officers each received restricted shares equal to approximately 97% of the target number of restricted stock units.</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Compensation Committee established the following performance-based restricted stock unit award amounts for the executive officers for fiscal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Target % of</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Units Vested and</w:t>
            </w:r>
          </w:p>
        </w:tc>
        <w:tc>
          <w:tcPr>
            <w:tcW w:w="0" w:type="dxa"/>
            <w:vAlign w:val="bottom"/>
          </w:tcPr>
          <w:p>
            <w:pPr>
              <w:spacing w:after="0"/>
              <w:rPr>
                <w:sz w:val="1"/>
                <w:szCs w:val="1"/>
                <w:color w:val="auto"/>
              </w:rPr>
            </w:pPr>
          </w:p>
        </w:tc>
      </w:tr>
      <w:tr>
        <w:trPr>
          <w:trHeight w:val="143"/>
        </w:trPr>
        <w:tc>
          <w:tcPr>
            <w:tcW w:w="3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2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Minimum</w:t>
            </w:r>
          </w:p>
        </w:tc>
        <w:tc>
          <w:tcPr>
            <w:tcW w:w="100" w:type="dxa"/>
            <w:vAlign w:val="bottom"/>
            <w:vMerge w:val="restart"/>
          </w:tcPr>
          <w:p>
            <w:pPr>
              <w:spacing w:after="0"/>
              <w:rPr>
                <w:sz w:val="12"/>
                <w:szCs w:val="12"/>
                <w:color w:val="auto"/>
              </w:rPr>
            </w:pP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Target</w:t>
            </w:r>
          </w:p>
        </w:tc>
        <w:tc>
          <w:tcPr>
            <w:tcW w:w="100" w:type="dxa"/>
            <w:vAlign w:val="bottom"/>
            <w:vMerge w:val="restart"/>
          </w:tcPr>
          <w:p>
            <w:pPr>
              <w:spacing w:after="0"/>
              <w:rPr>
                <w:sz w:val="12"/>
                <w:szCs w:val="12"/>
                <w:color w:val="auto"/>
              </w:rPr>
            </w:pPr>
          </w:p>
        </w:tc>
        <w:tc>
          <w:tcPr>
            <w:tcW w:w="13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Maximum</w:t>
            </w:r>
          </w:p>
        </w:tc>
        <w:tc>
          <w:tcPr>
            <w:tcW w:w="100" w:type="dxa"/>
            <w:vAlign w:val="bottom"/>
            <w:vMerge w:val="restart"/>
          </w:tcPr>
          <w:p>
            <w:pPr>
              <w:spacing w:after="0"/>
              <w:rPr>
                <w:sz w:val="12"/>
                <w:szCs w:val="12"/>
                <w:color w:val="auto"/>
              </w:rPr>
            </w:pPr>
          </w:p>
        </w:tc>
        <w:tc>
          <w:tcPr>
            <w:tcW w:w="13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Restricted Shares</w:t>
            </w:r>
          </w:p>
        </w:tc>
        <w:tc>
          <w:tcPr>
            <w:tcW w:w="0" w:type="dxa"/>
            <w:vAlign w:val="bottom"/>
          </w:tcPr>
          <w:p>
            <w:pPr>
              <w:spacing w:after="0"/>
              <w:rPr>
                <w:sz w:val="1"/>
                <w:szCs w:val="1"/>
                <w:color w:val="auto"/>
              </w:rPr>
            </w:pPr>
          </w:p>
        </w:tc>
      </w:tr>
      <w:tr>
        <w:trPr>
          <w:trHeight w:val="186"/>
        </w:trPr>
        <w:tc>
          <w:tcPr>
            <w:tcW w:w="3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Actually Issued</w:t>
            </w:r>
          </w:p>
        </w:tc>
        <w:tc>
          <w:tcPr>
            <w:tcW w:w="0" w:type="dxa"/>
            <w:vAlign w:val="bottom"/>
          </w:tcPr>
          <w:p>
            <w:pPr>
              <w:spacing w:after="0"/>
              <w:rPr>
                <w:sz w:val="1"/>
                <w:szCs w:val="1"/>
                <w:color w:val="auto"/>
              </w:rPr>
            </w:pPr>
          </w:p>
        </w:tc>
      </w:tr>
      <w:tr>
        <w:trPr>
          <w:trHeight w:val="239"/>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Chief Executive Officer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4,815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9,629</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14,444</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9,378</w:t>
            </w:r>
          </w:p>
        </w:tc>
        <w:tc>
          <w:tcPr>
            <w:tcW w:w="0" w:type="dxa"/>
            <w:vAlign w:val="bottom"/>
          </w:tcPr>
          <w:p>
            <w:pPr>
              <w:spacing w:after="0"/>
              <w:rPr>
                <w:sz w:val="1"/>
                <w:szCs w:val="1"/>
                <w:color w:val="auto"/>
              </w:rPr>
            </w:pPr>
          </w:p>
        </w:tc>
      </w:tr>
      <w:tr>
        <w:trPr>
          <w:trHeight w:val="234"/>
        </w:trPr>
        <w:tc>
          <w:tcPr>
            <w:tcW w:w="4100" w:type="dxa"/>
            <w:vAlign w:val="bottom"/>
            <w:gridSpan w:val="2"/>
          </w:tcPr>
          <w:p>
            <w:pPr>
              <w:ind w:left="40"/>
              <w:spacing w:after="0"/>
              <w:rPr>
                <w:sz w:val="20"/>
                <w:szCs w:val="20"/>
                <w:color w:val="auto"/>
              </w:rPr>
            </w:pPr>
            <w:r>
              <w:rPr>
                <w:rFonts w:ascii="Arial" w:cs="Arial" w:eastAsia="Arial" w:hAnsi="Arial"/>
                <w:sz w:val="17"/>
                <w:szCs w:val="17"/>
                <w:color w:val="auto"/>
              </w:rPr>
              <w:t>Chief Financial Officer</w:t>
            </w:r>
          </w:p>
        </w:tc>
        <w:tc>
          <w:tcPr>
            <w:tcW w:w="14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2,534</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5,067</w:t>
            </w:r>
          </w:p>
        </w:tc>
        <w:tc>
          <w:tcPr>
            <w:tcW w:w="100" w:type="dxa"/>
            <w:vAlign w:val="bottom"/>
          </w:tcPr>
          <w:p>
            <w:pPr>
              <w:spacing w:after="0"/>
              <w:rPr>
                <w:sz w:val="20"/>
                <w:szCs w:val="20"/>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7,601</w:t>
            </w:r>
          </w:p>
        </w:tc>
        <w:tc>
          <w:tcPr>
            <w:tcW w:w="10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7"/>
                <w:szCs w:val="17"/>
                <w:color w:val="auto"/>
              </w:rPr>
              <w:t>4,934</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General Counsel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2,066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4,132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6,198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4,024</w:t>
            </w:r>
          </w:p>
        </w:tc>
        <w:tc>
          <w:tcPr>
            <w:tcW w:w="0" w:type="dxa"/>
            <w:vAlign w:val="bottom"/>
          </w:tcPr>
          <w:p>
            <w:pPr>
              <w:spacing w:after="0"/>
              <w:rPr>
                <w:sz w:val="1"/>
                <w:szCs w:val="1"/>
                <w:color w:val="auto"/>
              </w:rPr>
            </w:pPr>
          </w:p>
        </w:tc>
      </w:tr>
      <w:tr>
        <w:trPr>
          <w:trHeight w:val="234"/>
        </w:trPr>
        <w:tc>
          <w:tcPr>
            <w:tcW w:w="4100" w:type="dxa"/>
            <w:vAlign w:val="bottom"/>
            <w:gridSpan w:val="2"/>
          </w:tcPr>
          <w:p>
            <w:pPr>
              <w:ind w:left="40"/>
              <w:spacing w:after="0"/>
              <w:rPr>
                <w:sz w:val="20"/>
                <w:szCs w:val="20"/>
                <w:color w:val="auto"/>
              </w:rPr>
            </w:pPr>
            <w:r>
              <w:rPr>
                <w:rFonts w:ascii="Arial" w:cs="Arial" w:eastAsia="Arial" w:hAnsi="Arial"/>
                <w:sz w:val="17"/>
                <w:szCs w:val="17"/>
                <w:color w:val="auto"/>
              </w:rPr>
              <w:t>Vice President - Industrial Group</w:t>
            </w:r>
          </w:p>
        </w:tc>
        <w:tc>
          <w:tcPr>
            <w:tcW w:w="144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1,817</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3,633</w:t>
            </w:r>
          </w:p>
        </w:tc>
        <w:tc>
          <w:tcPr>
            <w:tcW w:w="100" w:type="dxa"/>
            <w:vAlign w:val="bottom"/>
          </w:tcPr>
          <w:p>
            <w:pPr>
              <w:spacing w:after="0"/>
              <w:rPr>
                <w:sz w:val="20"/>
                <w:szCs w:val="20"/>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5,450</w:t>
            </w:r>
          </w:p>
        </w:tc>
        <w:tc>
          <w:tcPr>
            <w:tcW w:w="10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7"/>
                <w:szCs w:val="17"/>
                <w:color w:val="auto"/>
              </w:rPr>
              <w:t>3,538</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Vice President - Water Treatment Group</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1,810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3,619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5,429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3,524</w:t>
            </w:r>
          </w:p>
        </w:tc>
        <w:tc>
          <w:tcPr>
            <w:tcW w:w="0" w:type="dxa"/>
            <w:vAlign w:val="bottom"/>
          </w:tcPr>
          <w:p>
            <w:pPr>
              <w:spacing w:after="0"/>
              <w:rPr>
                <w:sz w:val="1"/>
                <w:szCs w:val="1"/>
                <w:color w:val="auto"/>
              </w:rPr>
            </w:pPr>
          </w:p>
        </w:tc>
      </w:tr>
      <w:tr>
        <w:trPr>
          <w:trHeight w:val="26"/>
        </w:trPr>
        <w:tc>
          <w:tcPr>
            <w:tcW w:w="3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The Compensation Committee established the targeted performance-based restricted stock unit award for each of the executive officers based on a percentage of each officer’s base salary, divided by the closing stock price on the date of grant. The percentages were based on the Compensation Committee’s assessment of the relative scope of his or her responsibilities and the resulting ability of the individual to impact the company’s performance, as well as information provided by McLagan.</w:t>
      </w:r>
    </w:p>
    <w:p>
      <w:pPr>
        <w:spacing w:after="0" w:line="45" w:lineRule="exact"/>
        <w:rPr>
          <w:sz w:val="20"/>
          <w:szCs w:val="20"/>
          <w:color w:val="auto"/>
        </w:rPr>
      </w:pPr>
    </w:p>
    <w:p>
      <w:pPr>
        <w:ind w:firstLine="417"/>
        <w:spacing w:after="0" w:line="266" w:lineRule="auto"/>
        <w:rPr>
          <w:sz w:val="20"/>
          <w:szCs w:val="20"/>
          <w:color w:val="auto"/>
        </w:rPr>
      </w:pPr>
      <w:r>
        <w:rPr>
          <w:rFonts w:ascii="Arial" w:cs="Arial" w:eastAsia="Arial" w:hAnsi="Arial"/>
          <w:sz w:val="17"/>
          <w:szCs w:val="17"/>
          <w:color w:val="auto"/>
        </w:rPr>
        <w:t>The actual number of restricted shares issued to each of the executive officers was determined after our audited financial information became available for fiscal 2017. The restricted shares will vest 100% two years after the end of fiscal 2017, or April 2, 2019. The restricted shares will be forfeited in their entirety if the executive officer departs the company before the end of the vesting period other than in cases of death or disability. Because of Ms. Pepski’s retirement in June of 2017, her shares were forfeited in their entirety.</w:t>
      </w:r>
    </w:p>
    <w:p>
      <w:pPr>
        <w:spacing w:after="0" w:line="45" w:lineRule="exact"/>
        <w:rPr>
          <w:sz w:val="20"/>
          <w:szCs w:val="20"/>
          <w:color w:val="auto"/>
        </w:rPr>
      </w:pPr>
    </w:p>
    <w:p>
      <w:pPr>
        <w:ind w:right="40" w:firstLine="417"/>
        <w:spacing w:after="0" w:line="277" w:lineRule="auto"/>
        <w:rPr>
          <w:sz w:val="20"/>
          <w:szCs w:val="20"/>
          <w:color w:val="auto"/>
        </w:rPr>
      </w:pPr>
      <w:r>
        <w:rPr>
          <w:rFonts w:ascii="Arial" w:cs="Arial" w:eastAsia="Arial" w:hAnsi="Arial"/>
          <w:sz w:val="16"/>
          <w:szCs w:val="16"/>
          <w:color w:val="auto"/>
        </w:rPr>
        <w:t>In the event of a “fundamental change” (as defined below) involving the Company, each performance-based restricted stock unit award will vest immediately at 100% of its target if the Compensation Committee determines that the fundamental change will not result in the continuation of the performance-based restricted stock unit award. Any outstanding shares of restricted stock issued in settlement of vested performance-based restricted stock unit awards will also immediately vest under the same circumstances. If a performance-based restricted stock unit award is continued after a fundamental change, but, in connection with the fundamental change, an executive is terminated without cause or resigns for good reason, then the performance-based restricted stock unit award or any restricted stock issued in settlement of vested performance-based restricted stock unit awards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2010 Omnibus Incentive Plan, “fundamental change” generally includes any one of the following, unless otherwise provided in an award agreement:</w:t>
      </w:r>
    </w:p>
    <w:p>
      <w:pPr>
        <w:spacing w:after="0" w:line="64" w:lineRule="exact"/>
        <w:rPr>
          <w:sz w:val="20"/>
          <w:szCs w:val="20"/>
          <w:color w:val="auto"/>
        </w:rPr>
      </w:pPr>
    </w:p>
    <w:p>
      <w:pPr>
        <w:ind w:left="700" w:hanging="305"/>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consummation of a corporate transaction, subject to certain exceptions;</w:t>
      </w:r>
    </w:p>
    <w:p>
      <w:pPr>
        <w:spacing w:after="0" w:line="25" w:lineRule="exact"/>
        <w:rPr>
          <w:rFonts w:ascii="Arial" w:cs="Arial" w:eastAsia="Arial" w:hAnsi="Arial"/>
          <w:sz w:val="17"/>
          <w:szCs w:val="17"/>
          <w:color w:val="auto"/>
        </w:rPr>
      </w:pPr>
    </w:p>
    <w:p>
      <w:pPr>
        <w:ind w:left="700" w:hanging="305"/>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person or group becomes the beneficial owner of more than 50% of the combined voting power of the company, subject to certain exceptions; or</w:t>
      </w:r>
    </w:p>
    <w:p>
      <w:pPr>
        <w:spacing w:after="0" w:line="24" w:lineRule="exact"/>
        <w:rPr>
          <w:rFonts w:ascii="Arial" w:cs="Arial" w:eastAsia="Arial" w:hAnsi="Arial"/>
          <w:sz w:val="16"/>
          <w:szCs w:val="16"/>
          <w:color w:val="auto"/>
        </w:rPr>
      </w:pPr>
    </w:p>
    <w:p>
      <w:pPr>
        <w:ind w:left="700" w:hanging="305"/>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continuing directors cease to constitute a majority of the members of our Board of Directors.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648" w:right="259" w:bottom="1440" w:gutter="0" w:footer="0" w:header="0"/>
        </w:sectPr>
      </w:pPr>
    </w:p>
    <w:bookmarkStart w:id="14" w:name="page15"/>
    <w:bookmarkEnd w:id="14"/>
    <w:p>
      <w:pPr>
        <w:ind w:right="60" w:firstLine="417"/>
        <w:spacing w:after="0" w:line="283" w:lineRule="auto"/>
        <w:rPr>
          <w:sz w:val="20"/>
          <w:szCs w:val="20"/>
          <w:color w:val="auto"/>
        </w:rPr>
      </w:pPr>
      <w:r>
        <w:rPr>
          <w:rFonts w:ascii="Arial" w:cs="Arial" w:eastAsia="Arial" w:hAnsi="Arial"/>
          <w:sz w:val="16"/>
          <w:szCs w:val="16"/>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2010 Omnibus Incentive Plan, a director of the company, or who 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 of Directors.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Severance Arrangements</w:t>
      </w:r>
    </w:p>
    <w:p>
      <w:pPr>
        <w:spacing w:after="0" w:line="130" w:lineRule="exact"/>
        <w:rPr>
          <w:sz w:val="20"/>
          <w:szCs w:val="20"/>
          <w:color w:val="auto"/>
        </w:rPr>
      </w:pPr>
    </w:p>
    <w:p>
      <w:pPr>
        <w:ind w:right="60" w:firstLine="417"/>
        <w:spacing w:after="0" w:line="271" w:lineRule="auto"/>
        <w:rPr>
          <w:sz w:val="20"/>
          <w:szCs w:val="20"/>
          <w:color w:val="auto"/>
        </w:rPr>
      </w:pPr>
      <w:r>
        <w:rPr>
          <w:rFonts w:ascii="Arial" w:cs="Arial" w:eastAsia="Arial" w:hAnsi="Arial"/>
          <w:sz w:val="17"/>
          <w:szCs w:val="17"/>
          <w:color w:val="auto"/>
        </w:rPr>
        <w:t>Our Compensation Committee has adopted an Executive Severance Plan covering our Chief Executive Officer and certain other key employees, including all of our named executive officers. We believe that the benefits provided by the Executive Severance Plan Severance help attract executive talent and create an environment that provides for adequate business transition and knowledge transfer during times of change.</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Contribution to Long-Term Benefit Plan</w:t>
      </w:r>
    </w:p>
    <w:p>
      <w:pPr>
        <w:spacing w:after="0" w:line="91" w:lineRule="exact"/>
        <w:rPr>
          <w:sz w:val="20"/>
          <w:szCs w:val="20"/>
          <w:color w:val="auto"/>
        </w:rPr>
      </w:pPr>
    </w:p>
    <w:p>
      <w:pPr>
        <w:ind w:right="540" w:firstLine="417"/>
        <w:spacing w:after="0" w:line="266" w:lineRule="auto"/>
        <w:rPr>
          <w:sz w:val="20"/>
          <w:szCs w:val="20"/>
          <w:color w:val="auto"/>
        </w:rPr>
      </w:pPr>
      <w:r>
        <w:rPr>
          <w:rFonts w:ascii="Arial" w:cs="Arial" w:eastAsia="Arial" w:hAnsi="Arial"/>
          <w:sz w:val="17"/>
          <w:szCs w:val="17"/>
          <w:color w:val="auto"/>
        </w:rPr>
        <w:t>All of our named executive officers participate in the 401(k) component of our Profit Sharing Plan, which is available to the majority of our other non-bargaining unit employees. Our named executive officers, all of whom were hired on or before April 1, 2012, also participate in our nonqualified deferred compensation plan established during fiscal 2017 covering employees who were hired on or before April 1, 2012 and are classified as “highly compensated employees” as determined by the Internal Revenue Service (“IRS”).</w:t>
      </w:r>
    </w:p>
    <w:p>
      <w:pPr>
        <w:spacing w:after="0" w:line="71" w:lineRule="exact"/>
        <w:rPr>
          <w:sz w:val="20"/>
          <w:szCs w:val="20"/>
          <w:color w:val="auto"/>
        </w:rPr>
      </w:pPr>
    </w:p>
    <w:p>
      <w:pPr>
        <w:ind w:right="20" w:firstLine="417"/>
        <w:spacing w:after="0" w:line="271" w:lineRule="auto"/>
        <w:rPr>
          <w:sz w:val="20"/>
          <w:szCs w:val="20"/>
          <w:color w:val="auto"/>
        </w:rPr>
      </w:pPr>
      <w:r>
        <w:rPr>
          <w:rFonts w:ascii="Arial" w:cs="Arial" w:eastAsia="Arial" w:hAnsi="Arial"/>
          <w:sz w:val="17"/>
          <w:szCs w:val="17"/>
          <w:color w:val="auto"/>
        </w:rPr>
        <w:t>Under the plans, our executive officers participate on the same terms as all other eligible employees, with the annual compensation that was used to determine plan benefits capped at the federal tax law limit of $265,000 for fiscal 2017. This limit will be adjusted in future years under federal tax law for cost-of-living increases.</w:t>
      </w:r>
    </w:p>
    <w:p>
      <w:pPr>
        <w:spacing w:after="0" w:line="41" w:lineRule="exact"/>
        <w:rPr>
          <w:sz w:val="20"/>
          <w:szCs w:val="20"/>
          <w:color w:val="auto"/>
        </w:rPr>
      </w:pPr>
    </w:p>
    <w:p>
      <w:pPr>
        <w:jc w:val="both"/>
        <w:ind w:right="40" w:firstLine="391"/>
        <w:spacing w:after="0" w:line="295" w:lineRule="auto"/>
        <w:rPr>
          <w:sz w:val="20"/>
          <w:szCs w:val="20"/>
          <w:color w:val="auto"/>
        </w:rPr>
      </w:pPr>
      <w:r>
        <w:rPr>
          <w:rFonts w:ascii="Arial" w:cs="Arial" w:eastAsia="Arial" w:hAnsi="Arial"/>
          <w:sz w:val="15"/>
          <w:szCs w:val="15"/>
          <w:color w:val="auto"/>
        </w:rPr>
        <w:t>The newly-established nonqualified deferred compensation plan is structured to comply with Section 409A. Under the plan, there is no participant deferral of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w:t>
      </w:r>
    </w:p>
    <w:p>
      <w:pPr>
        <w:spacing w:after="0" w:line="1" w:lineRule="exact"/>
        <w:rPr>
          <w:sz w:val="20"/>
          <w:szCs w:val="20"/>
          <w:color w:val="auto"/>
        </w:rPr>
      </w:pPr>
    </w:p>
    <w:p>
      <w:pPr>
        <w:jc w:val="both"/>
        <w:ind w:right="220"/>
        <w:spacing w:after="0" w:line="263" w:lineRule="auto"/>
        <w:rPr>
          <w:sz w:val="20"/>
          <w:szCs w:val="20"/>
          <w:color w:val="auto"/>
        </w:rPr>
      </w:pPr>
      <w:r>
        <w:rPr>
          <w:rFonts w:ascii="Arial" w:cs="Arial" w:eastAsia="Arial" w:hAnsi="Arial"/>
          <w:sz w:val="17"/>
          <w:szCs w:val="17"/>
          <w:color w:val="auto"/>
        </w:rPr>
        <w:t>Participant accounts are credited with the appropriate gains or losses resulting from the participant-directed investments made under the plan. Under the plan, for fiscal 2017 we made contributions to this plan equal to 10% of each participant’s eligible compensation in the plan year, resulting in a contribution of $26,500 on behalf of each eligible named executive officer.</w:t>
      </w:r>
    </w:p>
    <w:p>
      <w:pPr>
        <w:spacing w:after="0" w:line="152" w:lineRule="exact"/>
        <w:rPr>
          <w:sz w:val="20"/>
          <w:szCs w:val="20"/>
          <w:color w:val="auto"/>
        </w:rPr>
      </w:pPr>
    </w:p>
    <w:p>
      <w:pPr>
        <w:ind w:right="300" w:firstLine="417"/>
        <w:spacing w:after="0" w:line="323" w:lineRule="auto"/>
        <w:rPr>
          <w:sz w:val="20"/>
          <w:szCs w:val="20"/>
          <w:color w:val="auto"/>
        </w:rPr>
      </w:pPr>
      <w:r>
        <w:rPr>
          <w:rFonts w:ascii="Arial" w:cs="Arial" w:eastAsia="Arial" w:hAnsi="Arial"/>
          <w:sz w:val="15"/>
          <w:szCs w:val="15"/>
          <w:color w:val="auto"/>
        </w:rPr>
        <w:t>Under the 401(k) component of the Profit Sharing Plan, employee contributions are matched by the company up to a maximum of five percent of the participant’s eligible earnings, subject to IRS limitations. Participant accounts are credited with the appropriate gains or losses resulting from employee-directed investments made by the plan. During fiscal 2017, we made contributions of approximately $13,500 on behalf of each named executive officer under this plan.</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Other Benefits</w:t>
      </w:r>
    </w:p>
    <w:p>
      <w:pPr>
        <w:spacing w:after="0" w:line="91" w:lineRule="exact"/>
        <w:rPr>
          <w:sz w:val="20"/>
          <w:szCs w:val="20"/>
          <w:color w:val="auto"/>
        </w:rPr>
      </w:pPr>
    </w:p>
    <w:p>
      <w:pPr>
        <w:ind w:right="120" w:firstLine="417"/>
        <w:spacing w:after="0" w:line="286" w:lineRule="auto"/>
        <w:rPr>
          <w:sz w:val="20"/>
          <w:szCs w:val="20"/>
          <w:color w:val="auto"/>
        </w:rPr>
      </w:pPr>
      <w:r>
        <w:rPr>
          <w:rFonts w:ascii="Arial" w:cs="Arial" w:eastAsia="Arial" w:hAnsi="Arial"/>
          <w:sz w:val="17"/>
          <w:szCs w:val="17"/>
          <w:color w:val="auto"/>
        </w:rPr>
        <w:t>The Compensation Committee believes that we must offer a competitive benefits program to attract and retain our executive officers. During fiscal 2017, we provided medical and other health and welfare benefits to our executive officers that are generally available to our other employees.</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only perquisite we offer to our executive officers is the personal use of a company car.</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Other Agreements and Policies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Tax Deductibility of Compensation</w:t>
      </w:r>
    </w:p>
    <w:p>
      <w:pPr>
        <w:spacing w:after="0" w:line="91" w:lineRule="exact"/>
        <w:rPr>
          <w:sz w:val="20"/>
          <w:szCs w:val="20"/>
          <w:color w:val="auto"/>
        </w:rPr>
      </w:pPr>
    </w:p>
    <w:p>
      <w:pPr>
        <w:ind w:right="100" w:firstLine="417"/>
        <w:spacing w:after="0" w:line="266" w:lineRule="auto"/>
        <w:rPr>
          <w:sz w:val="20"/>
          <w:szCs w:val="20"/>
          <w:color w:val="auto"/>
        </w:rPr>
      </w:pPr>
      <w:r>
        <w:rPr>
          <w:rFonts w:ascii="Arial" w:cs="Arial" w:eastAsia="Arial" w:hAnsi="Arial"/>
          <w:sz w:val="17"/>
          <w:szCs w:val="17"/>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w:t>
      </w:r>
    </w:p>
    <w:p>
      <w:pPr>
        <w:spacing w:after="0" w:line="45" w:lineRule="exact"/>
        <w:rPr>
          <w:sz w:val="20"/>
          <w:szCs w:val="20"/>
          <w:color w:val="auto"/>
        </w:rPr>
      </w:pPr>
    </w:p>
    <w:p>
      <w:pPr>
        <w:ind w:firstLine="417"/>
        <w:spacing w:after="0" w:line="263" w:lineRule="auto"/>
        <w:rPr>
          <w:sz w:val="20"/>
          <w:szCs w:val="20"/>
          <w:color w:val="auto"/>
        </w:rPr>
      </w:pPr>
      <w:r>
        <w:rPr>
          <w:rFonts w:ascii="Arial" w:cs="Arial" w:eastAsia="Arial" w:hAnsi="Arial"/>
          <w:sz w:val="17"/>
          <w:szCs w:val="17"/>
          <w:color w:val="auto"/>
        </w:rPr>
        <w:t>Certain kinds of compensation, including qualified “performance-based compensation,” are disregarded for purposes of the deduction limitation. In order to qualify as “performance-based compensation” for Section 162(m) purposes, compensation must satisfy certain requirements, including that the vesting and payment of such compensation must generally be conditioned upon the satisfaction over a specified performance period of pre-established objective performance goals set by the Compensation Committee. The Compensation Committee believes that no named executive officer exceeded the $1.0 million Section 162(m) limit during fiscal 2017.</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726" w:right="239" w:bottom="1440" w:gutter="0" w:footer="0" w:header="0"/>
        </w:sectPr>
      </w:pPr>
    </w:p>
    <w:bookmarkStart w:id="15" w:name="page16"/>
    <w:bookmarkEnd w:id="15"/>
    <w:p>
      <w:pPr>
        <w:ind w:left="220"/>
        <w:spacing w:after="0"/>
        <w:rPr>
          <w:sz w:val="20"/>
          <w:szCs w:val="20"/>
          <w:color w:val="auto"/>
        </w:rPr>
      </w:pPr>
      <w:r>
        <w:rPr>
          <w:rFonts w:ascii="Arial" w:cs="Arial" w:eastAsia="Arial" w:hAnsi="Arial"/>
          <w:sz w:val="17"/>
          <w:szCs w:val="17"/>
          <w:i w:val="1"/>
          <w:iCs w:val="1"/>
          <w:color w:val="auto"/>
        </w:rPr>
        <w:t>Risks Arising from Compensation Policies and Practices</w:t>
      </w:r>
    </w:p>
    <w:p>
      <w:pPr>
        <w:spacing w:after="0" w:line="91" w:lineRule="exact"/>
        <w:rPr>
          <w:sz w:val="20"/>
          <w:szCs w:val="20"/>
          <w:color w:val="auto"/>
        </w:rPr>
      </w:pPr>
    </w:p>
    <w:p>
      <w:pPr>
        <w:ind w:firstLine="417"/>
        <w:spacing w:after="0" w:line="323" w:lineRule="auto"/>
        <w:rPr>
          <w:sz w:val="20"/>
          <w:szCs w:val="20"/>
          <w:color w:val="auto"/>
        </w:rPr>
      </w:pPr>
      <w:r>
        <w:rPr>
          <w:rFonts w:ascii="Arial" w:cs="Arial" w:eastAsia="Arial" w:hAnsi="Arial"/>
          <w:sz w:val="15"/>
          <w:szCs w:val="15"/>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management’s analysis and conclusions.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97" w:lineRule="exact"/>
        <w:rPr>
          <w:sz w:val="20"/>
          <w:szCs w:val="20"/>
          <w:color w:val="auto"/>
        </w:rPr>
      </w:pPr>
    </w:p>
    <w:p>
      <w:pPr>
        <w:jc w:val="both"/>
        <w:ind w:right="560" w:firstLine="417"/>
        <w:spacing w:after="0" w:line="271" w:lineRule="auto"/>
        <w:rPr>
          <w:sz w:val="20"/>
          <w:szCs w:val="20"/>
          <w:color w:val="auto"/>
        </w:rPr>
      </w:pPr>
      <w:r>
        <w:rPr>
          <w:rFonts w:ascii="Arial" w:cs="Arial" w:eastAsia="Arial" w:hAnsi="Arial"/>
          <w:sz w:val="17"/>
          <w:szCs w:val="17"/>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41" w:lineRule="exact"/>
        <w:rPr>
          <w:sz w:val="20"/>
          <w:szCs w:val="20"/>
          <w:color w:val="auto"/>
        </w:rPr>
      </w:pPr>
    </w:p>
    <w:p>
      <w:pPr>
        <w:ind w:left="1700"/>
        <w:spacing w:after="0"/>
        <w:tabs>
          <w:tab w:leader="none" w:pos="3960" w:val="left"/>
          <w:tab w:leader="none" w:pos="5760" w:val="left"/>
          <w:tab w:leader="none" w:pos="8540" w:val="left"/>
        </w:tabs>
        <w:rPr>
          <w:sz w:val="20"/>
          <w:szCs w:val="20"/>
          <w:color w:val="auto"/>
        </w:rPr>
      </w:pPr>
      <w:r>
        <w:rPr>
          <w:rFonts w:ascii="Arial" w:cs="Arial" w:eastAsia="Arial" w:hAnsi="Arial"/>
          <w:sz w:val="17"/>
          <w:szCs w:val="17"/>
          <w:i w:val="1"/>
          <w:iCs w:val="1"/>
          <w:color w:val="auto"/>
        </w:rPr>
        <w:t>James T. Thompson (Chair)</w:t>
      </w:r>
      <w:r>
        <w:rPr>
          <w:sz w:val="20"/>
          <w:szCs w:val="20"/>
          <w:color w:val="auto"/>
        </w:rPr>
        <w:tab/>
      </w:r>
      <w:r>
        <w:rPr>
          <w:rFonts w:ascii="Arial" w:cs="Arial" w:eastAsia="Arial" w:hAnsi="Arial"/>
          <w:sz w:val="17"/>
          <w:szCs w:val="17"/>
          <w:i w:val="1"/>
          <w:iCs w:val="1"/>
          <w:color w:val="auto"/>
        </w:rPr>
        <w:t>Duane M. Jergenson</w:t>
      </w:r>
      <w:r>
        <w:rPr>
          <w:sz w:val="20"/>
          <w:szCs w:val="20"/>
          <w:color w:val="auto"/>
        </w:rPr>
        <w:tab/>
      </w:r>
      <w:r>
        <w:rPr>
          <w:rFonts w:ascii="Arial" w:cs="Arial" w:eastAsia="Arial" w:hAnsi="Arial"/>
          <w:sz w:val="17"/>
          <w:szCs w:val="17"/>
          <w:i w:val="1"/>
          <w:iCs w:val="1"/>
          <w:color w:val="auto"/>
        </w:rPr>
        <w:t>Mary J. Schumacher Daryl I. Skaar</w:t>
      </w:r>
      <w:r>
        <w:rPr>
          <w:sz w:val="20"/>
          <w:szCs w:val="20"/>
          <w:color w:val="auto"/>
        </w:rPr>
        <w:tab/>
      </w:r>
      <w:r>
        <w:rPr>
          <w:rFonts w:ascii="Arial" w:cs="Arial" w:eastAsia="Arial" w:hAnsi="Arial"/>
          <w:sz w:val="15"/>
          <w:szCs w:val="15"/>
          <w:i w:val="1"/>
          <w:iCs w:val="1"/>
          <w:color w:val="auto"/>
        </w:rPr>
        <w:t>Jeffrey L. Wright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Compensation Committee of the Board of Directors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97" w:lineRule="exact"/>
        <w:rPr>
          <w:sz w:val="20"/>
          <w:szCs w:val="20"/>
          <w:color w:val="auto"/>
        </w:rPr>
      </w:pPr>
    </w:p>
    <w:p>
      <w:pPr>
        <w:ind w:right="300" w:firstLine="417"/>
        <w:spacing w:after="0" w:line="286" w:lineRule="auto"/>
        <w:rPr>
          <w:sz w:val="20"/>
          <w:szCs w:val="20"/>
          <w:color w:val="auto"/>
        </w:rPr>
      </w:pPr>
      <w:r>
        <w:rPr>
          <w:rFonts w:ascii="Arial" w:cs="Arial" w:eastAsia="Arial" w:hAnsi="Arial"/>
          <w:sz w:val="17"/>
          <w:szCs w:val="17"/>
          <w:color w:val="auto"/>
        </w:rPr>
        <w:t>The following table sets forth the compensation of our Chief Executive Officer, Chief Financial Officer and the three other highest paid executive officers (collectively, the “named executive officers”) for our last three completed fiscal years.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3"/>
              </w:rPr>
              <w:t>Stock</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Non-Equity</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w:t>
            </w:r>
          </w:p>
        </w:tc>
        <w:tc>
          <w:tcPr>
            <w:tcW w:w="10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Incentive Plan</w:t>
            </w:r>
          </w:p>
        </w:tc>
        <w:tc>
          <w:tcPr>
            <w:tcW w:w="1440" w:type="dxa"/>
            <w:vAlign w:val="bottom"/>
            <w:gridSpan w:val="2"/>
            <w:vMerge w:val="continue"/>
          </w:tcPr>
          <w:p>
            <w:pPr>
              <w:spacing w:after="0"/>
              <w:rPr>
                <w:sz w:val="12"/>
                <w:szCs w:val="12"/>
                <w:color w:val="auto"/>
              </w:rPr>
            </w:pPr>
          </w:p>
        </w:tc>
        <w:tc>
          <w:tcPr>
            <w:tcW w:w="12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0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6"/>
              </w:rPr>
              <w:t>Awards</w:t>
            </w:r>
          </w:p>
        </w:tc>
        <w:tc>
          <w:tcPr>
            <w:tcW w:w="14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8"/>
              </w:rPr>
              <w:t>Compensation</w:t>
            </w:r>
          </w:p>
        </w:tc>
        <w:tc>
          <w:tcPr>
            <w:tcW w:w="14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($)(b)(c)</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3"/>
        </w:trPr>
        <w:tc>
          <w:tcPr>
            <w:tcW w:w="2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Patrick H. Hawkins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410,481</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415,010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304,762</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53,661</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1,183,914</w:t>
            </w:r>
          </w:p>
        </w:tc>
        <w:tc>
          <w:tcPr>
            <w:tcW w:w="0" w:type="dxa"/>
            <w:vAlign w:val="bottom"/>
          </w:tcPr>
          <w:p>
            <w:pPr>
              <w:spacing w:after="0"/>
              <w:rPr>
                <w:sz w:val="1"/>
                <w:szCs w:val="1"/>
                <w:color w:val="auto"/>
              </w:rPr>
            </w:pPr>
          </w:p>
        </w:tc>
      </w:tr>
      <w:tr>
        <w:trPr>
          <w:trHeight w:val="260"/>
        </w:trPr>
        <w:tc>
          <w:tcPr>
            <w:tcW w:w="282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w w:val="93"/>
              </w:rPr>
              <w:t>Chief Executive Officer and President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386,885</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50,000</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351,000</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229,084</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52,281</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1,069,250</w:t>
            </w:r>
          </w:p>
        </w:tc>
        <w:tc>
          <w:tcPr>
            <w:tcW w:w="0" w:type="dxa"/>
            <w:vAlign w:val="bottom"/>
          </w:tcPr>
          <w:p>
            <w:pPr>
              <w:spacing w:after="0"/>
              <w:rPr>
                <w:sz w:val="1"/>
                <w:szCs w:val="1"/>
                <w:color w:val="auto"/>
              </w:rPr>
            </w:pPr>
          </w:p>
        </w:tc>
      </w:tr>
      <w:tr>
        <w:trPr>
          <w:trHeight w:val="267"/>
        </w:trPr>
        <w:tc>
          <w:tcPr>
            <w:tcW w:w="2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370,010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334,785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258,929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54,050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1,017,774</w:t>
            </w:r>
          </w:p>
        </w:tc>
        <w:tc>
          <w:tcPr>
            <w:tcW w:w="0" w:type="dxa"/>
            <w:vAlign w:val="bottom"/>
          </w:tcPr>
          <w:p>
            <w:pPr>
              <w:spacing w:after="0"/>
              <w:rPr>
                <w:sz w:val="1"/>
                <w:szCs w:val="1"/>
                <w:color w:val="auto"/>
              </w:rPr>
            </w:pPr>
          </w:p>
        </w:tc>
      </w:tr>
      <w:tr>
        <w:trPr>
          <w:trHeight w:val="234"/>
        </w:trPr>
        <w:tc>
          <w:tcPr>
            <w:tcW w:w="2820" w:type="dxa"/>
            <w:vAlign w:val="bottom"/>
          </w:tcPr>
          <w:p>
            <w:pPr>
              <w:ind w:left="40"/>
              <w:spacing w:after="0"/>
              <w:rPr>
                <w:sz w:val="20"/>
                <w:szCs w:val="20"/>
                <w:color w:val="auto"/>
              </w:rPr>
            </w:pPr>
            <w:r>
              <w:rPr>
                <w:rFonts w:ascii="Arial" w:cs="Arial" w:eastAsia="Arial" w:hAnsi="Arial"/>
                <w:sz w:val="17"/>
                <w:szCs w:val="17"/>
                <w:color w:val="auto"/>
              </w:rPr>
              <w:t>Kathleen P. Pepski</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309,831</w:t>
            </w:r>
          </w:p>
        </w:tc>
        <w:tc>
          <w:tcPr>
            <w:tcW w:w="120" w:type="dxa"/>
            <w:vAlign w:val="bottom"/>
          </w:tcPr>
          <w:p>
            <w:pPr>
              <w:spacing w:after="0"/>
              <w:rPr>
                <w:sz w:val="20"/>
                <w:szCs w:val="20"/>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218,388</w:t>
            </w:r>
          </w:p>
        </w:tc>
        <w:tc>
          <w:tcPr>
            <w:tcW w:w="12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161,548</w:t>
            </w:r>
          </w:p>
        </w:tc>
        <w:tc>
          <w:tcPr>
            <w:tcW w:w="120" w:type="dxa"/>
            <w:vAlign w:val="bottom"/>
          </w:tcPr>
          <w:p>
            <w:pPr>
              <w:spacing w:after="0"/>
              <w:rPr>
                <w:sz w:val="20"/>
                <w:szCs w:val="20"/>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53,628</w:t>
            </w:r>
          </w:p>
        </w:tc>
        <w:tc>
          <w:tcPr>
            <w:tcW w:w="1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743,395</w:t>
            </w:r>
          </w:p>
        </w:tc>
        <w:tc>
          <w:tcPr>
            <w:tcW w:w="0" w:type="dxa"/>
            <w:vAlign w:val="bottom"/>
          </w:tcPr>
          <w:p>
            <w:pPr>
              <w:spacing w:after="0"/>
              <w:rPr>
                <w:sz w:val="1"/>
                <w:szCs w:val="1"/>
                <w:color w:val="auto"/>
              </w:rPr>
            </w:pPr>
          </w:p>
        </w:tc>
      </w:tr>
      <w:tr>
        <w:trPr>
          <w:trHeight w:val="248"/>
        </w:trPr>
        <w:tc>
          <w:tcPr>
            <w:tcW w:w="2820" w:type="dxa"/>
            <w:vAlign w:val="bottom"/>
          </w:tcPr>
          <w:p>
            <w:pPr>
              <w:ind w:left="160"/>
              <w:spacing w:after="0"/>
              <w:rPr>
                <w:sz w:val="20"/>
                <w:szCs w:val="20"/>
                <w:color w:val="auto"/>
              </w:rPr>
            </w:pPr>
            <w:r>
              <w:rPr>
                <w:rFonts w:ascii="Arial" w:cs="Arial" w:eastAsia="Arial" w:hAnsi="Arial"/>
                <w:sz w:val="17"/>
                <w:szCs w:val="17"/>
                <w:i w:val="1"/>
                <w:iCs w:val="1"/>
                <w:color w:val="auto"/>
              </w:rPr>
              <w:t>Vice President, Chief Financial</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297,750</w:t>
            </w:r>
          </w:p>
        </w:tc>
        <w:tc>
          <w:tcPr>
            <w:tcW w:w="120" w:type="dxa"/>
            <w:vAlign w:val="bottom"/>
          </w:tcPr>
          <w:p>
            <w:pPr>
              <w:spacing w:after="0"/>
              <w:rPr>
                <w:sz w:val="21"/>
                <w:szCs w:val="21"/>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50,000</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179,998</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117,479</w:t>
            </w:r>
          </w:p>
        </w:tc>
        <w:tc>
          <w:tcPr>
            <w:tcW w:w="12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53,081</w:t>
            </w:r>
          </w:p>
        </w:tc>
        <w:tc>
          <w:tcPr>
            <w:tcW w:w="1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698,308</w:t>
            </w:r>
          </w:p>
        </w:tc>
        <w:tc>
          <w:tcPr>
            <w:tcW w:w="0" w:type="dxa"/>
            <w:vAlign w:val="bottom"/>
          </w:tcPr>
          <w:p>
            <w:pPr>
              <w:spacing w:after="0"/>
              <w:rPr>
                <w:sz w:val="1"/>
                <w:szCs w:val="1"/>
                <w:color w:val="auto"/>
              </w:rPr>
            </w:pPr>
          </w:p>
        </w:tc>
      </w:tr>
      <w:tr>
        <w:trPr>
          <w:trHeight w:val="273"/>
        </w:trPr>
        <w:tc>
          <w:tcPr>
            <w:tcW w:w="2820" w:type="dxa"/>
            <w:vAlign w:val="bottom"/>
          </w:tcPr>
          <w:p>
            <w:pPr>
              <w:ind w:left="160"/>
              <w:spacing w:after="0"/>
              <w:rPr>
                <w:sz w:val="20"/>
                <w:szCs w:val="20"/>
                <w:color w:val="auto"/>
              </w:rPr>
            </w:pPr>
            <w:r>
              <w:rPr>
                <w:rFonts w:ascii="Arial" w:cs="Arial" w:eastAsia="Arial" w:hAnsi="Arial"/>
                <w:sz w:val="17"/>
                <w:szCs w:val="17"/>
                <w:i w:val="1"/>
                <w:iCs w:val="1"/>
                <w:color w:val="auto"/>
              </w:rPr>
              <w:t>Officer and Treasurer</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285,529</w:t>
            </w:r>
          </w:p>
        </w:tc>
        <w:tc>
          <w:tcPr>
            <w:tcW w:w="120" w:type="dxa"/>
            <w:vAlign w:val="bottom"/>
          </w:tcPr>
          <w:p>
            <w:pPr>
              <w:spacing w:after="0"/>
              <w:rPr>
                <w:sz w:val="23"/>
                <w:szCs w:val="23"/>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172,216</w:t>
            </w:r>
          </w:p>
        </w:tc>
        <w:tc>
          <w:tcPr>
            <w:tcW w:w="120" w:type="dxa"/>
            <w:vAlign w:val="bottom"/>
          </w:tcPr>
          <w:p>
            <w:pPr>
              <w:spacing w:after="0"/>
              <w:rPr>
                <w:sz w:val="23"/>
                <w:szCs w:val="23"/>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133,177</w:t>
            </w:r>
          </w:p>
        </w:tc>
        <w:tc>
          <w:tcPr>
            <w:tcW w:w="120" w:type="dxa"/>
            <w:vAlign w:val="bottom"/>
          </w:tcPr>
          <w:p>
            <w:pPr>
              <w:spacing w:after="0"/>
              <w:rPr>
                <w:sz w:val="23"/>
                <w:szCs w:val="23"/>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52,611</w:t>
            </w:r>
          </w:p>
        </w:tc>
        <w:tc>
          <w:tcPr>
            <w:tcW w:w="10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643,533</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Richard G. Erstad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272,554</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178,089</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107,315</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53,501</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611,459</w:t>
            </w:r>
          </w:p>
        </w:tc>
        <w:tc>
          <w:tcPr>
            <w:tcW w:w="0" w:type="dxa"/>
            <w:vAlign w:val="bottom"/>
          </w:tcPr>
          <w:p>
            <w:pPr>
              <w:spacing w:after="0"/>
              <w:rPr>
                <w:sz w:val="1"/>
                <w:szCs w:val="1"/>
                <w:color w:val="auto"/>
              </w:rPr>
            </w:pPr>
          </w:p>
        </w:tc>
      </w:tr>
      <w:tr>
        <w:trPr>
          <w:trHeight w:val="248"/>
        </w:trPr>
        <w:tc>
          <w:tcPr>
            <w:tcW w:w="282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w w:val="94"/>
              </w:rPr>
              <w:t>Vice President, General Counsel and</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264,442</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50,000</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159,594</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104,123</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51,232</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629,391</w:t>
            </w:r>
          </w:p>
        </w:tc>
        <w:tc>
          <w:tcPr>
            <w:tcW w:w="0" w:type="dxa"/>
            <w:vAlign w:val="bottom"/>
          </w:tcPr>
          <w:p>
            <w:pPr>
              <w:spacing w:after="0"/>
              <w:rPr>
                <w:sz w:val="1"/>
                <w:szCs w:val="1"/>
                <w:color w:val="auto"/>
              </w:rPr>
            </w:pPr>
          </w:p>
        </w:tc>
      </w:tr>
      <w:tr>
        <w:trPr>
          <w:trHeight w:val="279"/>
        </w:trPr>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i w:val="1"/>
                <w:iCs w:val="1"/>
                <w:color w:val="auto"/>
              </w:rPr>
              <w:t>Secretary</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255,702</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154,198</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89,442</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52,402</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551,744</w:t>
            </w:r>
          </w:p>
        </w:tc>
        <w:tc>
          <w:tcPr>
            <w:tcW w:w="0" w:type="dxa"/>
            <w:vAlign w:val="bottom"/>
          </w:tcPr>
          <w:p>
            <w:pPr>
              <w:spacing w:after="0"/>
              <w:rPr>
                <w:sz w:val="1"/>
                <w:szCs w:val="1"/>
                <w:color w:val="auto"/>
              </w:rPr>
            </w:pPr>
          </w:p>
        </w:tc>
      </w:tr>
      <w:tr>
        <w:trPr>
          <w:trHeight w:val="234"/>
        </w:trPr>
        <w:tc>
          <w:tcPr>
            <w:tcW w:w="2820" w:type="dxa"/>
            <w:vAlign w:val="bottom"/>
          </w:tcPr>
          <w:p>
            <w:pPr>
              <w:ind w:left="40"/>
              <w:spacing w:after="0"/>
              <w:rPr>
                <w:sz w:val="20"/>
                <w:szCs w:val="20"/>
                <w:color w:val="auto"/>
              </w:rPr>
            </w:pPr>
            <w:r>
              <w:rPr>
                <w:rFonts w:ascii="Arial" w:cs="Arial" w:eastAsia="Arial" w:hAnsi="Arial"/>
                <w:sz w:val="17"/>
                <w:szCs w:val="17"/>
                <w:color w:val="auto"/>
              </w:rPr>
              <w:t>John R. Sevenich</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260,277</w:t>
            </w:r>
          </w:p>
        </w:tc>
        <w:tc>
          <w:tcPr>
            <w:tcW w:w="120" w:type="dxa"/>
            <w:vAlign w:val="bottom"/>
          </w:tcPr>
          <w:p>
            <w:pPr>
              <w:spacing w:after="0"/>
              <w:rPr>
                <w:sz w:val="20"/>
                <w:szCs w:val="20"/>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156,582</w:t>
            </w:r>
          </w:p>
        </w:tc>
        <w:tc>
          <w:tcPr>
            <w:tcW w:w="12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102,575</w:t>
            </w:r>
          </w:p>
        </w:tc>
        <w:tc>
          <w:tcPr>
            <w:tcW w:w="120" w:type="dxa"/>
            <w:vAlign w:val="bottom"/>
          </w:tcPr>
          <w:p>
            <w:pPr>
              <w:spacing w:after="0"/>
              <w:rPr>
                <w:sz w:val="20"/>
                <w:szCs w:val="20"/>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50,780</w:t>
            </w:r>
          </w:p>
        </w:tc>
        <w:tc>
          <w:tcPr>
            <w:tcW w:w="1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570,214</w:t>
            </w:r>
          </w:p>
        </w:tc>
        <w:tc>
          <w:tcPr>
            <w:tcW w:w="0" w:type="dxa"/>
            <w:vAlign w:val="bottom"/>
          </w:tcPr>
          <w:p>
            <w:pPr>
              <w:spacing w:after="0"/>
              <w:rPr>
                <w:sz w:val="1"/>
                <w:szCs w:val="1"/>
                <w:color w:val="auto"/>
              </w:rPr>
            </w:pPr>
          </w:p>
        </w:tc>
      </w:tr>
      <w:tr>
        <w:trPr>
          <w:trHeight w:val="260"/>
        </w:trPr>
        <w:tc>
          <w:tcPr>
            <w:tcW w:w="2820" w:type="dxa"/>
            <w:vAlign w:val="bottom"/>
          </w:tcPr>
          <w:p>
            <w:pPr>
              <w:ind w:left="160"/>
              <w:spacing w:after="0"/>
              <w:rPr>
                <w:sz w:val="20"/>
                <w:szCs w:val="20"/>
                <w:color w:val="auto"/>
              </w:rPr>
            </w:pPr>
            <w:r>
              <w:rPr>
                <w:rFonts w:ascii="Arial" w:cs="Arial" w:eastAsia="Arial" w:hAnsi="Arial"/>
                <w:sz w:val="17"/>
                <w:szCs w:val="17"/>
                <w:i w:val="1"/>
                <w:iCs w:val="1"/>
                <w:color w:val="auto"/>
              </w:rPr>
              <w:t>Vice President – Industrial Group</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256,134</w:t>
            </w:r>
          </w:p>
        </w:tc>
        <w:tc>
          <w:tcPr>
            <w:tcW w:w="120" w:type="dxa"/>
            <w:vAlign w:val="bottom"/>
          </w:tcPr>
          <w:p>
            <w:pPr>
              <w:spacing w:after="0"/>
              <w:rPr>
                <w:sz w:val="22"/>
                <w:szCs w:val="22"/>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154,196</w:t>
            </w:r>
          </w:p>
        </w:tc>
        <w:tc>
          <w:tcPr>
            <w:tcW w:w="12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97,783</w:t>
            </w:r>
          </w:p>
        </w:tc>
        <w:tc>
          <w:tcPr>
            <w:tcW w:w="1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53,634</w:t>
            </w:r>
          </w:p>
        </w:tc>
        <w:tc>
          <w:tcPr>
            <w:tcW w:w="1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561,747</w:t>
            </w:r>
          </w:p>
        </w:tc>
        <w:tc>
          <w:tcPr>
            <w:tcW w:w="0" w:type="dxa"/>
            <w:vAlign w:val="bottom"/>
          </w:tcPr>
          <w:p>
            <w:pPr>
              <w:spacing w:after="0"/>
              <w:rPr>
                <w:sz w:val="1"/>
                <w:szCs w:val="1"/>
                <w:color w:val="auto"/>
              </w:rPr>
            </w:pPr>
          </w:p>
        </w:tc>
      </w:tr>
      <w:tr>
        <w:trPr>
          <w:trHeight w:val="260"/>
        </w:trPr>
        <w:tc>
          <w:tcPr>
            <w:tcW w:w="28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250,702</w:t>
            </w:r>
          </w:p>
        </w:tc>
        <w:tc>
          <w:tcPr>
            <w:tcW w:w="120" w:type="dxa"/>
            <w:vAlign w:val="bottom"/>
          </w:tcPr>
          <w:p>
            <w:pPr>
              <w:spacing w:after="0"/>
              <w:rPr>
                <w:sz w:val="22"/>
                <w:szCs w:val="22"/>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151,201</w:t>
            </w:r>
          </w:p>
        </w:tc>
        <w:tc>
          <w:tcPr>
            <w:tcW w:w="12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104,733</w:t>
            </w:r>
          </w:p>
        </w:tc>
        <w:tc>
          <w:tcPr>
            <w:tcW w:w="1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38,732</w:t>
            </w:r>
          </w:p>
        </w:tc>
        <w:tc>
          <w:tcPr>
            <w:tcW w:w="1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545,368</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Thomas J. Keller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258,192</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155,979</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99,445</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49,814</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563,430</w:t>
            </w:r>
          </w:p>
        </w:tc>
        <w:tc>
          <w:tcPr>
            <w:tcW w:w="0" w:type="dxa"/>
            <w:vAlign w:val="bottom"/>
          </w:tcPr>
          <w:p>
            <w:pPr>
              <w:spacing w:after="0"/>
              <w:rPr>
                <w:sz w:val="1"/>
                <w:szCs w:val="1"/>
                <w:color w:val="auto"/>
              </w:rPr>
            </w:pPr>
          </w:p>
        </w:tc>
      </w:tr>
      <w:tr>
        <w:trPr>
          <w:trHeight w:val="248"/>
        </w:trPr>
        <w:tc>
          <w:tcPr>
            <w:tcW w:w="282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Vice President – Water Treatment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248,269</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149,985</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92,160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48,396</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538,810</w:t>
            </w:r>
          </w:p>
        </w:tc>
        <w:tc>
          <w:tcPr>
            <w:tcW w:w="0" w:type="dxa"/>
            <w:vAlign w:val="bottom"/>
          </w:tcPr>
          <w:p>
            <w:pPr>
              <w:spacing w:after="0"/>
              <w:rPr>
                <w:sz w:val="1"/>
                <w:szCs w:val="1"/>
                <w:color w:val="auto"/>
              </w:rPr>
            </w:pPr>
          </w:p>
        </w:tc>
      </w:tr>
      <w:tr>
        <w:trPr>
          <w:trHeight w:val="273"/>
        </w:trPr>
        <w:tc>
          <w:tcPr>
            <w:tcW w:w="282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Group</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236,798</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144,001</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99,914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47,395</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528,108</w:t>
            </w:r>
          </w:p>
        </w:tc>
        <w:tc>
          <w:tcPr>
            <w:tcW w:w="0" w:type="dxa"/>
            <w:vAlign w:val="bottom"/>
          </w:tcPr>
          <w:p>
            <w:pPr>
              <w:spacing w:after="0"/>
              <w:rPr>
                <w:sz w:val="1"/>
                <w:szCs w:val="1"/>
                <w:color w:val="auto"/>
              </w:rPr>
            </w:pPr>
          </w:p>
        </w:tc>
      </w:tr>
      <w:tr>
        <w:trPr>
          <w:trHeight w:val="26"/>
        </w:trPr>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400" w:hanging="396"/>
        <w:spacing w:after="0"/>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Amounts represent an additional cash bonus paid to Mr. Hawkins, Ms. Pepski and Mr. Erstad for their efforts in the Stauber acquisition.</w:t>
      </w:r>
    </w:p>
    <w:p>
      <w:pPr>
        <w:spacing w:after="0" w:line="90" w:lineRule="exact"/>
        <w:rPr>
          <w:rFonts w:ascii="Arial" w:cs="Arial" w:eastAsia="Arial" w:hAnsi="Arial"/>
          <w:sz w:val="17"/>
          <w:szCs w:val="17"/>
          <w:color w:val="auto"/>
        </w:rPr>
      </w:pPr>
    </w:p>
    <w:p>
      <w:pPr>
        <w:ind w:left="400" w:right="120" w:hanging="396"/>
        <w:spacing w:after="0" w:line="295"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Amounts represent the aggregate grant date fair value of awards made each fiscal year, as computed in accordance with Financial Accounting Standards Board (FASB) Accounting Standards Codification (ASC) Topic 718. See Note 7, </w:t>
      </w:r>
      <w:r>
        <w:rPr>
          <w:rFonts w:ascii="Arial" w:cs="Arial" w:eastAsia="Arial" w:hAnsi="Arial"/>
          <w:sz w:val="16"/>
          <w:szCs w:val="16"/>
          <w:i w:val="1"/>
          <w:iCs w:val="1"/>
          <w:color w:val="auto"/>
        </w:rPr>
        <w:t>Share-Based Compensation</w:t>
      </w:r>
      <w:r>
        <w:rPr>
          <w:rFonts w:ascii="Arial" w:cs="Arial" w:eastAsia="Arial" w:hAnsi="Arial"/>
          <w:sz w:val="16"/>
          <w:szCs w:val="16"/>
          <w:color w:val="auto"/>
        </w:rPr>
        <w:t>, to our audited financial statements included in our Annual Report on Form 10-K for fiscal 2017 for a description of our accounting for these awards and the assumptions used in valuing the awards.</w:t>
      </w:r>
    </w:p>
    <w:p>
      <w:pPr>
        <w:spacing w:after="0" w:line="24" w:lineRule="exact"/>
        <w:rPr>
          <w:rFonts w:ascii="Arial" w:cs="Arial" w:eastAsia="Arial" w:hAnsi="Arial"/>
          <w:sz w:val="16"/>
          <w:szCs w:val="16"/>
          <w:color w:val="auto"/>
        </w:rPr>
      </w:pPr>
    </w:p>
    <w:p>
      <w:pPr>
        <w:ind w:left="400" w:right="160" w:hanging="396"/>
        <w:spacing w:after="0" w:line="266" w:lineRule="auto"/>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amount shown reflects the grant date fair value of a performance based restricted stock unit award granted during the respective fiscal year, with such value computed based on the estimated probable outcome of the applicable performance conditions as of the grant date. The following table shows the grant date fair values of the performance-based restricted unit awards granted in fiscal 2017 as reported, and what such values would have been assuming the highest level of performance conditions would be achieved:</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726" w:right="259" w:bottom="1440" w:gutter="0" w:footer="0" w:header="0"/>
        </w:sectPr>
      </w:pPr>
    </w:p>
    <w:bookmarkStart w:id="16" w:name="page17"/>
    <w:bookmarkEnd w:id="16"/>
    <w:tbl>
      <w:tblPr>
        <w:tblLayout w:type="fixed"/>
        <w:tblInd w:w="400" w:type="dxa"/>
        <w:tblCellMar>
          <w:top w:w="0" w:type="dxa"/>
          <w:left w:w="0" w:type="dxa"/>
          <w:bottom w:w="0" w:type="dxa"/>
          <w:right w:w="0" w:type="dxa"/>
        </w:tblCellMar>
      </w:tblPr>
      <w:tr>
        <w:trPr>
          <w:trHeight w:val="186"/>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Amount Reported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Maximum Amount</w:t>
            </w:r>
          </w:p>
        </w:tc>
      </w:tr>
      <w:tr>
        <w:trPr>
          <w:trHeight w:val="239"/>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Mr. Hawkins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415,010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622,515</w:t>
            </w:r>
          </w:p>
        </w:tc>
      </w:tr>
      <w:tr>
        <w:trPr>
          <w:trHeight w:val="234"/>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Ms. Pepski</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218,388</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327,582</w:t>
            </w:r>
          </w:p>
        </w:tc>
      </w:tr>
      <w:tr>
        <w:trPr>
          <w:trHeight w:val="26"/>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Mr. Erstad</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178,089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267,134</w:t>
            </w:r>
          </w:p>
        </w:tc>
      </w:tr>
      <w:tr>
        <w:trPr>
          <w:trHeight w:val="234"/>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Mr. Sevenich</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156,582</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234,873</w:t>
            </w:r>
          </w:p>
        </w:tc>
      </w:tr>
      <w:tr>
        <w:trPr>
          <w:trHeight w:val="26"/>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4"/>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Mr. Keller</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233,968</w:t>
            </w:r>
          </w:p>
        </w:tc>
      </w:tr>
      <w:tr>
        <w:trPr>
          <w:trHeight w:val="26"/>
        </w:trPr>
        <w:tc>
          <w:tcPr>
            <w:tcW w:w="6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66" w:lineRule="exact"/>
        <w:rPr>
          <w:sz w:val="20"/>
          <w:szCs w:val="20"/>
          <w:color w:val="auto"/>
        </w:rPr>
      </w:pPr>
    </w:p>
    <w:p>
      <w:pPr>
        <w:ind w:left="400" w:right="180" w:hanging="396"/>
        <w:spacing w:after="0" w:line="271" w:lineRule="auto"/>
        <w:tabs>
          <w:tab w:leader="none" w:pos="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the description of target levels corporate performance, business unit performance and individual objectives, as described under “Annual Non-Equity Incentive Compensation” in the Compensation Discussion and Analysis above. All of the amounts reported for fiscal 2017 were paid in fiscal 2018 after we completed our annual audit.</w:t>
      </w:r>
    </w:p>
    <w:p>
      <w:pPr>
        <w:spacing w:after="0" w:line="40" w:lineRule="exact"/>
        <w:rPr>
          <w:rFonts w:ascii="Arial" w:cs="Arial" w:eastAsia="Arial" w:hAnsi="Arial"/>
          <w:sz w:val="17"/>
          <w:szCs w:val="17"/>
          <w:color w:val="auto"/>
        </w:rPr>
      </w:pPr>
    </w:p>
    <w:p>
      <w:pPr>
        <w:ind w:left="400" w:hanging="396"/>
        <w:spacing w:after="0"/>
        <w:tabs>
          <w:tab w:leader="none" w:pos="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Amounts reported for fiscal 2017 include:</w:t>
      </w:r>
    </w:p>
    <w:p>
      <w:pPr>
        <w:spacing w:after="0" w:line="25" w:lineRule="exact"/>
        <w:rPr>
          <w:rFonts w:ascii="Arial" w:cs="Arial" w:eastAsia="Arial" w:hAnsi="Arial"/>
          <w:sz w:val="17"/>
          <w:szCs w:val="17"/>
          <w:color w:val="auto"/>
        </w:rPr>
      </w:pPr>
    </w:p>
    <w:p>
      <w:pPr>
        <w:ind w:left="700" w:right="200" w:hanging="305"/>
        <w:spacing w:after="0" w:line="271" w:lineRule="auto"/>
        <w:tabs>
          <w:tab w:leader="none" w:pos="7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Contributions by the company on behalf of each of each of our named executive officers to our nonqualified deferred compensation plan and employer matching contributions to our 401(k) plan as set forth below.</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Nonqualified Deferred</w:t>
            </w:r>
          </w:p>
        </w:tc>
        <w:tc>
          <w:tcPr>
            <w:tcW w:w="200" w:type="dxa"/>
            <w:vAlign w:val="bottom"/>
          </w:tcPr>
          <w:p>
            <w:pPr>
              <w:spacing w:after="0"/>
              <w:rPr>
                <w:sz w:val="14"/>
                <w:szCs w:val="14"/>
                <w:color w:val="auto"/>
              </w:rPr>
            </w:pPr>
          </w:p>
        </w:tc>
        <w:tc>
          <w:tcPr>
            <w:tcW w:w="1760" w:type="dxa"/>
            <w:vAlign w:val="bottom"/>
          </w:tcPr>
          <w:p>
            <w:pPr>
              <w:jc w:val="right"/>
              <w:ind w:right="298"/>
              <w:spacing w:after="0"/>
              <w:rPr>
                <w:sz w:val="20"/>
                <w:szCs w:val="20"/>
                <w:color w:val="auto"/>
              </w:rPr>
            </w:pPr>
            <w:r>
              <w:rPr>
                <w:rFonts w:ascii="Arial" w:cs="Arial" w:eastAsia="Arial" w:hAnsi="Arial"/>
                <w:sz w:val="14"/>
                <w:szCs w:val="14"/>
                <w:b w:val="1"/>
                <w:bCs w:val="1"/>
                <w:color w:val="auto"/>
              </w:rPr>
              <w:t>Employer Matching</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w w:val="99"/>
              </w:rPr>
              <w:t>Compensation Plan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w w:val="97"/>
              </w:rPr>
              <w:t>Contribution to 401(k)</w:t>
            </w:r>
          </w:p>
        </w:tc>
        <w:tc>
          <w:tcPr>
            <w:tcW w:w="0" w:type="dxa"/>
            <w:vAlign w:val="bottom"/>
          </w:tcPr>
          <w:p>
            <w:pPr>
              <w:spacing w:after="0"/>
              <w:rPr>
                <w:sz w:val="1"/>
                <w:szCs w:val="1"/>
                <w:color w:val="auto"/>
              </w:rPr>
            </w:pPr>
          </w:p>
        </w:tc>
      </w:tr>
      <w:tr>
        <w:trPr>
          <w:trHeight w:val="239"/>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Mr. Hawkins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13,538</w:t>
            </w:r>
          </w:p>
        </w:tc>
        <w:tc>
          <w:tcPr>
            <w:tcW w:w="0" w:type="dxa"/>
            <w:vAlign w:val="bottom"/>
          </w:tcPr>
          <w:p>
            <w:pPr>
              <w:spacing w:after="0"/>
              <w:rPr>
                <w:sz w:val="1"/>
                <w:szCs w:val="1"/>
                <w:color w:val="auto"/>
              </w:rPr>
            </w:pPr>
          </w:p>
        </w:tc>
      </w:tr>
      <w:tr>
        <w:trPr>
          <w:trHeight w:val="234"/>
        </w:trPr>
        <w:tc>
          <w:tcPr>
            <w:tcW w:w="4500" w:type="dxa"/>
            <w:vAlign w:val="bottom"/>
            <w:gridSpan w:val="2"/>
          </w:tcPr>
          <w:p>
            <w:pPr>
              <w:ind w:left="40"/>
              <w:spacing w:after="0"/>
              <w:rPr>
                <w:sz w:val="20"/>
                <w:szCs w:val="20"/>
                <w:color w:val="auto"/>
              </w:rPr>
            </w:pPr>
            <w:r>
              <w:rPr>
                <w:rFonts w:ascii="Arial" w:cs="Arial" w:eastAsia="Arial" w:hAnsi="Arial"/>
                <w:sz w:val="17"/>
                <w:szCs w:val="17"/>
                <w:color w:val="auto"/>
              </w:rPr>
              <w:t>Ms. Pepski</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26,500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13,388</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Mr. Erstad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13,342</w:t>
            </w:r>
          </w:p>
        </w:tc>
        <w:tc>
          <w:tcPr>
            <w:tcW w:w="0" w:type="dxa"/>
            <w:vAlign w:val="bottom"/>
          </w:tcPr>
          <w:p>
            <w:pPr>
              <w:spacing w:after="0"/>
              <w:rPr>
                <w:sz w:val="1"/>
                <w:szCs w:val="1"/>
                <w:color w:val="auto"/>
              </w:rPr>
            </w:pPr>
          </w:p>
        </w:tc>
      </w:tr>
      <w:tr>
        <w:trPr>
          <w:trHeight w:val="234"/>
        </w:trPr>
        <w:tc>
          <w:tcPr>
            <w:tcW w:w="4500" w:type="dxa"/>
            <w:vAlign w:val="bottom"/>
            <w:gridSpan w:val="2"/>
          </w:tcPr>
          <w:p>
            <w:pPr>
              <w:ind w:left="40"/>
              <w:spacing w:after="0"/>
              <w:rPr>
                <w:sz w:val="20"/>
                <w:szCs w:val="20"/>
                <w:color w:val="auto"/>
              </w:rPr>
            </w:pPr>
            <w:r>
              <w:rPr>
                <w:rFonts w:ascii="Arial" w:cs="Arial" w:eastAsia="Arial" w:hAnsi="Arial"/>
                <w:sz w:val="17"/>
                <w:szCs w:val="17"/>
                <w:color w:val="auto"/>
              </w:rPr>
              <w:t>Mr. Sevenich</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26,500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13,296</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Mr. Keller</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13,365</w:t>
            </w:r>
          </w:p>
        </w:tc>
        <w:tc>
          <w:tcPr>
            <w:tcW w:w="0" w:type="dxa"/>
            <w:vAlign w:val="bottom"/>
          </w:tcPr>
          <w:p>
            <w:pPr>
              <w:spacing w:after="0"/>
              <w:rPr>
                <w:sz w:val="1"/>
                <w:szCs w:val="1"/>
                <w:color w:val="auto"/>
              </w:rPr>
            </w:pPr>
          </w:p>
        </w:tc>
      </w:tr>
      <w:tr>
        <w:trPr>
          <w:trHeight w:val="26"/>
        </w:trPr>
        <w:tc>
          <w:tcPr>
            <w:tcW w:w="4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700" w:right="140" w:hanging="305"/>
        <w:spacing w:after="0" w:line="271"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remaining amount included for each individual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This amount is not grossed up for taxes.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information concerning grants of plan-based awards to our named executive officers during fiscal 2017.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Estimated Possible Payouts Under</w:t>
            </w: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Estimated Future Payouts Under</w:t>
            </w:r>
          </w:p>
        </w:tc>
        <w:tc>
          <w:tcPr>
            <w:tcW w:w="10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65"/>
        </w:trPr>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Non-Equity Incentive Plan Awards(a)</w:t>
            </w:r>
          </w:p>
        </w:tc>
        <w:tc>
          <w:tcPr>
            <w:tcW w:w="120" w:type="dxa"/>
            <w:vAlign w:val="bottom"/>
            <w:vMerge w:val="restart"/>
          </w:tcPr>
          <w:p>
            <w:pPr>
              <w:spacing w:after="0"/>
              <w:rPr>
                <w:sz w:val="5"/>
                <w:szCs w:val="5"/>
                <w:color w:val="auto"/>
              </w:rPr>
            </w:pPr>
          </w:p>
        </w:tc>
        <w:tc>
          <w:tcPr>
            <w:tcW w:w="32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Equity Incentive Plan Awards(b)</w:t>
            </w:r>
          </w:p>
        </w:tc>
        <w:tc>
          <w:tcPr>
            <w:tcW w:w="10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60" w:type="dxa"/>
            <w:vAlign w:val="bottom"/>
            <w:tcBorders>
              <w:bottom w:val="single" w:sz="8" w:color="auto"/>
            </w:tcBorders>
            <w:gridSpan w:val="5"/>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260" w:type="dxa"/>
            <w:vAlign w:val="bottom"/>
            <w:tcBorders>
              <w:bottom w:val="single" w:sz="8" w:color="auto"/>
            </w:tcBorders>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5"/>
              </w:rPr>
              <w:t>Value of Stock</w:t>
            </w:r>
          </w:p>
        </w:tc>
        <w:tc>
          <w:tcPr>
            <w:tcW w:w="0" w:type="dxa"/>
            <w:vAlign w:val="bottom"/>
          </w:tcPr>
          <w:p>
            <w:pPr>
              <w:spacing w:after="0"/>
              <w:rPr>
                <w:sz w:val="1"/>
                <w:szCs w:val="1"/>
                <w:color w:val="auto"/>
              </w:rPr>
            </w:pPr>
          </w:p>
        </w:tc>
      </w:tr>
      <w:tr>
        <w:trPr>
          <w:trHeight w:val="147"/>
        </w:trPr>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140" w:type="dxa"/>
            <w:vAlign w:val="bottom"/>
          </w:tcPr>
          <w:p>
            <w:pPr>
              <w:jc w:val="right"/>
              <w:ind w:right="296"/>
              <w:spacing w:after="0" w:line="147" w:lineRule="exact"/>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2"/>
                <w:szCs w:val="12"/>
                <w:color w:val="auto"/>
              </w:rPr>
            </w:pPr>
          </w:p>
        </w:tc>
        <w:tc>
          <w:tcPr>
            <w:tcW w:w="116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Threshold</w:t>
            </w:r>
          </w:p>
        </w:tc>
        <w:tc>
          <w:tcPr>
            <w:tcW w:w="11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Target</w:t>
            </w:r>
          </w:p>
        </w:tc>
        <w:tc>
          <w:tcPr>
            <w:tcW w:w="116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Maximum</w:t>
            </w:r>
          </w:p>
        </w:tc>
        <w:tc>
          <w:tcPr>
            <w:tcW w:w="112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Threshold</w:t>
            </w:r>
          </w:p>
        </w:tc>
        <w:tc>
          <w:tcPr>
            <w:tcW w:w="11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Target</w:t>
            </w:r>
          </w:p>
        </w:tc>
        <w:tc>
          <w:tcPr>
            <w:tcW w:w="1020" w:type="dxa"/>
            <w:vAlign w:val="bottom"/>
          </w:tcPr>
          <w:p>
            <w:pPr>
              <w:jc w:val="right"/>
              <w:ind w:right="118"/>
              <w:spacing w:after="0" w:line="147"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2"/>
                <w:szCs w:val="12"/>
                <w:color w:val="auto"/>
              </w:rPr>
            </w:pPr>
          </w:p>
        </w:tc>
        <w:tc>
          <w:tcPr>
            <w:tcW w:w="15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86"/>
        </w:trPr>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w:t>
            </w:r>
          </w:p>
        </w:tc>
        <w:tc>
          <w:tcPr>
            <w:tcW w:w="0" w:type="dxa"/>
            <w:vAlign w:val="bottom"/>
          </w:tcPr>
          <w:p>
            <w:pPr>
              <w:spacing w:after="0"/>
              <w:rPr>
                <w:sz w:val="1"/>
                <w:szCs w:val="1"/>
                <w:color w:val="auto"/>
              </w:rPr>
            </w:pPr>
          </w:p>
        </w:tc>
      </w:tr>
      <w:tr>
        <w:trPr>
          <w:trHeight w:val="233"/>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Patrick H. Hawkins</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6/2/2016</w:t>
            </w:r>
          </w:p>
        </w:tc>
        <w:tc>
          <w:tcPr>
            <w:tcW w:w="11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155,625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311,250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622,500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6/2/2016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4,815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9,629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14,444</w:t>
            </w:r>
          </w:p>
        </w:tc>
        <w:tc>
          <w:tcPr>
            <w:tcW w:w="168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415,010</w:t>
            </w:r>
          </w:p>
        </w:tc>
        <w:tc>
          <w:tcPr>
            <w:tcW w:w="0" w:type="dxa"/>
            <w:vAlign w:val="bottom"/>
          </w:tcPr>
          <w:p>
            <w:pPr>
              <w:spacing w:after="0"/>
              <w:rPr>
                <w:sz w:val="1"/>
                <w:szCs w:val="1"/>
                <w:color w:val="auto"/>
              </w:rPr>
            </w:pPr>
          </w:p>
        </w:tc>
      </w:tr>
      <w:tr>
        <w:trPr>
          <w:trHeight w:val="234"/>
        </w:trPr>
        <w:tc>
          <w:tcPr>
            <w:tcW w:w="1720" w:type="dxa"/>
            <w:vAlign w:val="bottom"/>
            <w:gridSpan w:val="2"/>
          </w:tcPr>
          <w:p>
            <w:pPr>
              <w:ind w:left="40"/>
              <w:spacing w:after="0"/>
              <w:rPr>
                <w:sz w:val="20"/>
                <w:szCs w:val="20"/>
                <w:color w:val="auto"/>
              </w:rPr>
            </w:pPr>
            <w:r>
              <w:rPr>
                <w:rFonts w:ascii="Arial" w:cs="Arial" w:eastAsia="Arial" w:hAnsi="Arial"/>
                <w:sz w:val="17"/>
                <w:szCs w:val="17"/>
                <w:color w:val="auto"/>
              </w:rPr>
              <w:t>Kathleen P. Pepski</w:t>
            </w:r>
          </w:p>
        </w:tc>
        <w:tc>
          <w:tcPr>
            <w:tcW w:w="1140" w:type="dxa"/>
            <w:vAlign w:val="bottom"/>
          </w:tcPr>
          <w:p>
            <w:pPr>
              <w:jc w:val="right"/>
              <w:spacing w:after="0"/>
              <w:rPr>
                <w:sz w:val="20"/>
                <w:szCs w:val="20"/>
                <w:color w:val="auto"/>
              </w:rPr>
            </w:pPr>
            <w:r>
              <w:rPr>
                <w:rFonts w:ascii="Arial" w:cs="Arial" w:eastAsia="Arial" w:hAnsi="Arial"/>
                <w:sz w:val="17"/>
                <w:szCs w:val="17"/>
                <w:color w:val="auto"/>
              </w:rPr>
              <w:t>6/2/2016</w:t>
            </w:r>
          </w:p>
        </w:tc>
        <w:tc>
          <w:tcPr>
            <w:tcW w:w="1160" w:type="dxa"/>
            <w:vAlign w:val="bottom"/>
            <w:gridSpan w:val="2"/>
          </w:tcPr>
          <w:p>
            <w:pPr>
              <w:jc w:val="right"/>
              <w:ind w:right="31"/>
              <w:spacing w:after="0"/>
              <w:rPr>
                <w:sz w:val="20"/>
                <w:szCs w:val="20"/>
                <w:color w:val="auto"/>
              </w:rPr>
            </w:pPr>
            <w:r>
              <w:rPr>
                <w:rFonts w:ascii="Arial" w:cs="Arial" w:eastAsia="Arial" w:hAnsi="Arial"/>
                <w:sz w:val="17"/>
                <w:szCs w:val="17"/>
                <w:color w:val="auto"/>
              </w:rPr>
              <w:t>78,000</w:t>
            </w:r>
          </w:p>
        </w:tc>
        <w:tc>
          <w:tcPr>
            <w:tcW w:w="120" w:type="dxa"/>
            <w:vAlign w:val="bottom"/>
          </w:tcPr>
          <w:p>
            <w:pPr>
              <w:spacing w:after="0"/>
              <w:rPr>
                <w:sz w:val="20"/>
                <w:szCs w:val="20"/>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156,000</w:t>
            </w:r>
          </w:p>
        </w:tc>
        <w:tc>
          <w:tcPr>
            <w:tcW w:w="120" w:type="dxa"/>
            <w:vAlign w:val="bottom"/>
          </w:tcPr>
          <w:p>
            <w:pPr>
              <w:spacing w:after="0"/>
              <w:rPr>
                <w:sz w:val="20"/>
                <w:szCs w:val="20"/>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312,000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6/2/2016</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2,534</w:t>
            </w:r>
          </w:p>
        </w:tc>
        <w:tc>
          <w:tcPr>
            <w:tcW w:w="10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5,067</w:t>
            </w:r>
          </w:p>
        </w:tc>
        <w:tc>
          <w:tcPr>
            <w:tcW w:w="10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7,601</w:t>
            </w:r>
          </w:p>
        </w:tc>
        <w:tc>
          <w:tcPr>
            <w:tcW w:w="1680" w:type="dxa"/>
            <w:vAlign w:val="bottom"/>
            <w:gridSpan w:val="2"/>
          </w:tcPr>
          <w:p>
            <w:pPr>
              <w:jc w:val="right"/>
              <w:ind w:right="32"/>
              <w:spacing w:after="0"/>
              <w:rPr>
                <w:sz w:val="20"/>
                <w:szCs w:val="20"/>
                <w:color w:val="auto"/>
              </w:rPr>
            </w:pPr>
            <w:r>
              <w:rPr>
                <w:rFonts w:ascii="Arial" w:cs="Arial" w:eastAsia="Arial" w:hAnsi="Arial"/>
                <w:sz w:val="17"/>
                <w:szCs w:val="17"/>
                <w:color w:val="auto"/>
              </w:rPr>
              <w:t>218,388</w:t>
            </w: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Richard G. Erstad</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6/2/2016</w:t>
            </w:r>
          </w:p>
        </w:tc>
        <w:tc>
          <w:tcPr>
            <w:tcW w:w="11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54,800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109,600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219,200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6/2/2016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2,066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4,132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6,198</w:t>
            </w:r>
          </w:p>
        </w:tc>
        <w:tc>
          <w:tcPr>
            <w:tcW w:w="168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178,089</w:t>
            </w:r>
          </w:p>
        </w:tc>
        <w:tc>
          <w:tcPr>
            <w:tcW w:w="0" w:type="dxa"/>
            <w:vAlign w:val="bottom"/>
          </w:tcPr>
          <w:p>
            <w:pPr>
              <w:spacing w:after="0"/>
              <w:rPr>
                <w:sz w:val="1"/>
                <w:szCs w:val="1"/>
                <w:color w:val="auto"/>
              </w:rPr>
            </w:pPr>
          </w:p>
        </w:tc>
      </w:tr>
      <w:tr>
        <w:trPr>
          <w:trHeight w:val="234"/>
        </w:trPr>
        <w:tc>
          <w:tcPr>
            <w:tcW w:w="1720" w:type="dxa"/>
            <w:vAlign w:val="bottom"/>
            <w:gridSpan w:val="2"/>
          </w:tcPr>
          <w:p>
            <w:pPr>
              <w:ind w:left="40"/>
              <w:spacing w:after="0"/>
              <w:rPr>
                <w:sz w:val="20"/>
                <w:szCs w:val="20"/>
                <w:color w:val="auto"/>
              </w:rPr>
            </w:pPr>
            <w:r>
              <w:rPr>
                <w:rFonts w:ascii="Arial" w:cs="Arial" w:eastAsia="Arial" w:hAnsi="Arial"/>
                <w:sz w:val="17"/>
                <w:szCs w:val="17"/>
                <w:color w:val="auto"/>
              </w:rPr>
              <w:t>John R. Sevenich</w:t>
            </w:r>
          </w:p>
        </w:tc>
        <w:tc>
          <w:tcPr>
            <w:tcW w:w="1140" w:type="dxa"/>
            <w:vAlign w:val="bottom"/>
          </w:tcPr>
          <w:p>
            <w:pPr>
              <w:jc w:val="right"/>
              <w:spacing w:after="0"/>
              <w:rPr>
                <w:sz w:val="20"/>
                <w:szCs w:val="20"/>
                <w:color w:val="auto"/>
              </w:rPr>
            </w:pPr>
            <w:r>
              <w:rPr>
                <w:rFonts w:ascii="Arial" w:cs="Arial" w:eastAsia="Arial" w:hAnsi="Arial"/>
                <w:sz w:val="17"/>
                <w:szCs w:val="17"/>
                <w:color w:val="auto"/>
              </w:rPr>
              <w:t>6/2/2016</w:t>
            </w:r>
          </w:p>
        </w:tc>
        <w:tc>
          <w:tcPr>
            <w:tcW w:w="1160" w:type="dxa"/>
            <w:vAlign w:val="bottom"/>
            <w:gridSpan w:val="2"/>
          </w:tcPr>
          <w:p>
            <w:pPr>
              <w:jc w:val="right"/>
              <w:ind w:right="31"/>
              <w:spacing w:after="0"/>
              <w:rPr>
                <w:sz w:val="20"/>
                <w:szCs w:val="20"/>
                <w:color w:val="auto"/>
              </w:rPr>
            </w:pPr>
            <w:r>
              <w:rPr>
                <w:rFonts w:ascii="Arial" w:cs="Arial" w:eastAsia="Arial" w:hAnsi="Arial"/>
                <w:sz w:val="17"/>
                <w:szCs w:val="17"/>
                <w:color w:val="auto"/>
              </w:rPr>
              <w:t>52,200</w:t>
            </w:r>
          </w:p>
        </w:tc>
        <w:tc>
          <w:tcPr>
            <w:tcW w:w="120" w:type="dxa"/>
            <w:vAlign w:val="bottom"/>
          </w:tcPr>
          <w:p>
            <w:pPr>
              <w:spacing w:after="0"/>
              <w:rPr>
                <w:sz w:val="20"/>
                <w:szCs w:val="20"/>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104,400</w:t>
            </w:r>
          </w:p>
        </w:tc>
        <w:tc>
          <w:tcPr>
            <w:tcW w:w="120" w:type="dxa"/>
            <w:vAlign w:val="bottom"/>
          </w:tcPr>
          <w:p>
            <w:pPr>
              <w:spacing w:after="0"/>
              <w:rPr>
                <w:sz w:val="20"/>
                <w:szCs w:val="20"/>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208,800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6/2/2016</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1,817</w:t>
            </w:r>
          </w:p>
        </w:tc>
        <w:tc>
          <w:tcPr>
            <w:tcW w:w="10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3,633</w:t>
            </w:r>
          </w:p>
        </w:tc>
        <w:tc>
          <w:tcPr>
            <w:tcW w:w="10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5,450</w:t>
            </w:r>
          </w:p>
        </w:tc>
        <w:tc>
          <w:tcPr>
            <w:tcW w:w="1680" w:type="dxa"/>
            <w:vAlign w:val="bottom"/>
            <w:gridSpan w:val="2"/>
          </w:tcPr>
          <w:p>
            <w:pPr>
              <w:jc w:val="right"/>
              <w:ind w:right="32"/>
              <w:spacing w:after="0"/>
              <w:rPr>
                <w:sz w:val="20"/>
                <w:szCs w:val="20"/>
                <w:color w:val="auto"/>
              </w:rPr>
            </w:pPr>
            <w:r>
              <w:rPr>
                <w:rFonts w:ascii="Arial" w:cs="Arial" w:eastAsia="Arial" w:hAnsi="Arial"/>
                <w:sz w:val="17"/>
                <w:szCs w:val="17"/>
                <w:color w:val="auto"/>
              </w:rPr>
              <w:t>156,582</w:t>
            </w: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Thomas J. Keller</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6/2/2016</w:t>
            </w:r>
          </w:p>
        </w:tc>
        <w:tc>
          <w:tcPr>
            <w:tcW w:w="11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52,000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104,000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208,000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6/2/2016</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1,810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3,619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5,429</w:t>
            </w:r>
          </w:p>
        </w:tc>
        <w:tc>
          <w:tcPr>
            <w:tcW w:w="1680" w:type="dxa"/>
            <w:vAlign w:val="bottom"/>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155,979</w:t>
            </w:r>
          </w:p>
        </w:tc>
        <w:tc>
          <w:tcPr>
            <w:tcW w:w="0" w:type="dxa"/>
            <w:vAlign w:val="bottom"/>
          </w:tcPr>
          <w:p>
            <w:pPr>
              <w:spacing w:after="0"/>
              <w:rPr>
                <w:sz w:val="1"/>
                <w:szCs w:val="1"/>
                <w:color w:val="auto"/>
              </w:rPr>
            </w:pPr>
          </w:p>
        </w:tc>
      </w:tr>
      <w:tr>
        <w:trPr>
          <w:trHeight w:val="26"/>
        </w:trPr>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400" w:right="160" w:hanging="396"/>
        <w:spacing w:after="0" w:line="271" w:lineRule="auto"/>
        <w:tabs>
          <w:tab w:leader="none" w:pos="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Awards represent potential payments under our annual non-equity incentive arrangement for fiscal 2017. Potential payments are based on specified levels of performance against corporate, business unit and individual objectives, as described under “Annual Non-Equity Incentive Compensation” in the Compensation Discussion and Analysis.</w:t>
      </w:r>
    </w:p>
    <w:p>
      <w:pPr>
        <w:spacing w:after="0" w:line="40" w:lineRule="exact"/>
        <w:rPr>
          <w:rFonts w:ascii="Arial" w:cs="Arial" w:eastAsia="Arial" w:hAnsi="Arial"/>
          <w:sz w:val="17"/>
          <w:szCs w:val="17"/>
          <w:color w:val="auto"/>
        </w:rPr>
      </w:pPr>
    </w:p>
    <w:p>
      <w:pPr>
        <w:ind w:left="400" w:right="100"/>
        <w:spacing w:after="0" w:line="283" w:lineRule="auto"/>
        <w:rPr>
          <w:rFonts w:ascii="Arial" w:cs="Arial" w:eastAsia="Arial" w:hAnsi="Arial"/>
          <w:sz w:val="17"/>
          <w:szCs w:val="17"/>
          <w:color w:val="auto"/>
        </w:rPr>
      </w:pPr>
      <w:r>
        <w:rPr>
          <w:rFonts w:ascii="Arial" w:cs="Arial" w:eastAsia="Arial" w:hAnsi="Arial"/>
          <w:sz w:val="16"/>
          <w:szCs w:val="16"/>
          <w:color w:val="auto"/>
        </w:rPr>
        <w:t>The actual amounts earned for fiscal 2017 are the sole components of “Non-Equity Incentive Plan Compensation” in the Summary Compensation Table above. Except in the case of death or retirement, executives must be employed on the date the payments are made (typically in June of each year with respect to the most recently completed fiscal year) to be eligible for a payment. The threshold, target and maximum payments are based on the plan’s requirements, which were 37.5%, 75% and 150% of base salary, respectively, for our CEO, 25%, 50% and 100% of base salary, respectively, for our CFO and 20%, 40% and 80% of base salary, respectively, for the other named executive officers.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781" w:right="259" w:bottom="1440" w:gutter="0" w:footer="0" w:header="0"/>
        </w:sectPr>
      </w:pPr>
    </w:p>
    <w:bookmarkStart w:id="17" w:name="page18"/>
    <w:bookmarkEnd w:id="17"/>
    <w:p>
      <w:pPr>
        <w:ind w:left="400" w:hanging="396"/>
        <w:spacing w:after="0" w:line="260" w:lineRule="auto"/>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Awards represent potential issuances of shares of restricted stock in settlement of performance-based restricted stock unit awards granted for fiscal 2017. The number of restricted shares to be issued was based on the degree to which we achieved specified levels of income before taxes during fiscal 2017. See “Equity Awards” in the Compensation Discussion and Analysis for the performance goals applicable to the performance-based restricted stock units granted for performance in fiscal 2017. Additional terms of the outstanding performance-based restricted stock units are described in Note (a) to the Outstanding Equity Awards table. The number of restricted shares actually granted to each individual for fiscal 2017 performance was approximately 97% of target, and is as follows: Mr. Hawkins, 9,378 shares; Ms. Pepski, 4,934 shares; Mr. Erstad, 4,024 shares; Mr. Sevenich, 3,538 shares; and Mr. Keller, 3,524 shares. Ms. Pepski’s shares were forfeited upon her retirement in June of 2017.</w:t>
      </w:r>
    </w:p>
    <w:p>
      <w:pPr>
        <w:spacing w:after="0" w:line="54" w:lineRule="exact"/>
        <w:rPr>
          <w:rFonts w:ascii="Arial" w:cs="Arial" w:eastAsia="Arial" w:hAnsi="Arial"/>
          <w:sz w:val="17"/>
          <w:szCs w:val="17"/>
          <w:color w:val="auto"/>
        </w:rPr>
      </w:pPr>
    </w:p>
    <w:p>
      <w:pPr>
        <w:ind w:left="400" w:right="240" w:hanging="396"/>
        <w:spacing w:after="0" w:line="266" w:lineRule="auto"/>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2017 Fiscal Year-End</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certain information concerning outstanding equity awards held by our named executive officers as of April 2,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3"/>
          </w:tcPr>
          <w:p>
            <w:pPr>
              <w:ind w:left="1780"/>
              <w:spacing w:after="0"/>
              <w:rPr>
                <w:sz w:val="20"/>
                <w:szCs w:val="20"/>
                <w:color w:val="auto"/>
              </w:rPr>
            </w:pPr>
            <w:r>
              <w:rPr>
                <w:rFonts w:ascii="Arial" w:cs="Arial" w:eastAsia="Arial" w:hAnsi="Arial"/>
                <w:sz w:val="14"/>
                <w:szCs w:val="14"/>
                <w:b w:val="1"/>
                <w:bCs w:val="1"/>
                <w:color w:val="auto"/>
                <w:w w:val="90"/>
              </w:rPr>
              <w:t>Stock Awards</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520"/>
              <w:spacing w:after="0" w:line="146" w:lineRule="exact"/>
              <w:rPr>
                <w:sz w:val="20"/>
                <w:szCs w:val="20"/>
                <w:color w:val="auto"/>
              </w:rPr>
            </w:pPr>
            <w:r>
              <w:rPr>
                <w:rFonts w:ascii="Arial" w:cs="Arial" w:eastAsia="Arial" w:hAnsi="Arial"/>
                <w:sz w:val="14"/>
                <w:szCs w:val="14"/>
                <w:b w:val="1"/>
                <w:bCs w:val="1"/>
                <w:color w:val="auto"/>
                <w:w w:val="89"/>
              </w:rPr>
              <w:t>Number of Shares or</w:t>
            </w:r>
          </w:p>
        </w:tc>
        <w:tc>
          <w:tcPr>
            <w:tcW w:w="1700" w:type="dxa"/>
            <w:vAlign w:val="bottom"/>
          </w:tcPr>
          <w:p>
            <w:pPr>
              <w:jc w:val="center"/>
              <w:ind w:right="301"/>
              <w:spacing w:after="0" w:line="146" w:lineRule="exact"/>
              <w:rPr>
                <w:sz w:val="20"/>
                <w:szCs w:val="20"/>
                <w:color w:val="auto"/>
              </w:rPr>
            </w:pPr>
            <w:r>
              <w:rPr>
                <w:rFonts w:ascii="Arial" w:cs="Arial" w:eastAsia="Arial" w:hAnsi="Arial"/>
                <w:sz w:val="14"/>
                <w:szCs w:val="14"/>
                <w:b w:val="1"/>
                <w:bCs w:val="1"/>
                <w:color w:val="auto"/>
                <w:w w:val="92"/>
              </w:rPr>
              <w:t>Market Value of</w:t>
            </w:r>
          </w:p>
        </w:tc>
        <w:tc>
          <w:tcPr>
            <w:tcW w:w="0" w:type="dxa"/>
            <w:vAlign w:val="bottom"/>
          </w:tcPr>
          <w:p>
            <w:pPr>
              <w:spacing w:after="0"/>
              <w:rPr>
                <w:sz w:val="1"/>
                <w:szCs w:val="1"/>
                <w:color w:val="auto"/>
              </w:rPr>
            </w:pPr>
          </w:p>
        </w:tc>
      </w:tr>
      <w:tr>
        <w:trPr>
          <w:trHeight w:val="143"/>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500"/>
              <w:spacing w:after="0" w:line="143" w:lineRule="exact"/>
              <w:rPr>
                <w:sz w:val="20"/>
                <w:szCs w:val="20"/>
                <w:color w:val="auto"/>
              </w:rPr>
            </w:pPr>
            <w:r>
              <w:rPr>
                <w:rFonts w:ascii="Arial" w:cs="Arial" w:eastAsia="Arial" w:hAnsi="Arial"/>
                <w:sz w:val="14"/>
                <w:szCs w:val="14"/>
                <w:b w:val="1"/>
                <w:bCs w:val="1"/>
                <w:color w:val="auto"/>
                <w:w w:val="89"/>
              </w:rPr>
              <w:t>Units of Stock That</w:t>
            </w:r>
          </w:p>
        </w:tc>
        <w:tc>
          <w:tcPr>
            <w:tcW w:w="1700" w:type="dxa"/>
            <w:vAlign w:val="bottom"/>
          </w:tcPr>
          <w:p>
            <w:pPr>
              <w:jc w:val="center"/>
              <w:ind w:right="321"/>
              <w:spacing w:after="0" w:line="143" w:lineRule="exact"/>
              <w:rPr>
                <w:sz w:val="20"/>
                <w:szCs w:val="20"/>
                <w:color w:val="auto"/>
              </w:rPr>
            </w:pPr>
            <w:r>
              <w:rPr>
                <w:rFonts w:ascii="Arial" w:cs="Arial" w:eastAsia="Arial" w:hAnsi="Arial"/>
                <w:sz w:val="14"/>
                <w:szCs w:val="14"/>
                <w:b w:val="1"/>
                <w:bCs w:val="1"/>
                <w:color w:val="auto"/>
                <w:w w:val="87"/>
              </w:rPr>
              <w:t>Shares or Units of</w:t>
            </w:r>
          </w:p>
        </w:tc>
        <w:tc>
          <w:tcPr>
            <w:tcW w:w="0" w:type="dxa"/>
            <w:vAlign w:val="bottom"/>
          </w:tcPr>
          <w:p>
            <w:pPr>
              <w:spacing w:after="0"/>
              <w:rPr>
                <w:sz w:val="1"/>
                <w:szCs w:val="1"/>
                <w:color w:val="auto"/>
              </w:rPr>
            </w:pPr>
          </w:p>
        </w:tc>
      </w:tr>
      <w:tr>
        <w:trPr>
          <w:trHeight w:val="143"/>
        </w:trPr>
        <w:tc>
          <w:tcPr>
            <w:tcW w:w="6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640" w:type="dxa"/>
            <w:vAlign w:val="bottom"/>
            <w:gridSpan w:val="3"/>
          </w:tcPr>
          <w:p>
            <w:pPr>
              <w:jc w:val="center"/>
              <w:ind w:right="500"/>
              <w:spacing w:after="0" w:line="143" w:lineRule="exact"/>
              <w:rPr>
                <w:sz w:val="20"/>
                <w:szCs w:val="20"/>
                <w:color w:val="auto"/>
              </w:rPr>
            </w:pPr>
            <w:r>
              <w:rPr>
                <w:rFonts w:ascii="Arial" w:cs="Arial" w:eastAsia="Arial" w:hAnsi="Arial"/>
                <w:sz w:val="14"/>
                <w:szCs w:val="14"/>
                <w:b w:val="1"/>
                <w:bCs w:val="1"/>
                <w:color w:val="auto"/>
                <w:w w:val="88"/>
              </w:rPr>
              <w:t>Have Not Vested</w:t>
            </w:r>
          </w:p>
        </w:tc>
        <w:tc>
          <w:tcPr>
            <w:tcW w:w="1700" w:type="dxa"/>
            <w:vAlign w:val="bottom"/>
          </w:tcPr>
          <w:p>
            <w:pPr>
              <w:jc w:val="center"/>
              <w:ind w:right="301"/>
              <w:spacing w:after="0" w:line="143" w:lineRule="exact"/>
              <w:rPr>
                <w:sz w:val="20"/>
                <w:szCs w:val="20"/>
                <w:color w:val="auto"/>
              </w:rPr>
            </w:pPr>
            <w:r>
              <w:rPr>
                <w:rFonts w:ascii="Arial" w:cs="Arial" w:eastAsia="Arial" w:hAnsi="Arial"/>
                <w:sz w:val="14"/>
                <w:szCs w:val="14"/>
                <w:b w:val="1"/>
                <w:bCs w:val="1"/>
                <w:color w:val="auto"/>
                <w:w w:val="90"/>
              </w:rPr>
              <w:t>Stock that Have Not</w:t>
            </w:r>
          </w:p>
        </w:tc>
        <w:tc>
          <w:tcPr>
            <w:tcW w:w="0" w:type="dxa"/>
            <w:vAlign w:val="bottom"/>
          </w:tcPr>
          <w:p>
            <w:pPr>
              <w:spacing w:after="0"/>
              <w:rPr>
                <w:sz w:val="1"/>
                <w:szCs w:val="1"/>
                <w:color w:val="auto"/>
              </w:rPr>
            </w:pPr>
          </w:p>
        </w:tc>
      </w:tr>
      <w:tr>
        <w:trPr>
          <w:trHeight w:val="186"/>
        </w:trPr>
        <w:tc>
          <w:tcPr>
            <w:tcW w:w="6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w w:val="89"/>
              </w:rPr>
              <w:t>Vested ($)(b)</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Patrick H. Hawkins</w:t>
            </w:r>
          </w:p>
        </w:tc>
        <w:tc>
          <w:tcPr>
            <w:tcW w:w="2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17,737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869,113</w:t>
            </w:r>
          </w:p>
        </w:tc>
        <w:tc>
          <w:tcPr>
            <w:tcW w:w="0" w:type="dxa"/>
            <w:vAlign w:val="bottom"/>
          </w:tcPr>
          <w:p>
            <w:pPr>
              <w:spacing w:after="0"/>
              <w:rPr>
                <w:sz w:val="1"/>
                <w:szCs w:val="1"/>
                <w:color w:val="auto"/>
              </w:rPr>
            </w:pPr>
          </w:p>
        </w:tc>
      </w:tr>
      <w:tr>
        <w:trPr>
          <w:trHeight w:val="234"/>
        </w:trPr>
        <w:tc>
          <w:tcPr>
            <w:tcW w:w="6840" w:type="dxa"/>
            <w:vAlign w:val="bottom"/>
            <w:gridSpan w:val="2"/>
          </w:tcPr>
          <w:p>
            <w:pPr>
              <w:ind w:left="40"/>
              <w:spacing w:after="0"/>
              <w:rPr>
                <w:sz w:val="20"/>
                <w:szCs w:val="20"/>
                <w:color w:val="auto"/>
              </w:rPr>
            </w:pPr>
            <w:r>
              <w:rPr>
                <w:rFonts w:ascii="Arial" w:cs="Arial" w:eastAsia="Arial" w:hAnsi="Arial"/>
                <w:sz w:val="17"/>
                <w:szCs w:val="17"/>
                <w:color w:val="auto"/>
              </w:rPr>
              <w:t>Kathleen P. Pepski</w:t>
            </w:r>
          </w:p>
        </w:tc>
        <w:tc>
          <w:tcPr>
            <w:tcW w:w="2140" w:type="dxa"/>
            <w:vAlign w:val="bottom"/>
          </w:tcPr>
          <w:p>
            <w:pPr>
              <w:jc w:val="right"/>
              <w:ind w:right="42"/>
              <w:spacing w:after="0"/>
              <w:rPr>
                <w:sz w:val="20"/>
                <w:szCs w:val="20"/>
                <w:color w:val="auto"/>
              </w:rPr>
            </w:pPr>
            <w:r>
              <w:rPr>
                <w:rFonts w:ascii="Arial" w:cs="Arial" w:eastAsia="Arial" w:hAnsi="Arial"/>
                <w:sz w:val="17"/>
                <w:szCs w:val="17"/>
                <w:color w:val="auto"/>
              </w:rPr>
              <w:t>9,220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jc w:val="right"/>
              <w:ind w:right="21"/>
              <w:spacing w:after="0"/>
              <w:rPr>
                <w:sz w:val="20"/>
                <w:szCs w:val="20"/>
                <w:color w:val="auto"/>
              </w:rPr>
            </w:pPr>
            <w:r>
              <w:rPr>
                <w:rFonts w:ascii="Arial" w:cs="Arial" w:eastAsia="Arial" w:hAnsi="Arial"/>
                <w:sz w:val="17"/>
                <w:szCs w:val="17"/>
                <w:color w:val="auto"/>
              </w:rPr>
              <w:t>451,780</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Richard G. Erstad</w:t>
            </w:r>
          </w:p>
        </w:tc>
        <w:tc>
          <w:tcPr>
            <w:tcW w:w="2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7,825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383,425</w:t>
            </w:r>
          </w:p>
        </w:tc>
        <w:tc>
          <w:tcPr>
            <w:tcW w:w="0" w:type="dxa"/>
            <w:vAlign w:val="bottom"/>
          </w:tcPr>
          <w:p>
            <w:pPr>
              <w:spacing w:after="0"/>
              <w:rPr>
                <w:sz w:val="1"/>
                <w:szCs w:val="1"/>
                <w:color w:val="auto"/>
              </w:rPr>
            </w:pPr>
          </w:p>
        </w:tc>
      </w:tr>
      <w:tr>
        <w:trPr>
          <w:trHeight w:val="234"/>
        </w:trPr>
        <w:tc>
          <w:tcPr>
            <w:tcW w:w="6840" w:type="dxa"/>
            <w:vAlign w:val="bottom"/>
            <w:gridSpan w:val="2"/>
          </w:tcPr>
          <w:p>
            <w:pPr>
              <w:ind w:left="40"/>
              <w:spacing w:after="0"/>
              <w:rPr>
                <w:sz w:val="20"/>
                <w:szCs w:val="20"/>
                <w:color w:val="auto"/>
              </w:rPr>
            </w:pPr>
            <w:r>
              <w:rPr>
                <w:rFonts w:ascii="Arial" w:cs="Arial" w:eastAsia="Arial" w:hAnsi="Arial"/>
                <w:sz w:val="17"/>
                <w:szCs w:val="17"/>
                <w:color w:val="auto"/>
              </w:rPr>
              <w:t>John R. Sevenich</w:t>
            </w:r>
          </w:p>
        </w:tc>
        <w:tc>
          <w:tcPr>
            <w:tcW w:w="2140" w:type="dxa"/>
            <w:vAlign w:val="bottom"/>
          </w:tcPr>
          <w:p>
            <w:pPr>
              <w:jc w:val="right"/>
              <w:ind w:right="42"/>
              <w:spacing w:after="0"/>
              <w:rPr>
                <w:sz w:val="20"/>
                <w:szCs w:val="20"/>
                <w:color w:val="auto"/>
              </w:rPr>
            </w:pPr>
            <w:r>
              <w:rPr>
                <w:rFonts w:ascii="Arial" w:cs="Arial" w:eastAsia="Arial" w:hAnsi="Arial"/>
                <w:sz w:val="17"/>
                <w:szCs w:val="17"/>
                <w:color w:val="auto"/>
              </w:rPr>
              <w:t>7,210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jc w:val="right"/>
              <w:ind w:right="21"/>
              <w:spacing w:after="0"/>
              <w:rPr>
                <w:sz w:val="20"/>
                <w:szCs w:val="20"/>
                <w:color w:val="auto"/>
              </w:rPr>
            </w:pPr>
            <w:r>
              <w:rPr>
                <w:rFonts w:ascii="Arial" w:cs="Arial" w:eastAsia="Arial" w:hAnsi="Arial"/>
                <w:sz w:val="17"/>
                <w:szCs w:val="17"/>
                <w:color w:val="auto"/>
              </w:rPr>
              <w:t>353,290</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Thomas J. Keller</w:t>
            </w:r>
          </w:p>
        </w:tc>
        <w:tc>
          <w:tcPr>
            <w:tcW w:w="21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7,096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347,704</w:t>
            </w:r>
          </w:p>
        </w:tc>
        <w:tc>
          <w:tcPr>
            <w:tcW w:w="0" w:type="dxa"/>
            <w:vAlign w:val="bottom"/>
          </w:tcPr>
          <w:p>
            <w:pPr>
              <w:spacing w:after="0"/>
              <w:rPr>
                <w:sz w:val="1"/>
                <w:szCs w:val="1"/>
                <w:color w:val="auto"/>
              </w:rPr>
            </w:pPr>
          </w:p>
        </w:tc>
      </w:tr>
      <w:tr>
        <w:trPr>
          <w:trHeight w:val="26"/>
        </w:trPr>
        <w:tc>
          <w:tcPr>
            <w:tcW w:w="6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0" w:right="140" w:hanging="396"/>
        <w:spacing w:after="0" w:line="306" w:lineRule="auto"/>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Consists of shares of restricted stock actually issued in settlement of the performance-based restricted stock unit awards granted for fiscal years 2016 and 2017. The restricted shares vest 100% two years after the last day of the fiscal year for which the restricted stock units were awarded. The shares granted for fiscal 2016 will vest on April 3, 2018 and the shares granted for fiscal 2017 will vest on April 2, 2019. All of Ms. Pepski’s shares were forfeited upon her retirement in June of 2017. The number of restricted shares vesting on each of those dates for each of the named executive officers is as follows:</w:t>
      </w:r>
    </w:p>
    <w:p>
      <w:pPr>
        <w:spacing w:after="0" w:line="153"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Number of Shares Vesting on:</w:t>
            </w:r>
          </w:p>
        </w:tc>
      </w:tr>
      <w:tr>
        <w:trPr>
          <w:trHeight w:val="25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April 3, 2018</w:t>
            </w: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April 2, 2019</w:t>
            </w:r>
          </w:p>
        </w:tc>
      </w:tr>
      <w:tr>
        <w:trPr>
          <w:trHeight w:val="239"/>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Mr. Hawkins</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8,359</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9,378</w:t>
            </w:r>
          </w:p>
        </w:tc>
      </w:tr>
      <w:tr>
        <w:trPr>
          <w:trHeight w:val="234"/>
        </w:trPr>
        <w:tc>
          <w:tcPr>
            <w:tcW w:w="6940" w:type="dxa"/>
            <w:vAlign w:val="bottom"/>
            <w:gridSpan w:val="2"/>
          </w:tcPr>
          <w:p>
            <w:pPr>
              <w:ind w:left="20"/>
              <w:spacing w:after="0"/>
              <w:rPr>
                <w:sz w:val="20"/>
                <w:szCs w:val="20"/>
                <w:color w:val="auto"/>
              </w:rPr>
            </w:pPr>
            <w:r>
              <w:rPr>
                <w:rFonts w:ascii="Arial" w:cs="Arial" w:eastAsia="Arial" w:hAnsi="Arial"/>
                <w:sz w:val="17"/>
                <w:szCs w:val="17"/>
                <w:color w:val="auto"/>
              </w:rPr>
              <w:t>Ms. Pepski</w:t>
            </w:r>
          </w:p>
        </w:tc>
        <w:tc>
          <w:tcPr>
            <w:tcW w:w="1540" w:type="dxa"/>
            <w:vAlign w:val="bottom"/>
          </w:tcPr>
          <w:p>
            <w:pPr>
              <w:jc w:val="right"/>
              <w:ind w:right="18"/>
              <w:spacing w:after="0"/>
              <w:rPr>
                <w:sz w:val="20"/>
                <w:szCs w:val="20"/>
                <w:color w:val="auto"/>
              </w:rPr>
            </w:pPr>
            <w:r>
              <w:rPr>
                <w:rFonts w:ascii="Arial" w:cs="Arial" w:eastAsia="Arial" w:hAnsi="Arial"/>
                <w:sz w:val="17"/>
                <w:szCs w:val="17"/>
                <w:color w:val="auto"/>
              </w:rPr>
              <w:t>4,286</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4,934</w:t>
            </w: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0"/>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Mr. Erstad</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3,801</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4,024</w:t>
            </w:r>
          </w:p>
        </w:tc>
      </w:tr>
      <w:tr>
        <w:trPr>
          <w:trHeight w:val="234"/>
        </w:trPr>
        <w:tc>
          <w:tcPr>
            <w:tcW w:w="6940" w:type="dxa"/>
            <w:vAlign w:val="bottom"/>
            <w:gridSpan w:val="2"/>
          </w:tcPr>
          <w:p>
            <w:pPr>
              <w:ind w:left="20"/>
              <w:spacing w:after="0"/>
              <w:rPr>
                <w:sz w:val="20"/>
                <w:szCs w:val="20"/>
                <w:color w:val="auto"/>
              </w:rPr>
            </w:pPr>
            <w:r>
              <w:rPr>
                <w:rFonts w:ascii="Arial" w:cs="Arial" w:eastAsia="Arial" w:hAnsi="Arial"/>
                <w:sz w:val="17"/>
                <w:szCs w:val="17"/>
                <w:color w:val="auto"/>
              </w:rPr>
              <w:t>Mr. Sevenich</w:t>
            </w:r>
          </w:p>
        </w:tc>
        <w:tc>
          <w:tcPr>
            <w:tcW w:w="1540" w:type="dxa"/>
            <w:vAlign w:val="bottom"/>
          </w:tcPr>
          <w:p>
            <w:pPr>
              <w:jc w:val="right"/>
              <w:ind w:right="18"/>
              <w:spacing w:after="0"/>
              <w:rPr>
                <w:sz w:val="20"/>
                <w:szCs w:val="20"/>
                <w:color w:val="auto"/>
              </w:rPr>
            </w:pPr>
            <w:r>
              <w:rPr>
                <w:rFonts w:ascii="Arial" w:cs="Arial" w:eastAsia="Arial" w:hAnsi="Arial"/>
                <w:sz w:val="17"/>
                <w:szCs w:val="17"/>
                <w:color w:val="auto"/>
              </w:rPr>
              <w:t>3,672</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3,538</w:t>
            </w: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4"/>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Mr. Keller</w:t>
            </w:r>
          </w:p>
        </w:tc>
        <w:tc>
          <w:tcPr>
            <w:tcW w:w="15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3,572</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3,524</w:t>
            </w:r>
          </w:p>
        </w:tc>
      </w:tr>
      <w:tr>
        <w:trPr>
          <w:trHeight w:val="26"/>
        </w:trPr>
        <w:tc>
          <w:tcPr>
            <w:tcW w:w="6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jc w:val="both"/>
        <w:ind w:left="400" w:right="240"/>
        <w:spacing w:after="0" w:line="271" w:lineRule="auto"/>
        <w:rPr>
          <w:sz w:val="20"/>
          <w:szCs w:val="20"/>
          <w:color w:val="auto"/>
        </w:rPr>
      </w:pPr>
      <w:r>
        <w:rPr>
          <w:rFonts w:ascii="Arial" w:cs="Arial" w:eastAsia="Arial" w:hAnsi="Arial"/>
          <w:sz w:val="17"/>
          <w:szCs w:val="17"/>
          <w:color w:val="auto"/>
        </w:rPr>
        <w:t>The restricted shares will be forfeited in their entirety if the executive officer departs the company before the end of the vesting period. Ms. Pepski’s shares were forfeited upon her retirement in June of 2017. The vesting of the units and restricted shares may be accelerated upon the occurrence of certain events described below under “Potential Payments Upon Termination or Change in Control”.</w:t>
      </w:r>
    </w:p>
    <w:p>
      <w:pPr>
        <w:spacing w:after="0" w:line="15" w:lineRule="exact"/>
        <w:rPr>
          <w:sz w:val="20"/>
          <w:szCs w:val="20"/>
          <w:color w:val="auto"/>
        </w:rPr>
      </w:pPr>
    </w:p>
    <w:p>
      <w:pPr>
        <w:ind w:left="400" w:hanging="396"/>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closing market price of our common stock as of the most recently completed fiscal year-end of $49.00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648"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Stock Vested</w:t>
      </w:r>
    </w:p>
    <w:p>
      <w:pPr>
        <w:spacing w:after="0" w:line="97" w:lineRule="exact"/>
        <w:rPr>
          <w:sz w:val="20"/>
          <w:szCs w:val="20"/>
          <w:color w:val="auto"/>
        </w:rPr>
      </w:pPr>
    </w:p>
    <w:p>
      <w:pPr>
        <w:ind w:right="160" w:firstLine="417"/>
        <w:spacing w:after="0" w:line="286" w:lineRule="auto"/>
        <w:rPr>
          <w:sz w:val="20"/>
          <w:szCs w:val="20"/>
          <w:color w:val="auto"/>
        </w:rPr>
      </w:pPr>
      <w:r>
        <w:rPr>
          <w:rFonts w:ascii="Arial" w:cs="Arial" w:eastAsia="Arial" w:hAnsi="Arial"/>
          <w:sz w:val="17"/>
          <w:szCs w:val="17"/>
          <w:color w:val="auto"/>
        </w:rPr>
        <w:t>The following table provides information concerning the aggregate number of shares of restricted stock that vested for each of our named executive officers during fiscal 2017, and the aggregate dollar values realized by each of our named executive officers upon such vesting.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6"/>
        </w:trPr>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91"/>
              </w:rPr>
              <w:t>Number of</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5"/>
              </w:rPr>
              <w:t>Shares</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Value Realized</w:t>
            </w:r>
          </w:p>
        </w:tc>
        <w:tc>
          <w:tcPr>
            <w:tcW w:w="0" w:type="dxa"/>
            <w:vAlign w:val="bottom"/>
          </w:tcPr>
          <w:p>
            <w:pPr>
              <w:spacing w:after="0"/>
              <w:rPr>
                <w:sz w:val="1"/>
                <w:szCs w:val="1"/>
                <w:color w:val="auto"/>
              </w:rPr>
            </w:pPr>
          </w:p>
        </w:tc>
      </w:tr>
      <w:tr>
        <w:trPr>
          <w:trHeight w:val="143"/>
        </w:trPr>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8"/>
              </w:rPr>
              <w:t>Acquired</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6"/>
              </w:rPr>
              <w:t>on Vesting</w:t>
            </w:r>
          </w:p>
        </w:tc>
        <w:tc>
          <w:tcPr>
            <w:tcW w:w="15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on Vesting</w:t>
            </w:r>
          </w:p>
        </w:tc>
        <w:tc>
          <w:tcPr>
            <w:tcW w:w="0" w:type="dxa"/>
            <w:vAlign w:val="bottom"/>
          </w:tcPr>
          <w:p>
            <w:pPr>
              <w:spacing w:after="0"/>
              <w:rPr>
                <w:sz w:val="1"/>
                <w:szCs w:val="1"/>
                <w:color w:val="auto"/>
              </w:rPr>
            </w:pPr>
          </w:p>
        </w:tc>
      </w:tr>
      <w:tr>
        <w:trPr>
          <w:trHeight w:val="186"/>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(a)</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w:t>
            </w:r>
          </w:p>
        </w:tc>
        <w:tc>
          <w:tcPr>
            <w:tcW w:w="0" w:type="dxa"/>
            <w:vAlign w:val="bottom"/>
          </w:tcPr>
          <w:p>
            <w:pPr>
              <w:spacing w:after="0"/>
              <w:rPr>
                <w:sz w:val="1"/>
                <w:szCs w:val="1"/>
                <w:color w:val="auto"/>
              </w:rPr>
            </w:pPr>
          </w:p>
        </w:tc>
      </w:tr>
      <w:tr>
        <w:trPr>
          <w:trHeight w:val="239"/>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Patrick H. Hawkins</w:t>
            </w:r>
          </w:p>
        </w:tc>
        <w:tc>
          <w:tcPr>
            <w:tcW w:w="1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10,691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517,979</w:t>
            </w:r>
          </w:p>
        </w:tc>
        <w:tc>
          <w:tcPr>
            <w:tcW w:w="0" w:type="dxa"/>
            <w:vAlign w:val="bottom"/>
          </w:tcPr>
          <w:p>
            <w:pPr>
              <w:spacing w:after="0"/>
              <w:rPr>
                <w:sz w:val="1"/>
                <w:szCs w:val="1"/>
                <w:color w:val="auto"/>
              </w:rPr>
            </w:pPr>
          </w:p>
        </w:tc>
      </w:tr>
      <w:tr>
        <w:trPr>
          <w:trHeight w:val="234"/>
        </w:trPr>
        <w:tc>
          <w:tcPr>
            <w:tcW w:w="8020" w:type="dxa"/>
            <w:vAlign w:val="bottom"/>
            <w:gridSpan w:val="2"/>
          </w:tcPr>
          <w:p>
            <w:pPr>
              <w:ind w:left="40"/>
              <w:spacing w:after="0"/>
              <w:rPr>
                <w:sz w:val="20"/>
                <w:szCs w:val="20"/>
                <w:color w:val="auto"/>
              </w:rPr>
            </w:pPr>
            <w:r>
              <w:rPr>
                <w:rFonts w:ascii="Arial" w:cs="Arial" w:eastAsia="Arial" w:hAnsi="Arial"/>
                <w:sz w:val="17"/>
                <w:szCs w:val="17"/>
                <w:color w:val="auto"/>
              </w:rPr>
              <w:t>Kathleen P. Pepski</w:t>
            </w:r>
          </w:p>
        </w:tc>
        <w:tc>
          <w:tcPr>
            <w:tcW w:w="1580" w:type="dxa"/>
            <w:vAlign w:val="bottom"/>
          </w:tcPr>
          <w:p>
            <w:pPr>
              <w:jc w:val="right"/>
              <w:ind w:right="43"/>
              <w:spacing w:after="0"/>
              <w:rPr>
                <w:sz w:val="20"/>
                <w:szCs w:val="20"/>
                <w:color w:val="auto"/>
              </w:rPr>
            </w:pPr>
            <w:r>
              <w:rPr>
                <w:rFonts w:ascii="Arial" w:cs="Arial" w:eastAsia="Arial" w:hAnsi="Arial"/>
                <w:sz w:val="17"/>
                <w:szCs w:val="17"/>
                <w:color w:val="auto"/>
              </w:rPr>
              <w:t>5,499</w:t>
            </w:r>
          </w:p>
        </w:tc>
        <w:tc>
          <w:tcPr>
            <w:tcW w:w="10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7"/>
                <w:szCs w:val="17"/>
                <w:color w:val="auto"/>
              </w:rPr>
              <w:t>266,427</w:t>
            </w: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Richard G. Erstad</w:t>
            </w:r>
          </w:p>
        </w:tc>
        <w:tc>
          <w:tcPr>
            <w:tcW w:w="1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4,924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238,568</w:t>
            </w:r>
          </w:p>
        </w:tc>
        <w:tc>
          <w:tcPr>
            <w:tcW w:w="0" w:type="dxa"/>
            <w:vAlign w:val="bottom"/>
          </w:tcPr>
          <w:p>
            <w:pPr>
              <w:spacing w:after="0"/>
              <w:rPr>
                <w:sz w:val="1"/>
                <w:szCs w:val="1"/>
                <w:color w:val="auto"/>
              </w:rPr>
            </w:pPr>
          </w:p>
        </w:tc>
      </w:tr>
      <w:tr>
        <w:trPr>
          <w:trHeight w:val="234"/>
        </w:trPr>
        <w:tc>
          <w:tcPr>
            <w:tcW w:w="8020" w:type="dxa"/>
            <w:vAlign w:val="bottom"/>
            <w:gridSpan w:val="2"/>
          </w:tcPr>
          <w:p>
            <w:pPr>
              <w:ind w:left="40"/>
              <w:spacing w:after="0"/>
              <w:rPr>
                <w:sz w:val="20"/>
                <w:szCs w:val="20"/>
                <w:color w:val="auto"/>
              </w:rPr>
            </w:pPr>
            <w:r>
              <w:rPr>
                <w:rFonts w:ascii="Arial" w:cs="Arial" w:eastAsia="Arial" w:hAnsi="Arial"/>
                <w:sz w:val="17"/>
                <w:szCs w:val="17"/>
                <w:color w:val="auto"/>
              </w:rPr>
              <w:t>John R. Sevenich</w:t>
            </w:r>
          </w:p>
        </w:tc>
        <w:tc>
          <w:tcPr>
            <w:tcW w:w="1580" w:type="dxa"/>
            <w:vAlign w:val="bottom"/>
          </w:tcPr>
          <w:p>
            <w:pPr>
              <w:jc w:val="right"/>
              <w:ind w:right="43"/>
              <w:spacing w:after="0"/>
              <w:rPr>
                <w:sz w:val="20"/>
                <w:szCs w:val="20"/>
                <w:color w:val="auto"/>
              </w:rPr>
            </w:pPr>
            <w:r>
              <w:rPr>
                <w:rFonts w:ascii="Arial" w:cs="Arial" w:eastAsia="Arial" w:hAnsi="Arial"/>
                <w:sz w:val="17"/>
                <w:szCs w:val="17"/>
                <w:color w:val="auto"/>
              </w:rPr>
              <w:t>4,828</w:t>
            </w:r>
          </w:p>
        </w:tc>
        <w:tc>
          <w:tcPr>
            <w:tcW w:w="10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7"/>
                <w:szCs w:val="17"/>
                <w:color w:val="auto"/>
              </w:rPr>
              <w:t>233,917</w:t>
            </w: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Thomas J. Keller</w:t>
            </w: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4,598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222,773</w:t>
            </w:r>
          </w:p>
        </w:tc>
        <w:tc>
          <w:tcPr>
            <w:tcW w:w="0" w:type="dxa"/>
            <w:vAlign w:val="bottom"/>
          </w:tcPr>
          <w:p>
            <w:pPr>
              <w:spacing w:after="0"/>
              <w:rPr>
                <w:sz w:val="1"/>
                <w:szCs w:val="1"/>
                <w:color w:val="auto"/>
              </w:rPr>
            </w:pPr>
          </w:p>
        </w:tc>
      </w:tr>
      <w:tr>
        <w:trPr>
          <w:trHeight w:val="26"/>
        </w:trPr>
        <w:tc>
          <w:tcPr>
            <w:tcW w:w="7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0" w:right="380" w:hanging="396"/>
        <w:spacing w:after="0" w:line="271" w:lineRule="auto"/>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restricted shares vest 100% two years after the last day of the fiscal year during which the restricted stock units were awarded and vested. The shares vesting in fiscal 2017 were those shares issued for fiscal 2015.</w:t>
      </w:r>
    </w:p>
    <w:p>
      <w:pPr>
        <w:spacing w:after="0" w:line="14" w:lineRule="exact"/>
        <w:rPr>
          <w:rFonts w:ascii="Arial" w:cs="Arial" w:eastAsia="Arial" w:hAnsi="Arial"/>
          <w:sz w:val="17"/>
          <w:szCs w:val="17"/>
          <w:color w:val="auto"/>
        </w:rPr>
      </w:pPr>
    </w:p>
    <w:p>
      <w:pPr>
        <w:ind w:left="400" w:hanging="396"/>
        <w:spacing w:after="0" w:line="286" w:lineRule="auto"/>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Amounts in this column are based on the fair market value of a share of our common stock on the date of vesting of $48.45 per share for the fiscal 2015 shares that vested on March 29, 2017.</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provides information concerning nonqualified deferred compensation for each of our named executive officers earned during fiscal 2017.</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Contributions to this plan were made after the end of fiscal 2017.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Registrant Contributions</w:t>
            </w:r>
          </w:p>
        </w:tc>
        <w:tc>
          <w:tcPr>
            <w:tcW w:w="14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w w:val="96"/>
              </w:rPr>
              <w:t>Aggregate Balance at</w:t>
            </w:r>
          </w:p>
        </w:tc>
        <w:tc>
          <w:tcPr>
            <w:tcW w:w="0" w:type="dxa"/>
            <w:vAlign w:val="bottom"/>
          </w:tcPr>
          <w:p>
            <w:pPr>
              <w:spacing w:after="0"/>
              <w:rPr>
                <w:sz w:val="1"/>
                <w:szCs w:val="1"/>
                <w:color w:val="auto"/>
              </w:rPr>
            </w:pPr>
          </w:p>
        </w:tc>
      </w:tr>
      <w:tr>
        <w:trPr>
          <w:trHeight w:val="186"/>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for Fiscal 2017 (a)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Fiscal 2017 Year End</w:t>
            </w:r>
          </w:p>
        </w:tc>
        <w:tc>
          <w:tcPr>
            <w:tcW w:w="0" w:type="dxa"/>
            <w:vAlign w:val="bottom"/>
          </w:tcPr>
          <w:p>
            <w:pPr>
              <w:spacing w:after="0"/>
              <w:rPr>
                <w:sz w:val="1"/>
                <w:szCs w:val="1"/>
                <w:color w:val="auto"/>
              </w:rPr>
            </w:pPr>
          </w:p>
        </w:tc>
      </w:tr>
      <w:tr>
        <w:trPr>
          <w:trHeight w:val="239"/>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Patrick H. Hawkins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8020" w:type="dxa"/>
            <w:vAlign w:val="bottom"/>
            <w:gridSpan w:val="2"/>
          </w:tcPr>
          <w:p>
            <w:pPr>
              <w:ind w:left="40"/>
              <w:spacing w:after="0"/>
              <w:rPr>
                <w:sz w:val="20"/>
                <w:szCs w:val="20"/>
                <w:color w:val="auto"/>
              </w:rPr>
            </w:pPr>
            <w:r>
              <w:rPr>
                <w:rFonts w:ascii="Arial" w:cs="Arial" w:eastAsia="Arial" w:hAnsi="Arial"/>
                <w:sz w:val="17"/>
                <w:szCs w:val="17"/>
                <w:color w:val="auto"/>
              </w:rPr>
              <w:t>Kathleen P. Pepski</w:t>
            </w:r>
          </w:p>
        </w:tc>
        <w:tc>
          <w:tcPr>
            <w:tcW w:w="1580" w:type="dxa"/>
            <w:vAlign w:val="bottom"/>
          </w:tcPr>
          <w:p>
            <w:pPr>
              <w:jc w:val="right"/>
              <w:spacing w:after="0"/>
              <w:rPr>
                <w:sz w:val="20"/>
                <w:szCs w:val="20"/>
                <w:color w:val="auto"/>
              </w:rPr>
            </w:pPr>
            <w:r>
              <w:rPr>
                <w:rFonts w:ascii="Arial" w:cs="Arial" w:eastAsia="Arial" w:hAnsi="Arial"/>
                <w:sz w:val="17"/>
                <w:szCs w:val="17"/>
                <w:color w:val="auto"/>
              </w:rPr>
              <w:t>$26,500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Richard G. Erstad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8020" w:type="dxa"/>
            <w:vAlign w:val="bottom"/>
            <w:gridSpan w:val="2"/>
          </w:tcPr>
          <w:p>
            <w:pPr>
              <w:ind w:left="40"/>
              <w:spacing w:after="0"/>
              <w:rPr>
                <w:sz w:val="20"/>
                <w:szCs w:val="20"/>
                <w:color w:val="auto"/>
              </w:rPr>
            </w:pPr>
            <w:r>
              <w:rPr>
                <w:rFonts w:ascii="Arial" w:cs="Arial" w:eastAsia="Arial" w:hAnsi="Arial"/>
                <w:sz w:val="17"/>
                <w:szCs w:val="17"/>
                <w:color w:val="auto"/>
              </w:rPr>
              <w:t>John R. Sevenich</w:t>
            </w:r>
          </w:p>
        </w:tc>
        <w:tc>
          <w:tcPr>
            <w:tcW w:w="1580" w:type="dxa"/>
            <w:vAlign w:val="bottom"/>
          </w:tcPr>
          <w:p>
            <w:pPr>
              <w:jc w:val="right"/>
              <w:spacing w:after="0"/>
              <w:rPr>
                <w:sz w:val="20"/>
                <w:szCs w:val="20"/>
                <w:color w:val="auto"/>
              </w:rPr>
            </w:pPr>
            <w:r>
              <w:rPr>
                <w:rFonts w:ascii="Arial" w:cs="Arial" w:eastAsia="Arial" w:hAnsi="Arial"/>
                <w:sz w:val="17"/>
                <w:szCs w:val="17"/>
                <w:color w:val="auto"/>
              </w:rPr>
              <w:t>$26,500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Thomas J. Keller</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0" w:hanging="396"/>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included as nonqualified deferred compensation are included in “all other compensation” in the Summary Compensation Table above.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97" w:lineRule="exact"/>
        <w:rPr>
          <w:sz w:val="20"/>
          <w:szCs w:val="20"/>
          <w:color w:val="auto"/>
        </w:rPr>
      </w:pPr>
    </w:p>
    <w:p>
      <w:pPr>
        <w:ind w:right="20" w:firstLine="417"/>
        <w:spacing w:after="0" w:line="261" w:lineRule="auto"/>
        <w:rPr>
          <w:sz w:val="20"/>
          <w:szCs w:val="20"/>
          <w:color w:val="auto"/>
        </w:rPr>
      </w:pPr>
      <w:r>
        <w:rPr>
          <w:rFonts w:ascii="Arial" w:cs="Arial" w:eastAsia="Arial" w:hAnsi="Arial"/>
          <w:sz w:val="17"/>
          <w:szCs w:val="17"/>
          <w:color w:val="auto"/>
        </w:rPr>
        <w:t>Our Compensation Committee has adopted an Executive Severance Plan covering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“fundamental change” (as defined in the “Compensation Discussion and Analysis” above) involving the company, as described below.</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Potential Payments under Executive Severance Plan</w:t>
      </w:r>
    </w:p>
    <w:p>
      <w:pPr>
        <w:spacing w:after="0" w:line="91" w:lineRule="exact"/>
        <w:rPr>
          <w:sz w:val="20"/>
          <w:szCs w:val="20"/>
          <w:color w:val="auto"/>
        </w:rPr>
      </w:pPr>
    </w:p>
    <w:p>
      <w:pPr>
        <w:ind w:right="120" w:firstLine="417"/>
        <w:spacing w:after="0" w:line="261" w:lineRule="auto"/>
        <w:rPr>
          <w:sz w:val="20"/>
          <w:szCs w:val="20"/>
          <w:color w:val="auto"/>
        </w:rPr>
      </w:pPr>
      <w:r>
        <w:rPr>
          <w:rFonts w:ascii="Arial" w:cs="Arial" w:eastAsia="Arial" w:hAnsi="Arial"/>
          <w:sz w:val="17"/>
          <w:szCs w:val="17"/>
          <w:color w:val="auto"/>
        </w:rPr>
        <w:t>Under the terms of the Executive Severance Plan, the Compensation Committee is responsible for assigning each executive to one of four tiers, which determines the duration of salary continuation for which an executive may be eligible. Mr. Hawkins has been assigned to Tier 1 and Ms. Pepski, Mr. Sevenich and Mr. Keller have been assigned to Tier 3 and Mr. Erstad has been assigned to Tier 4. Tiers 1 and 2 provide for a salary continuation period of 18 months in the case of a termination without cause not due to change in control and 24 months in the case of a termination (without cause or for good reason) due to change in control. Tiers 3 and 4 provide for a salary continuation period of 12 months in the case of termination without cause not due to change in control and 18 months in the case of termination (without cause or for good reason) due to change in control.</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Under the Executive Severance Plan, “cause” means: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720" w:right="239" w:bottom="1440" w:gutter="0" w:footer="0" w:header="0"/>
        </w:sectPr>
      </w:pPr>
    </w:p>
    <w:bookmarkStart w:id="19" w:name="page20"/>
    <w:bookmarkEnd w:id="19"/>
    <w:p>
      <w:pPr>
        <w:ind w:left="780" w:hanging="307"/>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executive’s willful and material failure or refusal during his or her employment to carry out any reasonable directive of the Board of Directors;</w:t>
      </w:r>
    </w:p>
    <w:p>
      <w:pPr>
        <w:spacing w:after="0" w:line="36" w:lineRule="exact"/>
        <w:rPr>
          <w:rFonts w:ascii="Arial" w:cs="Arial" w:eastAsia="Arial" w:hAnsi="Arial"/>
          <w:sz w:val="16"/>
          <w:szCs w:val="16"/>
          <w:color w:val="auto"/>
        </w:rPr>
      </w:pPr>
    </w:p>
    <w:p>
      <w:pPr>
        <w:jc w:val="both"/>
        <w:ind w:left="780" w:right="280" w:hanging="307"/>
        <w:spacing w:after="0" w:line="255"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7"/>
          <w:szCs w:val="17"/>
          <w:color w:val="auto"/>
        </w:rPr>
      </w:pPr>
    </w:p>
    <w:p>
      <w:pPr>
        <w:ind w:left="780" w:right="60" w:hanging="307"/>
        <w:spacing w:after="0" w:line="255"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executive’s embezzlement or misappropriation of our funds or any other willful act or omission by the executive which is materially injurious to our financial condition or business reputation; or</w:t>
      </w:r>
    </w:p>
    <w:p>
      <w:pPr>
        <w:spacing w:after="0" w:line="1" w:lineRule="exact"/>
        <w:rPr>
          <w:rFonts w:ascii="Arial" w:cs="Arial" w:eastAsia="Arial" w:hAnsi="Arial"/>
          <w:sz w:val="17"/>
          <w:szCs w:val="17"/>
          <w:color w:val="auto"/>
        </w:rPr>
      </w:pPr>
    </w:p>
    <w:p>
      <w:pPr>
        <w:ind w:left="780" w:right="400" w:hanging="307"/>
        <w:spacing w:after="0" w:line="271"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41" w:lineRule="exact"/>
        <w:rPr>
          <w:sz w:val="20"/>
          <w:szCs w:val="20"/>
          <w:color w:val="auto"/>
        </w:rPr>
      </w:pPr>
    </w:p>
    <w:p>
      <w:pPr>
        <w:jc w:val="both"/>
        <w:ind w:right="160" w:firstLine="417"/>
        <w:spacing w:after="0" w:line="266" w:lineRule="auto"/>
        <w:rPr>
          <w:sz w:val="20"/>
          <w:szCs w:val="20"/>
          <w:color w:val="auto"/>
        </w:rPr>
      </w:pPr>
      <w:r>
        <w:rPr>
          <w:rFonts w:ascii="Arial" w:cs="Arial" w:eastAsia="Arial" w:hAnsi="Arial"/>
          <w:sz w:val="17"/>
          <w:szCs w:val="17"/>
          <w:color w:val="auto"/>
        </w:rPr>
        <w:t>The payments and benefits that would be paid to an executive under the Executive Severance Plan as a result of a termination of employment without cause not due to a change in control include (1) base salary for the salary continuation period associated with the executive’s tier, (2) COBRA continuation coverage for medical and dental benefits for a maximum of 18 months (with the executive to be charged the active employee rate for coverage), and (3) the reasonable costs of outplacement services for a maximum of one year.</w:t>
      </w:r>
    </w:p>
    <w:p>
      <w:pPr>
        <w:spacing w:after="0" w:line="45" w:lineRule="exact"/>
        <w:rPr>
          <w:sz w:val="20"/>
          <w:szCs w:val="20"/>
          <w:color w:val="auto"/>
        </w:rPr>
      </w:pPr>
    </w:p>
    <w:p>
      <w:pPr>
        <w:ind w:right="40" w:firstLine="417"/>
        <w:spacing w:after="0" w:line="279" w:lineRule="auto"/>
        <w:rPr>
          <w:sz w:val="20"/>
          <w:szCs w:val="20"/>
          <w:color w:val="auto"/>
        </w:rPr>
      </w:pPr>
      <w:r>
        <w:rPr>
          <w:rFonts w:ascii="Arial" w:cs="Arial" w:eastAsia="Arial" w:hAnsi="Arial"/>
          <w:sz w:val="16"/>
          <w:szCs w:val="16"/>
          <w:color w:val="auto"/>
        </w:rPr>
        <w:t>The additional payments and benefits that would be paid to an executive under the Executive Severance Plan as a result of a qualifying termination of employment in connection with a “change in control” (as defined below) include (1) six additional months of salary continuation, (2) a benefit equal to the annual bonus that would have been received (measured at target) if the executive had remained employed and eligible to receive such bonus for the entire salary continuation period, and (3) a benefit equal to the additional benefit, if any, that would have been received under the nonqualified deferred compensation plan if the executive had remained employed and eligible for the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Under the Executive Severance Plan, “change in control” means:</w:t>
      </w:r>
    </w:p>
    <w:p>
      <w:pPr>
        <w:spacing w:after="0" w:line="117" w:lineRule="exact"/>
        <w:rPr>
          <w:sz w:val="20"/>
          <w:szCs w:val="20"/>
          <w:color w:val="auto"/>
        </w:rPr>
      </w:pPr>
    </w:p>
    <w:p>
      <w:pPr>
        <w:ind w:left="780" w:hanging="307"/>
        <w:spacing w:after="0" w:line="266"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70" w:lineRule="exact"/>
        <w:rPr>
          <w:rFonts w:ascii="Arial" w:cs="Arial" w:eastAsia="Arial" w:hAnsi="Arial"/>
          <w:sz w:val="17"/>
          <w:szCs w:val="17"/>
          <w:color w:val="auto"/>
        </w:rPr>
      </w:pPr>
    </w:p>
    <w:p>
      <w:pPr>
        <w:ind w:left="780" w:right="20" w:hanging="307"/>
        <w:spacing w:after="0" w:line="277"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68" w:lineRule="exact"/>
        <w:rPr>
          <w:rFonts w:ascii="Arial" w:cs="Arial" w:eastAsia="Arial" w:hAnsi="Arial"/>
          <w:sz w:val="16"/>
          <w:szCs w:val="16"/>
          <w:color w:val="auto"/>
        </w:rPr>
      </w:pPr>
    </w:p>
    <w:p>
      <w:pPr>
        <w:ind w:left="780" w:hanging="307"/>
        <w:spacing w:after="0" w:line="266"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individuals who were “continuing directors” cease for any reason to constitute a majority of the members of our Board of Directors.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149" w:lineRule="exact"/>
        <w:rPr>
          <w:sz w:val="20"/>
          <w:szCs w:val="20"/>
          <w:color w:val="auto"/>
        </w:rPr>
      </w:pPr>
    </w:p>
    <w:p>
      <w:pPr>
        <w:ind w:right="80" w:firstLine="417"/>
        <w:spacing w:after="0" w:line="286" w:lineRule="auto"/>
        <w:rPr>
          <w:sz w:val="20"/>
          <w:szCs w:val="20"/>
          <w:color w:val="auto"/>
        </w:rPr>
      </w:pPr>
      <w:r>
        <w:rPr>
          <w:rFonts w:ascii="Arial" w:cs="Arial" w:eastAsia="Arial" w:hAnsi="Arial"/>
          <w:sz w:val="17"/>
          <w:szCs w:val="17"/>
          <w:color w:val="auto"/>
        </w:rPr>
        <w:t>An executive must enter into an agreement with the company that contains covenants against competition, disclosure and solicitation, and a release of claims in order to qualify for payments and benefits under the Executive Severance Plan.</w:t>
      </w:r>
    </w:p>
    <w:p>
      <w:pPr>
        <w:spacing w:after="0" w:line="29" w:lineRule="exact"/>
        <w:rPr>
          <w:sz w:val="20"/>
          <w:szCs w:val="20"/>
          <w:color w:val="auto"/>
        </w:rPr>
      </w:pPr>
    </w:p>
    <w:p>
      <w:pPr>
        <w:ind w:firstLine="417"/>
        <w:spacing w:after="0" w:line="356" w:lineRule="auto"/>
        <w:rPr>
          <w:sz w:val="20"/>
          <w:szCs w:val="20"/>
          <w:color w:val="auto"/>
        </w:rPr>
      </w:pPr>
      <w:r>
        <w:rPr>
          <w:rFonts w:ascii="Arial" w:cs="Arial" w:eastAsia="Arial" w:hAnsi="Arial"/>
          <w:sz w:val="15"/>
          <w:szCs w:val="15"/>
          <w:color w:val="auto"/>
        </w:rPr>
        <w:t>The following table presents the amounts that would have been received by each named executive officer under the Executive Severance Plan if a termination of the officer’s employment without cause not due to change in control had taken place on the last business day of our most recently completed fiscal year.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570"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Salary Continuation</w:t>
            </w: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Medical and Dental</w:t>
            </w: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Outplacement Costs ($)</w:t>
            </w:r>
          </w:p>
        </w:tc>
        <w:tc>
          <w:tcPr>
            <w:tcW w:w="15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6"/>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Amount ($) (a)</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Coverage ($) (b)</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(c)</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Patrick H. Hawkins</w:t>
            </w: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622,500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19,800</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12,500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654,800</w:t>
            </w:r>
          </w:p>
        </w:tc>
        <w:tc>
          <w:tcPr>
            <w:tcW w:w="0" w:type="dxa"/>
            <w:vAlign w:val="bottom"/>
          </w:tcPr>
          <w:p>
            <w:pPr>
              <w:spacing w:after="0"/>
              <w:rPr>
                <w:sz w:val="1"/>
                <w:szCs w:val="1"/>
                <w:color w:val="auto"/>
              </w:rPr>
            </w:pPr>
          </w:p>
        </w:tc>
      </w:tr>
      <w:tr>
        <w:trPr>
          <w:trHeight w:val="234"/>
        </w:trPr>
        <w:tc>
          <w:tcPr>
            <w:tcW w:w="4580" w:type="dxa"/>
            <w:vAlign w:val="bottom"/>
            <w:gridSpan w:val="2"/>
          </w:tcPr>
          <w:p>
            <w:pPr>
              <w:ind w:left="40"/>
              <w:spacing w:after="0"/>
              <w:rPr>
                <w:sz w:val="20"/>
                <w:szCs w:val="20"/>
                <w:color w:val="auto"/>
              </w:rPr>
            </w:pPr>
            <w:r>
              <w:rPr>
                <w:rFonts w:ascii="Arial" w:cs="Arial" w:eastAsia="Arial" w:hAnsi="Arial"/>
                <w:sz w:val="17"/>
                <w:szCs w:val="17"/>
                <w:color w:val="auto"/>
              </w:rPr>
              <w:t>Kathleen P. Pepski</w:t>
            </w:r>
          </w:p>
        </w:tc>
        <w:tc>
          <w:tcPr>
            <w:tcW w:w="1560" w:type="dxa"/>
            <w:vAlign w:val="bottom"/>
          </w:tcPr>
          <w:p>
            <w:pPr>
              <w:jc w:val="right"/>
              <w:ind w:right="38"/>
              <w:spacing w:after="0"/>
              <w:rPr>
                <w:sz w:val="20"/>
                <w:szCs w:val="20"/>
                <w:color w:val="auto"/>
              </w:rPr>
            </w:pPr>
            <w:r>
              <w:rPr>
                <w:rFonts w:ascii="Arial" w:cs="Arial" w:eastAsia="Arial" w:hAnsi="Arial"/>
                <w:sz w:val="17"/>
                <w:szCs w:val="17"/>
                <w:color w:val="auto"/>
              </w:rPr>
              <w:t>312,000</w:t>
            </w:r>
          </w:p>
        </w:tc>
        <w:tc>
          <w:tcPr>
            <w:tcW w:w="120" w:type="dxa"/>
            <w:vAlign w:val="bottom"/>
          </w:tcPr>
          <w:p>
            <w:pPr>
              <w:spacing w:after="0"/>
              <w:rPr>
                <w:sz w:val="20"/>
                <w:szCs w:val="20"/>
                <w:color w:val="auto"/>
              </w:rPr>
            </w:pPr>
          </w:p>
        </w:tc>
        <w:tc>
          <w:tcPr>
            <w:tcW w:w="1560" w:type="dxa"/>
            <w:vAlign w:val="bottom"/>
          </w:tcPr>
          <w:p>
            <w:pPr>
              <w:jc w:val="right"/>
              <w:ind w:right="38"/>
              <w:spacing w:after="0"/>
              <w:rPr>
                <w:sz w:val="20"/>
                <w:szCs w:val="20"/>
                <w:color w:val="auto"/>
              </w:rPr>
            </w:pPr>
            <w:r>
              <w:rPr>
                <w:rFonts w:ascii="Arial" w:cs="Arial" w:eastAsia="Arial" w:hAnsi="Arial"/>
                <w:sz w:val="17"/>
                <w:szCs w:val="17"/>
                <w:color w:val="auto"/>
              </w:rPr>
              <w:t>9,842</w:t>
            </w:r>
          </w:p>
        </w:tc>
        <w:tc>
          <w:tcPr>
            <w:tcW w:w="120" w:type="dxa"/>
            <w:vAlign w:val="bottom"/>
          </w:tcPr>
          <w:p>
            <w:pPr>
              <w:spacing w:after="0"/>
              <w:rPr>
                <w:sz w:val="20"/>
                <w:szCs w:val="20"/>
                <w:color w:val="auto"/>
              </w:rPr>
            </w:pP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12,500</w:t>
            </w:r>
          </w:p>
        </w:tc>
        <w:tc>
          <w:tcPr>
            <w:tcW w:w="100" w:type="dxa"/>
            <w:vAlign w:val="bottom"/>
          </w:tcPr>
          <w:p>
            <w:pPr>
              <w:spacing w:after="0"/>
              <w:rPr>
                <w:sz w:val="20"/>
                <w:szCs w:val="20"/>
                <w:color w:val="auto"/>
              </w:rPr>
            </w:pPr>
          </w:p>
        </w:tc>
        <w:tc>
          <w:tcPr>
            <w:tcW w:w="1540" w:type="dxa"/>
            <w:vAlign w:val="bottom"/>
          </w:tcPr>
          <w:p>
            <w:pPr>
              <w:jc w:val="right"/>
              <w:ind w:right="36"/>
              <w:spacing w:after="0"/>
              <w:rPr>
                <w:sz w:val="20"/>
                <w:szCs w:val="20"/>
                <w:color w:val="auto"/>
              </w:rPr>
            </w:pPr>
            <w:r>
              <w:rPr>
                <w:rFonts w:ascii="Arial" w:cs="Arial" w:eastAsia="Arial" w:hAnsi="Arial"/>
                <w:sz w:val="17"/>
                <w:szCs w:val="17"/>
                <w:color w:val="auto"/>
              </w:rPr>
              <w:t>334,342</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Richard G. Erstad</w:t>
            </w: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274,000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13,200</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12,500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299,700</w:t>
            </w:r>
          </w:p>
        </w:tc>
        <w:tc>
          <w:tcPr>
            <w:tcW w:w="0" w:type="dxa"/>
            <w:vAlign w:val="bottom"/>
          </w:tcPr>
          <w:p>
            <w:pPr>
              <w:spacing w:after="0"/>
              <w:rPr>
                <w:sz w:val="1"/>
                <w:szCs w:val="1"/>
                <w:color w:val="auto"/>
              </w:rPr>
            </w:pPr>
          </w:p>
        </w:tc>
      </w:tr>
      <w:tr>
        <w:trPr>
          <w:trHeight w:val="234"/>
        </w:trPr>
        <w:tc>
          <w:tcPr>
            <w:tcW w:w="4580" w:type="dxa"/>
            <w:vAlign w:val="bottom"/>
            <w:gridSpan w:val="2"/>
          </w:tcPr>
          <w:p>
            <w:pPr>
              <w:ind w:left="40"/>
              <w:spacing w:after="0"/>
              <w:rPr>
                <w:sz w:val="20"/>
                <w:szCs w:val="20"/>
                <w:color w:val="auto"/>
              </w:rPr>
            </w:pPr>
            <w:r>
              <w:rPr>
                <w:rFonts w:ascii="Arial" w:cs="Arial" w:eastAsia="Arial" w:hAnsi="Arial"/>
                <w:sz w:val="17"/>
                <w:szCs w:val="17"/>
                <w:color w:val="auto"/>
              </w:rPr>
              <w:t>John R. Sevenich</w:t>
            </w:r>
          </w:p>
        </w:tc>
        <w:tc>
          <w:tcPr>
            <w:tcW w:w="1560" w:type="dxa"/>
            <w:vAlign w:val="bottom"/>
          </w:tcPr>
          <w:p>
            <w:pPr>
              <w:jc w:val="right"/>
              <w:ind w:right="38"/>
              <w:spacing w:after="0"/>
              <w:rPr>
                <w:sz w:val="20"/>
                <w:szCs w:val="20"/>
                <w:color w:val="auto"/>
              </w:rPr>
            </w:pPr>
            <w:r>
              <w:rPr>
                <w:rFonts w:ascii="Arial" w:cs="Arial" w:eastAsia="Arial" w:hAnsi="Arial"/>
                <w:sz w:val="17"/>
                <w:szCs w:val="17"/>
                <w:color w:val="auto"/>
              </w:rPr>
              <w:t>261,000</w:t>
            </w:r>
          </w:p>
        </w:tc>
        <w:tc>
          <w:tcPr>
            <w:tcW w:w="120" w:type="dxa"/>
            <w:vAlign w:val="bottom"/>
          </w:tcPr>
          <w:p>
            <w:pPr>
              <w:spacing w:after="0"/>
              <w:rPr>
                <w:sz w:val="20"/>
                <w:szCs w:val="20"/>
                <w:color w:val="auto"/>
              </w:rPr>
            </w:pPr>
          </w:p>
        </w:tc>
        <w:tc>
          <w:tcPr>
            <w:tcW w:w="1560" w:type="dxa"/>
            <w:vAlign w:val="bottom"/>
          </w:tcPr>
          <w:p>
            <w:pPr>
              <w:jc w:val="right"/>
              <w:ind w:right="38"/>
              <w:spacing w:after="0"/>
              <w:rPr>
                <w:sz w:val="20"/>
                <w:szCs w:val="20"/>
                <w:color w:val="auto"/>
              </w:rPr>
            </w:pPr>
            <w:r>
              <w:rPr>
                <w:rFonts w:ascii="Arial" w:cs="Arial" w:eastAsia="Arial" w:hAnsi="Arial"/>
                <w:sz w:val="17"/>
                <w:szCs w:val="17"/>
                <w:color w:val="auto"/>
              </w:rPr>
              <w:t>9,827</w:t>
            </w:r>
          </w:p>
        </w:tc>
        <w:tc>
          <w:tcPr>
            <w:tcW w:w="120" w:type="dxa"/>
            <w:vAlign w:val="bottom"/>
          </w:tcPr>
          <w:p>
            <w:pPr>
              <w:spacing w:after="0"/>
              <w:rPr>
                <w:sz w:val="20"/>
                <w:szCs w:val="20"/>
                <w:color w:val="auto"/>
              </w:rPr>
            </w:pP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12,500</w:t>
            </w:r>
          </w:p>
        </w:tc>
        <w:tc>
          <w:tcPr>
            <w:tcW w:w="100" w:type="dxa"/>
            <w:vAlign w:val="bottom"/>
          </w:tcPr>
          <w:p>
            <w:pPr>
              <w:spacing w:after="0"/>
              <w:rPr>
                <w:sz w:val="20"/>
                <w:szCs w:val="20"/>
                <w:color w:val="auto"/>
              </w:rPr>
            </w:pPr>
          </w:p>
        </w:tc>
        <w:tc>
          <w:tcPr>
            <w:tcW w:w="1540" w:type="dxa"/>
            <w:vAlign w:val="bottom"/>
          </w:tcPr>
          <w:p>
            <w:pPr>
              <w:jc w:val="right"/>
              <w:ind w:right="36"/>
              <w:spacing w:after="0"/>
              <w:rPr>
                <w:sz w:val="20"/>
                <w:szCs w:val="20"/>
                <w:color w:val="auto"/>
              </w:rPr>
            </w:pPr>
            <w:r>
              <w:rPr>
                <w:rFonts w:ascii="Arial" w:cs="Arial" w:eastAsia="Arial" w:hAnsi="Arial"/>
                <w:sz w:val="17"/>
                <w:szCs w:val="17"/>
                <w:color w:val="auto"/>
              </w:rPr>
              <w:t>283,327</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Thomas J. Keller</w:t>
            </w:r>
          </w:p>
        </w:tc>
        <w:tc>
          <w:tcPr>
            <w:tcW w:w="15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260,000</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9,842</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12,500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282,342</w:t>
            </w:r>
          </w:p>
        </w:tc>
        <w:tc>
          <w:tcPr>
            <w:tcW w:w="0" w:type="dxa"/>
            <w:vAlign w:val="bottom"/>
          </w:tcPr>
          <w:p>
            <w:pPr>
              <w:spacing w:after="0"/>
              <w:rPr>
                <w:sz w:val="1"/>
                <w:szCs w:val="1"/>
                <w:color w:val="auto"/>
              </w:rPr>
            </w:pPr>
          </w:p>
        </w:tc>
      </w:tr>
      <w:tr>
        <w:trPr>
          <w:trHeight w:val="26"/>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0" w:hanging="396"/>
        <w:spacing w:after="0"/>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Amounts determined by multiplying the executive’s base salary by the number of months in the applicable salary continuation period.</w:t>
      </w:r>
    </w:p>
    <w:p>
      <w:pPr>
        <w:spacing w:after="0" w:line="52" w:lineRule="exact"/>
        <w:rPr>
          <w:rFonts w:ascii="Arial" w:cs="Arial" w:eastAsia="Arial" w:hAnsi="Arial"/>
          <w:sz w:val="17"/>
          <w:szCs w:val="17"/>
          <w:color w:val="auto"/>
        </w:rPr>
      </w:pPr>
    </w:p>
    <w:p>
      <w:pPr>
        <w:ind w:left="400" w:right="220" w:hanging="396"/>
        <w:spacing w:after="0" w:line="286" w:lineRule="auto"/>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2" w:lineRule="exact"/>
        <w:rPr>
          <w:rFonts w:ascii="Arial" w:cs="Arial" w:eastAsia="Arial" w:hAnsi="Arial"/>
          <w:sz w:val="17"/>
          <w:szCs w:val="17"/>
          <w:color w:val="auto"/>
        </w:rPr>
      </w:pPr>
    </w:p>
    <w:p>
      <w:pPr>
        <w:ind w:left="400" w:hanging="396"/>
        <w:spacing w:after="0"/>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Constitutes the estimated cost to the company of 12 months of outplacement services.</w:t>
      </w:r>
    </w:p>
    <w:p>
      <w:pPr>
        <w:spacing w:after="0" w:line="91" w:lineRule="exact"/>
        <w:rPr>
          <w:sz w:val="20"/>
          <w:szCs w:val="20"/>
          <w:color w:val="auto"/>
        </w:rPr>
      </w:pPr>
    </w:p>
    <w:p>
      <w:pPr>
        <w:ind w:right="140" w:firstLine="417"/>
        <w:spacing w:after="0" w:line="261" w:lineRule="auto"/>
        <w:rPr>
          <w:sz w:val="20"/>
          <w:szCs w:val="20"/>
          <w:color w:val="auto"/>
        </w:rPr>
      </w:pPr>
      <w:r>
        <w:rPr>
          <w:rFonts w:ascii="Arial" w:cs="Arial" w:eastAsia="Arial" w:hAnsi="Arial"/>
          <w:sz w:val="17"/>
          <w:szCs w:val="17"/>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53" w:lineRule="exact"/>
        <w:rPr>
          <w:sz w:val="20"/>
          <w:szCs w:val="20"/>
          <w:color w:val="auto"/>
        </w:rPr>
      </w:pPr>
    </w:p>
    <w:p>
      <w:pPr>
        <w:ind w:left="700" w:hanging="305"/>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material decrease in the executive’s base compensation;</w:t>
      </w:r>
    </w:p>
    <w:p>
      <w:pPr>
        <w:spacing w:after="0" w:line="117" w:lineRule="exact"/>
        <w:rPr>
          <w:rFonts w:ascii="Arial" w:cs="Arial" w:eastAsia="Arial" w:hAnsi="Arial"/>
          <w:sz w:val="17"/>
          <w:szCs w:val="17"/>
          <w:color w:val="auto"/>
        </w:rPr>
      </w:pPr>
    </w:p>
    <w:p>
      <w:pPr>
        <w:ind w:left="700" w:hanging="305"/>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material diminution in the executive’s authority, duties, or responsibilities;</w:t>
      </w:r>
    </w:p>
    <w:p>
      <w:pPr>
        <w:spacing w:after="0" w:line="117" w:lineRule="exact"/>
        <w:rPr>
          <w:rFonts w:ascii="Arial" w:cs="Arial" w:eastAsia="Arial" w:hAnsi="Arial"/>
          <w:sz w:val="17"/>
          <w:szCs w:val="17"/>
          <w:color w:val="auto"/>
        </w:rPr>
      </w:pPr>
    </w:p>
    <w:p>
      <w:pPr>
        <w:ind w:left="700" w:hanging="305"/>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relocation of the executive’s principal office more than 50 miles from its current location; or</w:t>
      </w:r>
    </w:p>
    <w:p>
      <w:pPr>
        <w:spacing w:after="0" w:line="117" w:lineRule="exact"/>
        <w:rPr>
          <w:rFonts w:ascii="Arial" w:cs="Arial" w:eastAsia="Arial" w:hAnsi="Arial"/>
          <w:sz w:val="17"/>
          <w:szCs w:val="17"/>
          <w:color w:val="auto"/>
        </w:rPr>
      </w:pPr>
    </w:p>
    <w:p>
      <w:pPr>
        <w:ind w:left="700" w:right="340" w:hanging="305"/>
        <w:spacing w:after="0" w:line="286"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other action or inaction that constitutes a material breach by us of any terms or conditions of any agreement between us and the executive, which breach has not been caused by the executive.</w:t>
      </w:r>
    </w:p>
    <w:p>
      <w:pPr>
        <w:spacing w:after="0" w:line="211" w:lineRule="exact"/>
        <w:rPr>
          <w:sz w:val="20"/>
          <w:szCs w:val="20"/>
          <w:color w:val="auto"/>
        </w:rPr>
      </w:pPr>
    </w:p>
    <w:p>
      <w:pPr>
        <w:ind w:firstLine="417"/>
        <w:spacing w:after="0" w:line="271" w:lineRule="auto"/>
        <w:rPr>
          <w:sz w:val="20"/>
          <w:szCs w:val="20"/>
          <w:color w:val="auto"/>
        </w:rPr>
      </w:pPr>
      <w:r>
        <w:rPr>
          <w:rFonts w:ascii="Arial" w:cs="Arial" w:eastAsia="Arial" w:hAnsi="Arial"/>
          <w:sz w:val="17"/>
          <w:szCs w:val="17"/>
          <w:color w:val="auto"/>
        </w:rPr>
        <w:t>The following table presents the amounts that would have been received by each named executive officer under the Executive Severance Plan if a termination of the officer’s employment for good reason or a termination without cause that is also a termination due to change in control had taken place on the last business day of our most recently completed fiscal year.</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 Continuation</w:t>
            </w: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Medical and Dental</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Outplacement Costs</w:t>
            </w: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Target Bonus</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Profit Sharing/401(k)</w:t>
            </w:r>
          </w:p>
        </w:tc>
        <w:tc>
          <w:tcPr>
            <w:tcW w:w="12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6"/>
        </w:trPr>
        <w:tc>
          <w:tcPr>
            <w:tcW w:w="2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Amount ($) (a)</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Coverage ($) (b)</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 (c)</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Amount ($) (d)</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Contribution ($) (e)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Patrick H. Hawkins</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830,000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19,800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12,500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622,500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53,000</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1,537,800</w:t>
            </w:r>
          </w:p>
        </w:tc>
        <w:tc>
          <w:tcPr>
            <w:tcW w:w="0" w:type="dxa"/>
            <w:vAlign w:val="bottom"/>
          </w:tcPr>
          <w:p>
            <w:pPr>
              <w:spacing w:after="0"/>
              <w:rPr>
                <w:sz w:val="1"/>
                <w:szCs w:val="1"/>
                <w:color w:val="auto"/>
              </w:rPr>
            </w:pPr>
          </w:p>
        </w:tc>
      </w:tr>
      <w:tr>
        <w:trPr>
          <w:trHeight w:val="234"/>
        </w:trPr>
        <w:tc>
          <w:tcPr>
            <w:tcW w:w="2720" w:type="dxa"/>
            <w:vAlign w:val="bottom"/>
            <w:gridSpan w:val="2"/>
          </w:tcPr>
          <w:p>
            <w:pPr>
              <w:ind w:left="40"/>
              <w:spacing w:after="0"/>
              <w:rPr>
                <w:sz w:val="20"/>
                <w:szCs w:val="20"/>
                <w:color w:val="auto"/>
              </w:rPr>
            </w:pPr>
            <w:r>
              <w:rPr>
                <w:rFonts w:ascii="Arial" w:cs="Arial" w:eastAsia="Arial" w:hAnsi="Arial"/>
                <w:sz w:val="17"/>
                <w:szCs w:val="17"/>
                <w:color w:val="auto"/>
              </w:rPr>
              <w:t>Kathleen P. Pepski</w:t>
            </w:r>
          </w:p>
        </w:tc>
        <w:tc>
          <w:tcPr>
            <w:tcW w:w="1340" w:type="dxa"/>
            <w:vAlign w:val="bottom"/>
          </w:tcPr>
          <w:p>
            <w:pPr>
              <w:jc w:val="right"/>
              <w:ind w:right="38"/>
              <w:spacing w:after="0"/>
              <w:rPr>
                <w:sz w:val="20"/>
                <w:szCs w:val="20"/>
                <w:color w:val="auto"/>
              </w:rPr>
            </w:pPr>
            <w:r>
              <w:rPr>
                <w:rFonts w:ascii="Arial" w:cs="Arial" w:eastAsia="Arial" w:hAnsi="Arial"/>
                <w:sz w:val="17"/>
                <w:szCs w:val="17"/>
                <w:color w:val="auto"/>
              </w:rPr>
              <w:t>468,000</w:t>
            </w:r>
          </w:p>
        </w:tc>
        <w:tc>
          <w:tcPr>
            <w:tcW w:w="120" w:type="dxa"/>
            <w:vAlign w:val="bottom"/>
          </w:tcPr>
          <w:p>
            <w:pPr>
              <w:spacing w:after="0"/>
              <w:rPr>
                <w:sz w:val="20"/>
                <w:szCs w:val="20"/>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14,762</w:t>
            </w: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7"/>
                <w:szCs w:val="17"/>
                <w:color w:val="auto"/>
              </w:rPr>
              <w:t>12,500</w:t>
            </w: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7"/>
                <w:szCs w:val="17"/>
                <w:color w:val="auto"/>
              </w:rPr>
              <w:t>234,000</w:t>
            </w:r>
          </w:p>
        </w:tc>
        <w:tc>
          <w:tcPr>
            <w:tcW w:w="10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39,750</w:t>
            </w:r>
          </w:p>
        </w:tc>
        <w:tc>
          <w:tcPr>
            <w:tcW w:w="12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769,012</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Richard G. Erstad</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411,000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19,800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12,500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164,400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39,750</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647,450</w:t>
            </w:r>
          </w:p>
        </w:tc>
        <w:tc>
          <w:tcPr>
            <w:tcW w:w="0" w:type="dxa"/>
            <w:vAlign w:val="bottom"/>
          </w:tcPr>
          <w:p>
            <w:pPr>
              <w:spacing w:after="0"/>
              <w:rPr>
                <w:sz w:val="1"/>
                <w:szCs w:val="1"/>
                <w:color w:val="auto"/>
              </w:rPr>
            </w:pPr>
          </w:p>
        </w:tc>
      </w:tr>
      <w:tr>
        <w:trPr>
          <w:trHeight w:val="234"/>
        </w:trPr>
        <w:tc>
          <w:tcPr>
            <w:tcW w:w="2720" w:type="dxa"/>
            <w:vAlign w:val="bottom"/>
            <w:gridSpan w:val="2"/>
          </w:tcPr>
          <w:p>
            <w:pPr>
              <w:ind w:left="40"/>
              <w:spacing w:after="0"/>
              <w:rPr>
                <w:sz w:val="20"/>
                <w:szCs w:val="20"/>
                <w:color w:val="auto"/>
              </w:rPr>
            </w:pPr>
            <w:r>
              <w:rPr>
                <w:rFonts w:ascii="Arial" w:cs="Arial" w:eastAsia="Arial" w:hAnsi="Arial"/>
                <w:sz w:val="17"/>
                <w:szCs w:val="17"/>
                <w:color w:val="auto"/>
              </w:rPr>
              <w:t>John R. Sevenich</w:t>
            </w:r>
          </w:p>
        </w:tc>
        <w:tc>
          <w:tcPr>
            <w:tcW w:w="1340" w:type="dxa"/>
            <w:vAlign w:val="bottom"/>
          </w:tcPr>
          <w:p>
            <w:pPr>
              <w:jc w:val="right"/>
              <w:ind w:right="38"/>
              <w:spacing w:after="0"/>
              <w:rPr>
                <w:sz w:val="20"/>
                <w:szCs w:val="20"/>
                <w:color w:val="auto"/>
              </w:rPr>
            </w:pPr>
            <w:r>
              <w:rPr>
                <w:rFonts w:ascii="Arial" w:cs="Arial" w:eastAsia="Arial" w:hAnsi="Arial"/>
                <w:sz w:val="17"/>
                <w:szCs w:val="17"/>
                <w:color w:val="auto"/>
              </w:rPr>
              <w:t>391,500</w:t>
            </w:r>
          </w:p>
        </w:tc>
        <w:tc>
          <w:tcPr>
            <w:tcW w:w="120" w:type="dxa"/>
            <w:vAlign w:val="bottom"/>
          </w:tcPr>
          <w:p>
            <w:pPr>
              <w:spacing w:after="0"/>
              <w:rPr>
                <w:sz w:val="20"/>
                <w:szCs w:val="20"/>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14,741</w:t>
            </w: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7"/>
                <w:szCs w:val="17"/>
                <w:color w:val="auto"/>
              </w:rPr>
              <w:t>12,500</w:t>
            </w: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7"/>
                <w:szCs w:val="17"/>
                <w:color w:val="auto"/>
              </w:rPr>
              <w:t>156,600</w:t>
            </w:r>
          </w:p>
        </w:tc>
        <w:tc>
          <w:tcPr>
            <w:tcW w:w="10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39,750</w:t>
            </w:r>
          </w:p>
        </w:tc>
        <w:tc>
          <w:tcPr>
            <w:tcW w:w="12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615,091</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Thomas J. Keller</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390,000</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14,762</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12,500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156,000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39,750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613,012</w:t>
            </w:r>
          </w:p>
        </w:tc>
        <w:tc>
          <w:tcPr>
            <w:tcW w:w="0" w:type="dxa"/>
            <w:vAlign w:val="bottom"/>
          </w:tcPr>
          <w:p>
            <w:pPr>
              <w:spacing w:after="0"/>
              <w:rPr>
                <w:sz w:val="1"/>
                <w:szCs w:val="1"/>
                <w:color w:val="auto"/>
              </w:rPr>
            </w:pPr>
          </w:p>
        </w:tc>
      </w:tr>
      <w:tr>
        <w:trPr>
          <w:trHeight w:val="26"/>
        </w:trPr>
        <w:tc>
          <w:tcPr>
            <w:tcW w:w="2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0" w:hanging="396"/>
        <w:spacing w:after="0"/>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Amounts determined by multiplying the executive’s base salary times the number of months in the applicable salary continuation period.</w:t>
      </w:r>
    </w:p>
    <w:p>
      <w:pPr>
        <w:spacing w:after="0" w:line="52" w:lineRule="exact"/>
        <w:rPr>
          <w:rFonts w:ascii="Arial" w:cs="Arial" w:eastAsia="Arial" w:hAnsi="Arial"/>
          <w:sz w:val="17"/>
          <w:szCs w:val="17"/>
          <w:color w:val="auto"/>
        </w:rPr>
      </w:pPr>
    </w:p>
    <w:p>
      <w:pPr>
        <w:ind w:left="400" w:right="220" w:hanging="396"/>
        <w:spacing w:after="0" w:line="286" w:lineRule="auto"/>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2" w:lineRule="exact"/>
        <w:rPr>
          <w:rFonts w:ascii="Arial" w:cs="Arial" w:eastAsia="Arial" w:hAnsi="Arial"/>
          <w:sz w:val="17"/>
          <w:szCs w:val="17"/>
          <w:color w:val="auto"/>
        </w:rPr>
      </w:pPr>
    </w:p>
    <w:p>
      <w:pPr>
        <w:ind w:left="400" w:hanging="396"/>
        <w:spacing w:after="0"/>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Constitutes the estimated cost to the company of 12 months of outplacement services.</w:t>
      </w:r>
    </w:p>
    <w:p>
      <w:pPr>
        <w:spacing w:after="0" w:line="64" w:lineRule="exact"/>
        <w:rPr>
          <w:rFonts w:ascii="Arial" w:cs="Arial" w:eastAsia="Arial" w:hAnsi="Arial"/>
          <w:sz w:val="17"/>
          <w:szCs w:val="17"/>
          <w:color w:val="auto"/>
        </w:rPr>
      </w:pPr>
    </w:p>
    <w:p>
      <w:pPr>
        <w:ind w:left="400" w:right="420" w:hanging="396"/>
        <w:spacing w:after="0" w:line="286" w:lineRule="auto"/>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Amounts determined by multiplying one-twelfth of the executive’s target annual bonus times the number of months in the applicable salary continuation period.</w:t>
      </w:r>
    </w:p>
    <w:p>
      <w:pPr>
        <w:spacing w:after="0" w:line="81" w:lineRule="exact"/>
        <w:rPr>
          <w:rFonts w:ascii="Arial" w:cs="Arial" w:eastAsia="Arial" w:hAnsi="Arial"/>
          <w:sz w:val="17"/>
          <w:szCs w:val="17"/>
          <w:color w:val="auto"/>
        </w:rPr>
      </w:pPr>
    </w:p>
    <w:p>
      <w:pPr>
        <w:ind w:left="400" w:right="200" w:hanging="396"/>
        <w:spacing w:after="0" w:line="287" w:lineRule="auto"/>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equal the amounts the executive would have received under the company’s profit sharing plan if the executive had remained employed by the company for the entire applicable salary continuation period and had been entitled to employer contributions under the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698" w:right="259" w:bottom="1440" w:gutter="0" w:footer="0" w:header="0"/>
        </w:sectPr>
      </w:pPr>
    </w:p>
    <w:bookmarkStart w:id="21" w:name="page22"/>
    <w:bookmarkEnd w:id="21"/>
    <w:p>
      <w:pPr>
        <w:ind w:left="220"/>
        <w:spacing w:after="0"/>
        <w:rPr>
          <w:sz w:val="20"/>
          <w:szCs w:val="20"/>
          <w:color w:val="auto"/>
        </w:rPr>
      </w:pPr>
      <w:r>
        <w:rPr>
          <w:rFonts w:ascii="Arial" w:cs="Arial" w:eastAsia="Arial" w:hAnsi="Arial"/>
          <w:sz w:val="17"/>
          <w:szCs w:val="17"/>
          <w:i w:val="1"/>
          <w:iCs w:val="1"/>
          <w:color w:val="auto"/>
        </w:rPr>
        <w:t>Potential Accelerated Vesting of Equity Awards</w:t>
      </w:r>
    </w:p>
    <w:p>
      <w:pPr>
        <w:spacing w:after="0" w:line="91" w:lineRule="exact"/>
        <w:rPr>
          <w:sz w:val="20"/>
          <w:szCs w:val="20"/>
          <w:color w:val="auto"/>
        </w:rPr>
      </w:pPr>
    </w:p>
    <w:p>
      <w:pPr>
        <w:ind w:right="20" w:firstLine="417"/>
        <w:spacing w:after="0" w:line="258" w:lineRule="auto"/>
        <w:rPr>
          <w:sz w:val="20"/>
          <w:szCs w:val="20"/>
          <w:color w:val="auto"/>
        </w:rPr>
      </w:pPr>
      <w:r>
        <w:rPr>
          <w:rFonts w:ascii="Arial" w:cs="Arial" w:eastAsia="Arial" w:hAnsi="Arial"/>
          <w:sz w:val="17"/>
          <w:szCs w:val="17"/>
          <w:i w:val="1"/>
          <w:iCs w:val="1"/>
          <w:color w:val="auto"/>
        </w:rPr>
        <w:t xml:space="preserve">Termination Other than Due to Death or Disability Following a Fundamental Change. </w:t>
      </w:r>
      <w:r>
        <w:rPr>
          <w:rFonts w:ascii="Arial" w:cs="Arial" w:eastAsia="Arial" w:hAnsi="Arial"/>
          <w:sz w:val="17"/>
          <w:szCs w:val="17"/>
          <w:color w:val="auto"/>
        </w:rPr>
        <w:t>All named executive officers with performance-based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units or shares of restricted stock 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58" w:lineRule="exact"/>
        <w:rPr>
          <w:sz w:val="20"/>
          <w:szCs w:val="20"/>
          <w:color w:val="auto"/>
        </w:rPr>
      </w:pPr>
    </w:p>
    <w:p>
      <w:pPr>
        <w:ind w:firstLine="417"/>
        <w:spacing w:after="0" w:line="281" w:lineRule="auto"/>
        <w:rPr>
          <w:sz w:val="20"/>
          <w:szCs w:val="20"/>
          <w:color w:val="auto"/>
        </w:rPr>
      </w:pPr>
      <w:r>
        <w:rPr>
          <w:rFonts w:ascii="Arial" w:cs="Arial" w:eastAsia="Arial" w:hAnsi="Arial"/>
          <w:sz w:val="16"/>
          <w:szCs w:val="16"/>
          <w:color w:val="auto"/>
        </w:rPr>
        <w:t>In addition, in connection with a fundamental change involving the company, the Compensation Committee may generally (1) 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36" w:lineRule="exact"/>
        <w:rPr>
          <w:sz w:val="20"/>
          <w:szCs w:val="20"/>
          <w:color w:val="auto"/>
        </w:rPr>
      </w:pPr>
    </w:p>
    <w:p>
      <w:pPr>
        <w:ind w:right="100" w:firstLine="417"/>
        <w:spacing w:after="0" w:line="261" w:lineRule="auto"/>
        <w:rPr>
          <w:sz w:val="20"/>
          <w:szCs w:val="20"/>
          <w:color w:val="auto"/>
        </w:rPr>
      </w:pPr>
      <w:r>
        <w:rPr>
          <w:rFonts w:ascii="Arial" w:cs="Arial" w:eastAsia="Arial" w:hAnsi="Arial"/>
          <w:sz w:val="17"/>
          <w:szCs w:val="17"/>
          <w:i w:val="1"/>
          <w:iCs w:val="1"/>
          <w:color w:val="auto"/>
        </w:rPr>
        <w:t xml:space="preserve">Termination of Employment Due to Death or Disability. </w:t>
      </w:r>
      <w:r>
        <w:rPr>
          <w:rFonts w:ascii="Arial" w:cs="Arial" w:eastAsia="Arial" w:hAnsi="Arial"/>
          <w:sz w:val="17"/>
          <w:szCs w:val="17"/>
          <w:color w:val="auto"/>
        </w:rPr>
        <w:t>All named executive officers with performance-based restricted stock units or shares of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53" w:lineRule="exact"/>
        <w:rPr>
          <w:sz w:val="20"/>
          <w:szCs w:val="20"/>
          <w:color w:val="auto"/>
        </w:rPr>
      </w:pPr>
    </w:p>
    <w:p>
      <w:pPr>
        <w:ind w:right="180" w:firstLine="417"/>
        <w:spacing w:after="0" w:line="286" w:lineRule="auto"/>
        <w:rPr>
          <w:sz w:val="20"/>
          <w:szCs w:val="20"/>
          <w:color w:val="auto"/>
        </w:rPr>
      </w:pPr>
      <w:r>
        <w:rPr>
          <w:rFonts w:ascii="Arial" w:cs="Arial" w:eastAsia="Arial" w:hAnsi="Arial"/>
          <w:sz w:val="17"/>
          <w:szCs w:val="17"/>
          <w:color w:val="auto"/>
        </w:rPr>
        <w:t>In addition, all named executive officers with outstanding unvested stock options are entitled to accelerated vesting of the stock options upon termination of employment due to death or disability.</w:t>
      </w:r>
    </w:p>
    <w:p>
      <w:pPr>
        <w:spacing w:after="0" w:line="29" w:lineRule="exact"/>
        <w:rPr>
          <w:sz w:val="20"/>
          <w:szCs w:val="20"/>
          <w:color w:val="auto"/>
        </w:rPr>
      </w:pPr>
    </w:p>
    <w:p>
      <w:pPr>
        <w:ind w:right="360" w:firstLine="417"/>
        <w:spacing w:after="0" w:line="266" w:lineRule="auto"/>
        <w:rPr>
          <w:sz w:val="20"/>
          <w:szCs w:val="20"/>
          <w:color w:val="auto"/>
        </w:rPr>
      </w:pPr>
      <w:r>
        <w:rPr>
          <w:rFonts w:ascii="Arial" w:cs="Arial" w:eastAsia="Arial" w:hAnsi="Arial"/>
          <w:sz w:val="17"/>
          <w:szCs w:val="17"/>
          <w:color w:val="auto"/>
        </w:rPr>
        <w:t>The following table presents the value of all outstanding restricted stock unit and restricted stock awards that would have been received by each named executive officer if either (1) a fundamental change took place on the last business day of our most recently completed fiscal year and all such awards had been accelerated in connection with such fundamental change or (2) a termination of the officer’s employment due to death or disability had taken place on the last business day of our most recently completed fiscal year. No named executive officers hold any stock options.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8"/>
              </w:rPr>
              <w:t>Early Vesting of</w:t>
            </w:r>
          </w:p>
        </w:tc>
        <w:tc>
          <w:tcPr>
            <w:tcW w:w="0" w:type="dxa"/>
            <w:vAlign w:val="bottom"/>
          </w:tcPr>
          <w:p>
            <w:pPr>
              <w:spacing w:after="0"/>
              <w:rPr>
                <w:sz w:val="1"/>
                <w:szCs w:val="1"/>
                <w:color w:val="auto"/>
              </w:rPr>
            </w:pPr>
          </w:p>
        </w:tc>
      </w:tr>
      <w:tr>
        <w:trPr>
          <w:trHeight w:val="143"/>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Performance-Based</w:t>
            </w:r>
          </w:p>
        </w:tc>
        <w:tc>
          <w:tcPr>
            <w:tcW w:w="0" w:type="dxa"/>
            <w:vAlign w:val="bottom"/>
          </w:tcPr>
          <w:p>
            <w:pPr>
              <w:spacing w:after="0"/>
              <w:rPr>
                <w:sz w:val="1"/>
                <w:szCs w:val="1"/>
                <w:color w:val="auto"/>
              </w:rPr>
            </w:pPr>
          </w:p>
        </w:tc>
      </w:tr>
      <w:tr>
        <w:trPr>
          <w:trHeight w:val="143"/>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Restricted Stock</w:t>
            </w:r>
          </w:p>
        </w:tc>
        <w:tc>
          <w:tcPr>
            <w:tcW w:w="0" w:type="dxa"/>
            <w:vAlign w:val="bottom"/>
          </w:tcPr>
          <w:p>
            <w:pPr>
              <w:spacing w:after="0"/>
              <w:rPr>
                <w:sz w:val="1"/>
                <w:szCs w:val="1"/>
                <w:color w:val="auto"/>
              </w:rPr>
            </w:pPr>
          </w:p>
        </w:tc>
      </w:tr>
      <w:tr>
        <w:trPr>
          <w:trHeight w:val="143"/>
        </w:trPr>
        <w:tc>
          <w:tcPr>
            <w:tcW w:w="8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4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Units/Restricted Stock</w:t>
            </w:r>
          </w:p>
        </w:tc>
        <w:tc>
          <w:tcPr>
            <w:tcW w:w="0" w:type="dxa"/>
            <w:vAlign w:val="bottom"/>
          </w:tcPr>
          <w:p>
            <w:pPr>
              <w:spacing w:after="0"/>
              <w:rPr>
                <w:sz w:val="1"/>
                <w:szCs w:val="1"/>
                <w:color w:val="auto"/>
              </w:rPr>
            </w:pPr>
          </w:p>
        </w:tc>
      </w:tr>
      <w:tr>
        <w:trPr>
          <w:trHeight w:val="186"/>
        </w:trPr>
        <w:tc>
          <w:tcPr>
            <w:tcW w:w="8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239"/>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Patrick H. Hawkins</w:t>
            </w:r>
          </w:p>
        </w:tc>
        <w:tc>
          <w:tcPr>
            <w:tcW w:w="2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881,412</w:t>
            </w:r>
          </w:p>
        </w:tc>
        <w:tc>
          <w:tcPr>
            <w:tcW w:w="0" w:type="dxa"/>
            <w:vAlign w:val="bottom"/>
          </w:tcPr>
          <w:p>
            <w:pPr>
              <w:spacing w:after="0"/>
              <w:rPr>
                <w:sz w:val="1"/>
                <w:szCs w:val="1"/>
                <w:color w:val="auto"/>
              </w:rPr>
            </w:pPr>
          </w:p>
        </w:tc>
      </w:tr>
      <w:tr>
        <w:trPr>
          <w:trHeight w:val="234"/>
        </w:trPr>
        <w:tc>
          <w:tcPr>
            <w:tcW w:w="8740" w:type="dxa"/>
            <w:vAlign w:val="bottom"/>
            <w:gridSpan w:val="2"/>
          </w:tcPr>
          <w:p>
            <w:pPr>
              <w:ind w:left="40"/>
              <w:spacing w:after="0"/>
              <w:rPr>
                <w:sz w:val="20"/>
                <w:szCs w:val="20"/>
                <w:color w:val="auto"/>
              </w:rPr>
            </w:pPr>
            <w:r>
              <w:rPr>
                <w:rFonts w:ascii="Arial" w:cs="Arial" w:eastAsia="Arial" w:hAnsi="Arial"/>
                <w:sz w:val="17"/>
                <w:szCs w:val="17"/>
                <w:color w:val="auto"/>
              </w:rPr>
              <w:t>Kathleen P. Pepski</w:t>
            </w:r>
          </w:p>
        </w:tc>
        <w:tc>
          <w:tcPr>
            <w:tcW w:w="2440" w:type="dxa"/>
            <w:vAlign w:val="bottom"/>
          </w:tcPr>
          <w:p>
            <w:pPr>
              <w:jc w:val="right"/>
              <w:ind w:right="22"/>
              <w:spacing w:after="0"/>
              <w:rPr>
                <w:sz w:val="20"/>
                <w:szCs w:val="20"/>
                <w:color w:val="auto"/>
              </w:rPr>
            </w:pPr>
            <w:r>
              <w:rPr>
                <w:rFonts w:ascii="Arial" w:cs="Arial" w:eastAsia="Arial" w:hAnsi="Arial"/>
                <w:sz w:val="17"/>
                <w:szCs w:val="17"/>
                <w:color w:val="auto"/>
              </w:rPr>
              <w:t>458,297</w:t>
            </w:r>
          </w:p>
        </w:tc>
        <w:tc>
          <w:tcPr>
            <w:tcW w:w="0" w:type="dxa"/>
            <w:vAlign w:val="bottom"/>
          </w:tcPr>
          <w:p>
            <w:pPr>
              <w:spacing w:after="0"/>
              <w:rPr>
                <w:sz w:val="1"/>
                <w:szCs w:val="1"/>
                <w:color w:val="auto"/>
              </w:rPr>
            </w:pPr>
          </w:p>
        </w:tc>
      </w:tr>
      <w:tr>
        <w:trPr>
          <w:trHeight w:val="26"/>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Richard G. Erstad</w:t>
            </w:r>
          </w:p>
        </w:tc>
        <w:tc>
          <w:tcPr>
            <w:tcW w:w="2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388,717</w:t>
            </w:r>
          </w:p>
        </w:tc>
        <w:tc>
          <w:tcPr>
            <w:tcW w:w="0" w:type="dxa"/>
            <w:vAlign w:val="bottom"/>
          </w:tcPr>
          <w:p>
            <w:pPr>
              <w:spacing w:after="0"/>
              <w:rPr>
                <w:sz w:val="1"/>
                <w:szCs w:val="1"/>
                <w:color w:val="auto"/>
              </w:rPr>
            </w:pPr>
          </w:p>
        </w:tc>
      </w:tr>
      <w:tr>
        <w:trPr>
          <w:trHeight w:val="234"/>
        </w:trPr>
        <w:tc>
          <w:tcPr>
            <w:tcW w:w="8740" w:type="dxa"/>
            <w:vAlign w:val="bottom"/>
            <w:gridSpan w:val="2"/>
          </w:tcPr>
          <w:p>
            <w:pPr>
              <w:ind w:left="40"/>
              <w:spacing w:after="0"/>
              <w:rPr>
                <w:sz w:val="20"/>
                <w:szCs w:val="20"/>
                <w:color w:val="auto"/>
              </w:rPr>
            </w:pPr>
            <w:r>
              <w:rPr>
                <w:rFonts w:ascii="Arial" w:cs="Arial" w:eastAsia="Arial" w:hAnsi="Arial"/>
                <w:sz w:val="17"/>
                <w:szCs w:val="17"/>
                <w:color w:val="auto"/>
              </w:rPr>
              <w:t>John R. Sevenich</w:t>
            </w:r>
          </w:p>
        </w:tc>
        <w:tc>
          <w:tcPr>
            <w:tcW w:w="2440" w:type="dxa"/>
            <w:vAlign w:val="bottom"/>
          </w:tcPr>
          <w:p>
            <w:pPr>
              <w:jc w:val="right"/>
              <w:ind w:right="22"/>
              <w:spacing w:after="0"/>
              <w:rPr>
                <w:sz w:val="20"/>
                <w:szCs w:val="20"/>
                <w:color w:val="auto"/>
              </w:rPr>
            </w:pPr>
            <w:r>
              <w:rPr>
                <w:rFonts w:ascii="Arial" w:cs="Arial" w:eastAsia="Arial" w:hAnsi="Arial"/>
                <w:sz w:val="17"/>
                <w:szCs w:val="17"/>
                <w:color w:val="auto"/>
              </w:rPr>
              <w:t>357,945</w:t>
            </w:r>
          </w:p>
        </w:tc>
        <w:tc>
          <w:tcPr>
            <w:tcW w:w="0" w:type="dxa"/>
            <w:vAlign w:val="bottom"/>
          </w:tcPr>
          <w:p>
            <w:pPr>
              <w:spacing w:after="0"/>
              <w:rPr>
                <w:sz w:val="1"/>
                <w:szCs w:val="1"/>
                <w:color w:val="auto"/>
              </w:rPr>
            </w:pPr>
          </w:p>
        </w:tc>
      </w:tr>
      <w:tr>
        <w:trPr>
          <w:trHeight w:val="26"/>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87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Thomas J. Keller</w:t>
            </w:r>
          </w:p>
        </w:tc>
        <w:tc>
          <w:tcPr>
            <w:tcW w:w="24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352,359</w:t>
            </w:r>
          </w:p>
        </w:tc>
        <w:tc>
          <w:tcPr>
            <w:tcW w:w="0" w:type="dxa"/>
            <w:vAlign w:val="bottom"/>
          </w:tcPr>
          <w:p>
            <w:pPr>
              <w:spacing w:after="0"/>
              <w:rPr>
                <w:sz w:val="1"/>
                <w:szCs w:val="1"/>
                <w:color w:val="auto"/>
              </w:rPr>
            </w:pPr>
          </w:p>
        </w:tc>
      </w:tr>
      <w:tr>
        <w:trPr>
          <w:trHeight w:val="26"/>
        </w:trPr>
        <w:tc>
          <w:tcPr>
            <w:tcW w:w="8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400" w:hanging="396"/>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determined by multiplying the number of shares for which vesting is accelerated by our closing stock price on March 31, 2017 ($49.00 per share).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for Fiscal 2017</w:t>
      </w:r>
    </w:p>
    <w:p>
      <w:pPr>
        <w:spacing w:after="0" w:line="97" w:lineRule="exact"/>
        <w:rPr>
          <w:sz w:val="20"/>
          <w:szCs w:val="20"/>
          <w:color w:val="auto"/>
        </w:rPr>
      </w:pPr>
    </w:p>
    <w:p>
      <w:pPr>
        <w:ind w:right="100" w:firstLine="417"/>
        <w:spacing w:after="0" w:line="266" w:lineRule="auto"/>
        <w:rPr>
          <w:sz w:val="20"/>
          <w:szCs w:val="20"/>
          <w:color w:val="auto"/>
        </w:rPr>
      </w:pPr>
      <w:r>
        <w:rPr>
          <w:rFonts w:ascii="Arial" w:cs="Arial" w:eastAsia="Arial" w:hAnsi="Arial"/>
          <w:sz w:val="17"/>
          <w:szCs w:val="17"/>
          <w:color w:val="auto"/>
        </w:rPr>
        <w:t>During fiscal 2017, each non-employee director earned an annual retainer of $40,000 (increased from $25,000 effective in the second quarter of fiscal 2017). Supplemental annual retainers were earned by our Chairman of the Board ($70,000), the chairs of our Audit and Compensation committees ($7,500 each) and the chair of our Governance and Nominating Committee ($5,000). Additionally, our non-employee directors received a meeting fee of $2,000 for each Board and committee meeting attended.</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26" w:right="239" w:bottom="1440" w:gutter="0" w:footer="0" w:header="0"/>
        </w:sectPr>
      </w:pPr>
    </w:p>
    <w:bookmarkStart w:id="22" w:name="page23"/>
    <w:bookmarkEnd w:id="22"/>
    <w:p>
      <w:pPr>
        <w:ind w:firstLine="417"/>
        <w:spacing w:after="0" w:line="263" w:lineRule="auto"/>
        <w:rPr>
          <w:sz w:val="20"/>
          <w:szCs w:val="20"/>
          <w:color w:val="auto"/>
        </w:rPr>
      </w:pPr>
      <w:r>
        <w:rPr>
          <w:rFonts w:ascii="Arial" w:cs="Arial" w:eastAsia="Arial" w:hAnsi="Arial"/>
          <w:sz w:val="17"/>
          <w:szCs w:val="17"/>
          <w:color w:val="auto"/>
        </w:rPr>
        <w:t>The Compensation Committee oversees our non-employee director compensation program, under which each non-employee director is entitled to receive a grant of restricted common stock with a value of $50,000 on the date of our annual meeting of shareholders at which the director is elected or reelected to the Board of Directors by our shareholders. The restricted stock vests one year from the date of issuance, subject to acceleration in the event of the director’s death or disability. For service during fiscal 2017, each non-employee director was granted 1,156 shares of restricted common stock on August 4, 2016, and these shares will vest in their entirety one year from their date of issuance.</w:t>
      </w:r>
    </w:p>
    <w:p>
      <w:pPr>
        <w:spacing w:after="0" w:line="49" w:lineRule="exact"/>
        <w:rPr>
          <w:sz w:val="20"/>
          <w:szCs w:val="20"/>
          <w:color w:val="auto"/>
        </w:rPr>
      </w:pPr>
    </w:p>
    <w:p>
      <w:pPr>
        <w:ind w:right="20" w:firstLine="417"/>
        <w:spacing w:after="0" w:line="286" w:lineRule="auto"/>
        <w:rPr>
          <w:sz w:val="20"/>
          <w:szCs w:val="20"/>
          <w:color w:val="auto"/>
        </w:rPr>
      </w:pPr>
      <w:r>
        <w:rPr>
          <w:rFonts w:ascii="Arial" w:cs="Arial" w:eastAsia="Arial" w:hAnsi="Arial"/>
          <w:sz w:val="17"/>
          <w:szCs w:val="17"/>
          <w:color w:val="auto"/>
        </w:rPr>
        <w:t>The following table shows, for each of our current and former non-employee directors, information concerning annual compensation earned for services in all capacities during fiscal 2017:</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Fees Earned</w:t>
            </w:r>
          </w:p>
        </w:tc>
        <w:tc>
          <w:tcPr>
            <w:tcW w:w="16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Stock</w:t>
            </w:r>
          </w:p>
        </w:tc>
        <w:tc>
          <w:tcPr>
            <w:tcW w:w="24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All Other</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5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2"/>
              </w:rPr>
              <w:t>or Paid</w:t>
            </w:r>
          </w:p>
        </w:tc>
        <w:tc>
          <w:tcPr>
            <w:tcW w:w="160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3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6"/>
        </w:trPr>
        <w:tc>
          <w:tcPr>
            <w:tcW w:w="4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Cash ($)</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Awards ($)(a)</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Compensation ($)</w:t>
            </w:r>
          </w:p>
        </w:tc>
        <w:tc>
          <w:tcPr>
            <w:tcW w:w="6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James A. Faulconbridge</w:t>
            </w: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65,250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49,985</w:t>
            </w:r>
          </w:p>
        </w:tc>
        <w:tc>
          <w:tcPr>
            <w:tcW w:w="12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115,235</w:t>
            </w:r>
          </w:p>
        </w:tc>
        <w:tc>
          <w:tcPr>
            <w:tcW w:w="0" w:type="dxa"/>
            <w:vAlign w:val="bottom"/>
          </w:tcPr>
          <w:p>
            <w:pPr>
              <w:spacing w:after="0"/>
              <w:rPr>
                <w:sz w:val="1"/>
                <w:szCs w:val="1"/>
                <w:color w:val="auto"/>
              </w:rPr>
            </w:pPr>
          </w:p>
        </w:tc>
      </w:tr>
      <w:tr>
        <w:trPr>
          <w:trHeight w:val="234"/>
        </w:trPr>
        <w:tc>
          <w:tcPr>
            <w:tcW w:w="4300" w:type="dxa"/>
            <w:vAlign w:val="bottom"/>
            <w:gridSpan w:val="2"/>
          </w:tcPr>
          <w:p>
            <w:pPr>
              <w:ind w:left="40"/>
              <w:spacing w:after="0"/>
              <w:rPr>
                <w:sz w:val="20"/>
                <w:szCs w:val="20"/>
                <w:color w:val="auto"/>
              </w:rPr>
            </w:pPr>
            <w:r>
              <w:rPr>
                <w:rFonts w:ascii="Arial" w:cs="Arial" w:eastAsia="Arial" w:hAnsi="Arial"/>
                <w:sz w:val="17"/>
                <w:szCs w:val="17"/>
                <w:color w:val="auto"/>
              </w:rPr>
              <w:t>Duane M. Jergenson</w:t>
            </w: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54,250</w:t>
            </w:r>
          </w:p>
        </w:tc>
        <w:tc>
          <w:tcPr>
            <w:tcW w:w="1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49,985</w:t>
            </w:r>
          </w:p>
        </w:tc>
        <w:tc>
          <w:tcPr>
            <w:tcW w:w="120" w:type="dxa"/>
            <w:vAlign w:val="bottom"/>
          </w:tcPr>
          <w:p>
            <w:pPr>
              <w:spacing w:after="0"/>
              <w:rPr>
                <w:sz w:val="20"/>
                <w:szCs w:val="20"/>
                <w:color w:val="auto"/>
              </w:rPr>
            </w:pPr>
          </w:p>
        </w:tc>
        <w:tc>
          <w:tcPr>
            <w:tcW w:w="2460" w:type="dxa"/>
            <w:vAlign w:val="bottom"/>
            <w:gridSpan w:val="2"/>
          </w:tcPr>
          <w:p>
            <w:pPr>
              <w:ind w:left="15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104,235</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John S. McKeon</w:t>
            </w: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138,250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49,985</w:t>
            </w:r>
          </w:p>
        </w:tc>
        <w:tc>
          <w:tcPr>
            <w:tcW w:w="12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188,235</w:t>
            </w:r>
          </w:p>
        </w:tc>
        <w:tc>
          <w:tcPr>
            <w:tcW w:w="0" w:type="dxa"/>
            <w:vAlign w:val="bottom"/>
          </w:tcPr>
          <w:p>
            <w:pPr>
              <w:spacing w:after="0"/>
              <w:rPr>
                <w:sz w:val="1"/>
                <w:szCs w:val="1"/>
                <w:color w:val="auto"/>
              </w:rPr>
            </w:pPr>
          </w:p>
        </w:tc>
      </w:tr>
      <w:tr>
        <w:trPr>
          <w:trHeight w:val="234"/>
        </w:trPr>
        <w:tc>
          <w:tcPr>
            <w:tcW w:w="4300" w:type="dxa"/>
            <w:vAlign w:val="bottom"/>
            <w:gridSpan w:val="2"/>
          </w:tcPr>
          <w:p>
            <w:pPr>
              <w:ind w:left="40"/>
              <w:spacing w:after="0"/>
              <w:rPr>
                <w:sz w:val="20"/>
                <w:szCs w:val="20"/>
                <w:color w:val="auto"/>
              </w:rPr>
            </w:pPr>
            <w:r>
              <w:rPr>
                <w:rFonts w:ascii="Arial" w:cs="Arial" w:eastAsia="Arial" w:hAnsi="Arial"/>
                <w:sz w:val="17"/>
                <w:szCs w:val="17"/>
                <w:color w:val="auto"/>
              </w:rPr>
              <w:t>Daryl I. Skaar</w:t>
            </w: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62,250</w:t>
            </w:r>
          </w:p>
        </w:tc>
        <w:tc>
          <w:tcPr>
            <w:tcW w:w="1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49,985</w:t>
            </w:r>
          </w:p>
        </w:tc>
        <w:tc>
          <w:tcPr>
            <w:tcW w:w="120" w:type="dxa"/>
            <w:vAlign w:val="bottom"/>
          </w:tcPr>
          <w:p>
            <w:pPr>
              <w:spacing w:after="0"/>
              <w:rPr>
                <w:sz w:val="20"/>
                <w:szCs w:val="20"/>
                <w:color w:val="auto"/>
              </w:rPr>
            </w:pPr>
          </w:p>
        </w:tc>
        <w:tc>
          <w:tcPr>
            <w:tcW w:w="2460" w:type="dxa"/>
            <w:vAlign w:val="bottom"/>
            <w:gridSpan w:val="2"/>
          </w:tcPr>
          <w:p>
            <w:pPr>
              <w:ind w:left="15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112,235</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James T. Thompson</w:t>
            </w: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67,750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49,985</w:t>
            </w:r>
          </w:p>
        </w:tc>
        <w:tc>
          <w:tcPr>
            <w:tcW w:w="12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117,735</w:t>
            </w:r>
          </w:p>
        </w:tc>
        <w:tc>
          <w:tcPr>
            <w:tcW w:w="0" w:type="dxa"/>
            <w:vAlign w:val="bottom"/>
          </w:tcPr>
          <w:p>
            <w:pPr>
              <w:spacing w:after="0"/>
              <w:rPr>
                <w:sz w:val="1"/>
                <w:szCs w:val="1"/>
                <w:color w:val="auto"/>
              </w:rPr>
            </w:pPr>
          </w:p>
        </w:tc>
      </w:tr>
      <w:tr>
        <w:trPr>
          <w:trHeight w:val="234"/>
        </w:trPr>
        <w:tc>
          <w:tcPr>
            <w:tcW w:w="4300" w:type="dxa"/>
            <w:vAlign w:val="bottom"/>
            <w:gridSpan w:val="2"/>
          </w:tcPr>
          <w:p>
            <w:pPr>
              <w:ind w:left="40"/>
              <w:spacing w:after="0"/>
              <w:rPr>
                <w:sz w:val="20"/>
                <w:szCs w:val="20"/>
                <w:color w:val="auto"/>
              </w:rPr>
            </w:pPr>
            <w:r>
              <w:rPr>
                <w:rFonts w:ascii="Arial" w:cs="Arial" w:eastAsia="Arial" w:hAnsi="Arial"/>
                <w:sz w:val="17"/>
                <w:szCs w:val="17"/>
                <w:color w:val="auto"/>
              </w:rPr>
              <w:t>Jeffrey L. Wright</w:t>
            </w: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75,750</w:t>
            </w:r>
          </w:p>
        </w:tc>
        <w:tc>
          <w:tcPr>
            <w:tcW w:w="1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49,985</w:t>
            </w:r>
          </w:p>
        </w:tc>
        <w:tc>
          <w:tcPr>
            <w:tcW w:w="120" w:type="dxa"/>
            <w:vAlign w:val="bottom"/>
          </w:tcPr>
          <w:p>
            <w:pPr>
              <w:spacing w:after="0"/>
              <w:rPr>
                <w:sz w:val="20"/>
                <w:szCs w:val="20"/>
                <w:color w:val="auto"/>
              </w:rPr>
            </w:pPr>
          </w:p>
        </w:tc>
        <w:tc>
          <w:tcPr>
            <w:tcW w:w="2460" w:type="dxa"/>
            <w:vAlign w:val="bottom"/>
            <w:gridSpan w:val="2"/>
          </w:tcPr>
          <w:p>
            <w:pPr>
              <w:ind w:left="15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125,735</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Mary J. Schumacher</w:t>
            </w: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62,250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49,985</w:t>
            </w:r>
          </w:p>
        </w:tc>
        <w:tc>
          <w:tcPr>
            <w:tcW w:w="12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ind w:left="15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112,235</w:t>
            </w:r>
          </w:p>
        </w:tc>
        <w:tc>
          <w:tcPr>
            <w:tcW w:w="0" w:type="dxa"/>
            <w:vAlign w:val="bottom"/>
          </w:tcPr>
          <w:p>
            <w:pPr>
              <w:spacing w:after="0"/>
              <w:rPr>
                <w:sz w:val="1"/>
                <w:szCs w:val="1"/>
                <w:color w:val="auto"/>
              </w:rPr>
            </w:pPr>
          </w:p>
        </w:tc>
      </w:tr>
      <w:tr>
        <w:trPr>
          <w:trHeight w:val="26"/>
        </w:trPr>
        <w:tc>
          <w:tcPr>
            <w:tcW w:w="4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400" w:right="180" w:hanging="396"/>
        <w:spacing w:after="0" w:line="306" w:lineRule="auto"/>
        <w:tabs>
          <w:tab w:leader="none" w:pos="4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On August 4, 2016, each non-employee Board member received 1,156 shares of restricted stock as part of his or her retainer pursuant to the 2010 Plan. The amounts shown in this column represent the grant-date fair value of each of the awards computed in accordance with FASB ASC Topic 718. See Note 8, </w:t>
      </w:r>
      <w:r>
        <w:rPr>
          <w:rFonts w:ascii="Arial" w:cs="Arial" w:eastAsia="Arial" w:hAnsi="Arial"/>
          <w:sz w:val="15"/>
          <w:szCs w:val="15"/>
          <w:i w:val="1"/>
          <w:iCs w:val="1"/>
          <w:color w:val="auto"/>
        </w:rPr>
        <w:t>Share-Based Compensation</w:t>
      </w:r>
      <w:r>
        <w:rPr>
          <w:rFonts w:ascii="Arial" w:cs="Arial" w:eastAsia="Arial" w:hAnsi="Arial"/>
          <w:sz w:val="15"/>
          <w:szCs w:val="15"/>
          <w:color w:val="auto"/>
        </w:rPr>
        <w:t>, to our audited financial statements included in our Annual Report on Form 10-K for fiscal 2017 for a description of our</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for these awards and the assumptions used in valuing the awards. All of these shares vest in full on August 4, 2017, are eligible to receive dividends paid on our common stock and were the only shares of restricted stock held by each director at the end of our most recently completed fiscal year.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97" w:lineRule="exact"/>
        <w:rPr>
          <w:sz w:val="20"/>
          <w:szCs w:val="20"/>
          <w:color w:val="auto"/>
        </w:rPr>
      </w:pPr>
    </w:p>
    <w:p>
      <w:pPr>
        <w:ind w:right="20" w:firstLine="417"/>
        <w:spacing w:after="0" w:line="283" w:lineRule="auto"/>
        <w:rPr>
          <w:sz w:val="20"/>
          <w:szCs w:val="20"/>
          <w:color w:val="auto"/>
        </w:rPr>
      </w:pPr>
      <w:r>
        <w:rPr>
          <w:rFonts w:ascii="Arial" w:cs="Arial" w:eastAsia="Arial" w:hAnsi="Arial"/>
          <w:sz w:val="16"/>
          <w:szCs w:val="16"/>
          <w:color w:val="auto"/>
        </w:rPr>
        <w:t>All decisions regarding compensation of our executive officers during fiscal 2017 were made by the Compensation Committee of our Board of Directors. During fiscal 2017, the following directors served on the Compensation Committee: Duane M. Jergenson, James T. Thompson, Daryl I. Skaar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EQUITY COMPENSATION PLAN INFORMATION</w:t>
      </w:r>
    </w:p>
    <w:p>
      <w:pPr>
        <w:spacing w:after="0" w:line="97" w:lineRule="exact"/>
        <w:rPr>
          <w:sz w:val="20"/>
          <w:szCs w:val="20"/>
          <w:color w:val="auto"/>
        </w:rPr>
      </w:pPr>
    </w:p>
    <w:p>
      <w:pPr>
        <w:ind w:right="20" w:firstLine="417"/>
        <w:spacing w:after="0" w:line="286" w:lineRule="auto"/>
        <w:rPr>
          <w:sz w:val="20"/>
          <w:szCs w:val="20"/>
          <w:color w:val="auto"/>
        </w:rPr>
      </w:pPr>
      <w:r>
        <w:rPr>
          <w:rFonts w:ascii="Arial" w:cs="Arial" w:eastAsia="Arial" w:hAnsi="Arial"/>
          <w:sz w:val="17"/>
          <w:szCs w:val="17"/>
          <w:color w:val="auto"/>
        </w:rPr>
        <w:t>The following table provides information about shares that may be issued under the Hawkins, Inc. 2010 Omnibus Incentive Plan (the “2010 Plan”) as of April 2, 2017. We do not have any other equity compensation plans required to be included in this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left="251"/>
              <w:spacing w:after="0"/>
              <w:rPr>
                <w:sz w:val="20"/>
                <w:szCs w:val="20"/>
                <w:color w:val="auto"/>
              </w:rPr>
            </w:pPr>
            <w:r>
              <w:rPr>
                <w:rFonts w:ascii="Arial" w:cs="Arial" w:eastAsia="Arial" w:hAnsi="Arial"/>
                <w:sz w:val="14"/>
                <w:szCs w:val="14"/>
                <w:b w:val="1"/>
                <w:bCs w:val="1"/>
                <w:color w:val="auto"/>
                <w:w w:val="91"/>
              </w:rPr>
              <w:t>Number of</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43"/>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51"/>
              <w:spacing w:after="0" w:line="143" w:lineRule="exact"/>
              <w:rPr>
                <w:sz w:val="20"/>
                <w:szCs w:val="20"/>
                <w:color w:val="auto"/>
              </w:rPr>
            </w:pPr>
            <w:r>
              <w:rPr>
                <w:rFonts w:ascii="Arial" w:cs="Arial" w:eastAsia="Arial" w:hAnsi="Arial"/>
                <w:sz w:val="14"/>
                <w:szCs w:val="14"/>
                <w:b w:val="1"/>
                <w:bCs w:val="1"/>
                <w:color w:val="auto"/>
                <w:w w:val="86"/>
              </w:rPr>
              <w:t>Securities to Be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ind w:left="251"/>
              <w:spacing w:after="0"/>
              <w:rPr>
                <w:sz w:val="20"/>
                <w:szCs w:val="20"/>
                <w:color w:val="auto"/>
              </w:rPr>
            </w:pPr>
            <w:r>
              <w:rPr>
                <w:rFonts w:ascii="Arial" w:cs="Arial" w:eastAsia="Arial" w:hAnsi="Arial"/>
                <w:sz w:val="14"/>
                <w:szCs w:val="14"/>
                <w:b w:val="1"/>
                <w:bCs w:val="1"/>
                <w:color w:val="auto"/>
                <w:w w:val="88"/>
              </w:rPr>
              <w:t>Weighted 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51"/>
              <w:spacing w:after="0" w:line="143" w:lineRule="exact"/>
              <w:rPr>
                <w:sz w:val="20"/>
                <w:szCs w:val="20"/>
                <w:color w:val="auto"/>
              </w:rPr>
            </w:pPr>
            <w:r>
              <w:rPr>
                <w:rFonts w:ascii="Arial" w:cs="Arial" w:eastAsia="Arial" w:hAnsi="Arial"/>
                <w:sz w:val="14"/>
                <w:szCs w:val="14"/>
                <w:b w:val="1"/>
                <w:bCs w:val="1"/>
                <w:color w:val="auto"/>
                <w:w w:val="87"/>
              </w:rPr>
              <w:t>Issued upon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w w:val="90"/>
              </w:rPr>
              <w:t>Remaining Available for</w:t>
            </w:r>
          </w:p>
        </w:tc>
        <w:tc>
          <w:tcPr>
            <w:tcW w:w="0" w:type="dxa"/>
            <w:vAlign w:val="bottom"/>
          </w:tcPr>
          <w:p>
            <w:pPr>
              <w:spacing w:after="0"/>
              <w:rPr>
                <w:sz w:val="1"/>
                <w:szCs w:val="1"/>
                <w:color w:val="auto"/>
              </w:rPr>
            </w:pPr>
          </w:p>
        </w:tc>
      </w:tr>
      <w:tr>
        <w:trPr>
          <w:trHeight w:val="143"/>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51"/>
              <w:spacing w:after="0" w:line="143" w:lineRule="exact"/>
              <w:rPr>
                <w:sz w:val="20"/>
                <w:szCs w:val="20"/>
                <w:color w:val="auto"/>
              </w:rPr>
            </w:pPr>
            <w:r>
              <w:rPr>
                <w:rFonts w:ascii="Arial" w:cs="Arial" w:eastAsia="Arial" w:hAnsi="Arial"/>
                <w:sz w:val="14"/>
                <w:szCs w:val="14"/>
                <w:b w:val="1"/>
                <w:bCs w:val="1"/>
                <w:color w:val="auto"/>
                <w:w w:val="85"/>
              </w:rPr>
              <w:t>Exercise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51"/>
              <w:spacing w:after="0" w:line="143" w:lineRule="exact"/>
              <w:rPr>
                <w:sz w:val="20"/>
                <w:szCs w:val="20"/>
                <w:color w:val="auto"/>
              </w:rPr>
            </w:pPr>
            <w:r>
              <w:rPr>
                <w:rFonts w:ascii="Arial" w:cs="Arial" w:eastAsia="Arial" w:hAnsi="Arial"/>
                <w:sz w:val="14"/>
                <w:szCs w:val="14"/>
                <w:b w:val="1"/>
                <w:bCs w:val="1"/>
                <w:color w:val="auto"/>
                <w:w w:val="88"/>
              </w:rPr>
              <w:t>Exercise Price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w w:val="89"/>
              </w:rPr>
              <w:t>Future Issuance Under</w:t>
            </w:r>
          </w:p>
        </w:tc>
        <w:tc>
          <w:tcPr>
            <w:tcW w:w="0" w:type="dxa"/>
            <w:vAlign w:val="bottom"/>
          </w:tcPr>
          <w:p>
            <w:pPr>
              <w:spacing w:after="0"/>
              <w:rPr>
                <w:sz w:val="1"/>
                <w:szCs w:val="1"/>
                <w:color w:val="auto"/>
              </w:rPr>
            </w:pPr>
          </w:p>
        </w:tc>
      </w:tr>
      <w:tr>
        <w:trPr>
          <w:trHeight w:val="143"/>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71"/>
              <w:spacing w:after="0" w:line="143" w:lineRule="exact"/>
              <w:rPr>
                <w:sz w:val="20"/>
                <w:szCs w:val="20"/>
                <w:color w:val="auto"/>
              </w:rPr>
            </w:pPr>
            <w:r>
              <w:rPr>
                <w:rFonts w:ascii="Arial" w:cs="Arial" w:eastAsia="Arial" w:hAnsi="Arial"/>
                <w:sz w:val="14"/>
                <w:szCs w:val="14"/>
                <w:b w:val="1"/>
                <w:bCs w:val="1"/>
                <w:color w:val="auto"/>
                <w:w w:val="89"/>
              </w:rPr>
              <w:t>Outstanding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71"/>
              <w:spacing w:after="0" w:line="143" w:lineRule="exact"/>
              <w:rPr>
                <w:sz w:val="20"/>
                <w:szCs w:val="20"/>
                <w:color w:val="auto"/>
              </w:rPr>
            </w:pPr>
            <w:r>
              <w:rPr>
                <w:rFonts w:ascii="Arial" w:cs="Arial" w:eastAsia="Arial" w:hAnsi="Arial"/>
                <w:sz w:val="14"/>
                <w:szCs w:val="14"/>
                <w:b w:val="1"/>
                <w:bCs w:val="1"/>
                <w:color w:val="auto"/>
                <w:w w:val="89"/>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w w:val="88"/>
              </w:rPr>
              <w:t>Equity Compensation Plans</w:t>
            </w:r>
          </w:p>
        </w:tc>
        <w:tc>
          <w:tcPr>
            <w:tcW w:w="0" w:type="dxa"/>
            <w:vAlign w:val="bottom"/>
          </w:tcPr>
          <w:p>
            <w:pPr>
              <w:spacing w:after="0"/>
              <w:rPr>
                <w:sz w:val="1"/>
                <w:szCs w:val="1"/>
                <w:color w:val="auto"/>
              </w:rPr>
            </w:pPr>
          </w:p>
        </w:tc>
      </w:tr>
      <w:tr>
        <w:trPr>
          <w:trHeight w:val="143"/>
        </w:trPr>
        <w:tc>
          <w:tcPr>
            <w:tcW w:w="4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480" w:type="dxa"/>
            <w:vAlign w:val="bottom"/>
          </w:tcPr>
          <w:p>
            <w:pPr>
              <w:jc w:val="center"/>
              <w:ind w:left="251"/>
              <w:spacing w:after="0" w:line="143" w:lineRule="exact"/>
              <w:rPr>
                <w:sz w:val="20"/>
                <w:szCs w:val="20"/>
                <w:color w:val="auto"/>
              </w:rPr>
            </w:pPr>
            <w:r>
              <w:rPr>
                <w:rFonts w:ascii="Arial" w:cs="Arial" w:eastAsia="Arial" w:hAnsi="Arial"/>
                <w:sz w:val="14"/>
                <w:szCs w:val="14"/>
                <w:b w:val="1"/>
                <w:bCs w:val="1"/>
                <w:color w:val="auto"/>
                <w:w w:val="92"/>
              </w:rPr>
              <w:t>Options, Warrants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51"/>
              <w:spacing w:after="0" w:line="143" w:lineRule="exact"/>
              <w:rPr>
                <w:sz w:val="20"/>
                <w:szCs w:val="20"/>
                <w:color w:val="auto"/>
              </w:rPr>
            </w:pPr>
            <w:r>
              <w:rPr>
                <w:rFonts w:ascii="Arial" w:cs="Arial" w:eastAsia="Arial" w:hAnsi="Arial"/>
                <w:sz w:val="14"/>
                <w:szCs w:val="14"/>
                <w:b w:val="1"/>
                <w:bCs w:val="1"/>
                <w:color w:val="auto"/>
                <w:w w:val="92"/>
              </w:rPr>
              <w:t>Options, Warrants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w w:val="86"/>
              </w:rPr>
              <w:t>(excluding securities</w:t>
            </w:r>
          </w:p>
        </w:tc>
        <w:tc>
          <w:tcPr>
            <w:tcW w:w="0" w:type="dxa"/>
            <w:vAlign w:val="bottom"/>
          </w:tcPr>
          <w:p>
            <w:pPr>
              <w:spacing w:after="0"/>
              <w:rPr>
                <w:sz w:val="1"/>
                <w:szCs w:val="1"/>
                <w:color w:val="auto"/>
              </w:rPr>
            </w:pPr>
          </w:p>
        </w:tc>
      </w:tr>
      <w:tr>
        <w:trPr>
          <w:trHeight w:val="186"/>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ind w:left="251"/>
              <w:spacing w:after="0"/>
              <w:rPr>
                <w:sz w:val="20"/>
                <w:szCs w:val="20"/>
                <w:color w:val="auto"/>
              </w:rPr>
            </w:pPr>
            <w:r>
              <w:rPr>
                <w:rFonts w:ascii="Arial" w:cs="Arial" w:eastAsia="Arial" w:hAnsi="Arial"/>
                <w:sz w:val="14"/>
                <w:szCs w:val="14"/>
                <w:b w:val="1"/>
                <w:bCs w:val="1"/>
                <w:color w:val="auto"/>
                <w:w w:val="88"/>
              </w:rPr>
              <w:t>and Rights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251"/>
              <w:spacing w:after="0"/>
              <w:rPr>
                <w:sz w:val="20"/>
                <w:szCs w:val="20"/>
                <w:color w:val="auto"/>
              </w:rPr>
            </w:pPr>
            <w:r>
              <w:rPr>
                <w:rFonts w:ascii="Arial" w:cs="Arial" w:eastAsia="Arial" w:hAnsi="Arial"/>
                <w:sz w:val="14"/>
                <w:szCs w:val="14"/>
                <w:b w:val="1"/>
                <w:bCs w:val="1"/>
                <w:color w:val="auto"/>
                <w:w w:val="89"/>
              </w:rPr>
              <w:t>and Rights ($)</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reflected in the first column)</w:t>
            </w: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Equity compensation plans approved by security holders(a)</w:t>
            </w:r>
          </w:p>
        </w:tc>
        <w:tc>
          <w:tcPr>
            <w:tcW w:w="1480" w:type="dxa"/>
            <w:vAlign w:val="bottom"/>
            <w:shd w:val="clear" w:color="auto" w:fill="CCEEFF"/>
          </w:tcPr>
          <w:p>
            <w:pPr>
              <w:spacing w:after="0"/>
              <w:rPr>
                <w:sz w:val="20"/>
                <w:szCs w:val="20"/>
                <w:color w:val="auto"/>
              </w:rPr>
            </w:pPr>
          </w:p>
        </w:tc>
        <w:tc>
          <w:tcPr>
            <w:tcW w:w="19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34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935,432   (b)</w:t>
            </w:r>
          </w:p>
        </w:tc>
        <w:tc>
          <w:tcPr>
            <w:tcW w:w="0" w:type="dxa"/>
            <w:vAlign w:val="bottom"/>
          </w:tcPr>
          <w:p>
            <w:pPr>
              <w:spacing w:after="0"/>
              <w:rPr>
                <w:sz w:val="1"/>
                <w:szCs w:val="1"/>
                <w:color w:val="auto"/>
              </w:rPr>
            </w:pPr>
          </w:p>
        </w:tc>
      </w:tr>
      <w:tr>
        <w:trPr>
          <w:trHeight w:val="26"/>
        </w:trPr>
        <w:tc>
          <w:tcPr>
            <w:tcW w:w="4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400" w:right="180" w:hanging="396"/>
        <w:spacing w:after="0" w:line="286" w:lineRule="auto"/>
        <w:tabs>
          <w:tab w:leader="none" w:pos="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2010 Plan allows awards in the form of restricted or unrestricted stock, incentive or non-statutory stock options, stock appreciation rights, performance-based restricted stock units or other stock-based awards.</w:t>
      </w:r>
    </w:p>
    <w:p>
      <w:pPr>
        <w:spacing w:after="0" w:line="54" w:lineRule="exact"/>
        <w:rPr>
          <w:rFonts w:ascii="Arial" w:cs="Arial" w:eastAsia="Arial" w:hAnsi="Arial"/>
          <w:sz w:val="17"/>
          <w:szCs w:val="17"/>
          <w:color w:val="auto"/>
        </w:rPr>
      </w:pPr>
    </w:p>
    <w:p>
      <w:pPr>
        <w:ind w:left="400" w:right="20" w:hanging="396"/>
        <w:spacing w:after="0" w:line="266" w:lineRule="auto"/>
        <w:tabs>
          <w:tab w:leader="none" w:pos="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securities available for future issuance under the 2010 Plan. There is no limit on the portion of the shares of common stock available for distribution under this plan that may be awarded in the form of restricted or unrestricted stock. Also includes 113,751 shares available for issuance under the Employee Stock Purchase Plan. Does not include 35,075 shares of restricted stock that were issuable upon vesting of outstanding performance-based restricted stock unit awards as of April 2, 2017.</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7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SECURITY OWNERSHIP OF MANAGEMENT AND BENEFICIAL OWNERSHIP</w:t>
      </w:r>
    </w:p>
    <w:p>
      <w:pPr>
        <w:spacing w:after="0" w:line="97" w:lineRule="exact"/>
        <w:rPr>
          <w:sz w:val="20"/>
          <w:szCs w:val="20"/>
          <w:color w:val="auto"/>
        </w:rPr>
      </w:pPr>
    </w:p>
    <w:p>
      <w:pPr>
        <w:ind w:right="40" w:firstLine="417"/>
        <w:spacing w:after="0" w:line="295" w:lineRule="auto"/>
        <w:rPr>
          <w:sz w:val="20"/>
          <w:szCs w:val="20"/>
          <w:color w:val="auto"/>
        </w:rPr>
      </w:pPr>
      <w:r>
        <w:rPr>
          <w:rFonts w:ascii="Arial" w:cs="Arial" w:eastAsia="Arial" w:hAnsi="Arial"/>
          <w:sz w:val="16"/>
          <w:szCs w:val="16"/>
          <w:color w:val="auto"/>
        </w:rPr>
        <w:t>The following table contains information as of June 12, 2017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principal executive offices.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Shares</w:t>
            </w:r>
          </w:p>
        </w:tc>
        <w:tc>
          <w:tcPr>
            <w:tcW w:w="1100" w:type="dxa"/>
            <w:vAlign w:val="bottom"/>
          </w:tcPr>
          <w:p>
            <w:pPr>
              <w:spacing w:after="0"/>
              <w:rPr>
                <w:sz w:val="14"/>
                <w:szCs w:val="14"/>
                <w:color w:val="auto"/>
              </w:rPr>
            </w:pPr>
          </w:p>
        </w:tc>
        <w:tc>
          <w:tcPr>
            <w:tcW w:w="15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3"/>
        </w:trPr>
        <w:tc>
          <w:tcPr>
            <w:tcW w:w="6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tcPr>
          <w:p>
            <w:pPr>
              <w:spacing w:after="0"/>
              <w:rPr>
                <w:sz w:val="12"/>
                <w:szCs w:val="12"/>
                <w:color w:val="auto"/>
              </w:rPr>
            </w:pPr>
          </w:p>
        </w:tc>
        <w:tc>
          <w:tcPr>
            <w:tcW w:w="1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Beneficially</w:t>
            </w:r>
          </w:p>
        </w:tc>
        <w:tc>
          <w:tcPr>
            <w:tcW w:w="1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7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Owned (a)</w:t>
            </w:r>
          </w:p>
        </w:tc>
        <w:tc>
          <w:tcPr>
            <w:tcW w:w="1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3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James A. Faulconbridge</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11,250</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w:t>
            </w: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7"/>
                <w:szCs w:val="17"/>
                <w:color w:val="auto"/>
              </w:rPr>
              <w:t>Patrick H. Hawkins</w:t>
            </w:r>
          </w:p>
        </w:tc>
        <w:tc>
          <w:tcPr>
            <w:tcW w:w="1900" w:type="dxa"/>
            <w:vAlign w:val="bottom"/>
            <w:gridSpan w:val="2"/>
          </w:tcPr>
          <w:p>
            <w:pPr>
              <w:jc w:val="right"/>
              <w:ind w:right="26"/>
              <w:spacing w:after="0"/>
              <w:rPr>
                <w:sz w:val="20"/>
                <w:szCs w:val="20"/>
                <w:color w:val="auto"/>
              </w:rPr>
            </w:pPr>
            <w:r>
              <w:rPr>
                <w:rFonts w:ascii="Arial" w:cs="Arial" w:eastAsia="Arial" w:hAnsi="Arial"/>
                <w:sz w:val="17"/>
                <w:szCs w:val="17"/>
                <w:color w:val="auto"/>
              </w:rPr>
              <w:t>78,072</w:t>
            </w:r>
          </w:p>
        </w:tc>
        <w:tc>
          <w:tcPr>
            <w:tcW w:w="1100" w:type="dxa"/>
            <w:vAlign w:val="bottom"/>
          </w:tcPr>
          <w:p>
            <w:pPr>
              <w:ind w:left="120"/>
              <w:spacing w:after="0"/>
              <w:rPr>
                <w:sz w:val="20"/>
                <w:szCs w:val="20"/>
                <w:color w:val="auto"/>
              </w:rPr>
            </w:pPr>
            <w:r>
              <w:rPr>
                <w:rFonts w:ascii="Arial" w:cs="Arial" w:eastAsia="Arial" w:hAnsi="Arial"/>
                <w:sz w:val="17"/>
                <w:szCs w:val="17"/>
                <w:color w:val="auto"/>
              </w:rPr>
              <w:t>(c)(d)</w:t>
            </w: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Duane M. Jergenson</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31,271</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w:t>
            </w: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7"/>
                <w:szCs w:val="17"/>
                <w:color w:val="auto"/>
              </w:rPr>
              <w:t>John S. McKeon</w:t>
            </w:r>
          </w:p>
        </w:tc>
        <w:tc>
          <w:tcPr>
            <w:tcW w:w="1900" w:type="dxa"/>
            <w:vAlign w:val="bottom"/>
            <w:gridSpan w:val="2"/>
          </w:tcPr>
          <w:p>
            <w:pPr>
              <w:jc w:val="right"/>
              <w:ind w:right="26"/>
              <w:spacing w:after="0"/>
              <w:rPr>
                <w:sz w:val="20"/>
                <w:szCs w:val="20"/>
                <w:color w:val="auto"/>
              </w:rPr>
            </w:pPr>
            <w:r>
              <w:rPr>
                <w:rFonts w:ascii="Arial" w:cs="Arial" w:eastAsia="Arial" w:hAnsi="Arial"/>
                <w:sz w:val="17"/>
                <w:szCs w:val="17"/>
                <w:color w:val="auto"/>
              </w:rPr>
              <w:t>41,503</w:t>
            </w:r>
          </w:p>
        </w:tc>
        <w:tc>
          <w:tcPr>
            <w:tcW w:w="1100" w:type="dxa"/>
            <w:vAlign w:val="bottom"/>
          </w:tcPr>
          <w:p>
            <w:pPr>
              <w:ind w:left="120"/>
              <w:spacing w:after="0"/>
              <w:rPr>
                <w:sz w:val="20"/>
                <w:szCs w:val="20"/>
                <w:color w:val="auto"/>
              </w:rPr>
            </w:pPr>
            <w:r>
              <w:rPr>
                <w:rFonts w:ascii="Arial" w:cs="Arial" w:eastAsia="Arial" w:hAnsi="Arial"/>
                <w:sz w:val="17"/>
                <w:szCs w:val="17"/>
                <w:color w:val="auto"/>
              </w:rPr>
              <w:t>(e)</w:t>
            </w: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Mary J. Schumacher</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4,004</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w:t>
            </w: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7"/>
                <w:szCs w:val="17"/>
                <w:color w:val="auto"/>
              </w:rPr>
              <w:t>Daryl I. Skaar</w:t>
            </w:r>
          </w:p>
        </w:tc>
        <w:tc>
          <w:tcPr>
            <w:tcW w:w="1900" w:type="dxa"/>
            <w:vAlign w:val="bottom"/>
            <w:gridSpan w:val="2"/>
          </w:tcPr>
          <w:p>
            <w:pPr>
              <w:jc w:val="right"/>
              <w:ind w:right="26"/>
              <w:spacing w:after="0"/>
              <w:rPr>
                <w:sz w:val="20"/>
                <w:szCs w:val="20"/>
                <w:color w:val="auto"/>
              </w:rPr>
            </w:pPr>
            <w:r>
              <w:rPr>
                <w:rFonts w:ascii="Arial" w:cs="Arial" w:eastAsia="Arial" w:hAnsi="Arial"/>
                <w:sz w:val="17"/>
                <w:szCs w:val="17"/>
                <w:color w:val="auto"/>
              </w:rPr>
              <w:t>12,643</w:t>
            </w:r>
          </w:p>
        </w:tc>
        <w:tc>
          <w:tcPr>
            <w:tcW w:w="1100" w:type="dxa"/>
            <w:vAlign w:val="bottom"/>
          </w:tcPr>
          <w:p>
            <w:pPr>
              <w:ind w:left="120"/>
              <w:spacing w:after="0"/>
              <w:rPr>
                <w:sz w:val="20"/>
                <w:szCs w:val="20"/>
                <w:color w:val="auto"/>
              </w:rPr>
            </w:pPr>
            <w:r>
              <w:rPr>
                <w:rFonts w:ascii="Arial" w:cs="Arial" w:eastAsia="Arial" w:hAnsi="Arial"/>
                <w:sz w:val="17"/>
                <w:szCs w:val="17"/>
                <w:color w:val="auto"/>
              </w:rPr>
              <w:t>(e)</w:t>
            </w: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Daniel J. Stauber</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1,611</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(f)(d)</w:t>
            </w: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7"/>
                <w:szCs w:val="17"/>
                <w:color w:val="auto"/>
              </w:rPr>
              <w:t>James T. Thompson</w:t>
            </w:r>
          </w:p>
        </w:tc>
        <w:tc>
          <w:tcPr>
            <w:tcW w:w="1900" w:type="dxa"/>
            <w:vAlign w:val="bottom"/>
            <w:gridSpan w:val="2"/>
          </w:tcPr>
          <w:p>
            <w:pPr>
              <w:jc w:val="right"/>
              <w:ind w:right="26"/>
              <w:spacing w:after="0"/>
              <w:rPr>
                <w:sz w:val="20"/>
                <w:szCs w:val="20"/>
                <w:color w:val="auto"/>
              </w:rPr>
            </w:pPr>
            <w:r>
              <w:rPr>
                <w:rFonts w:ascii="Arial" w:cs="Arial" w:eastAsia="Arial" w:hAnsi="Arial"/>
                <w:sz w:val="17"/>
                <w:szCs w:val="17"/>
                <w:color w:val="auto"/>
              </w:rPr>
              <w:t>11,144</w:t>
            </w:r>
          </w:p>
        </w:tc>
        <w:tc>
          <w:tcPr>
            <w:tcW w:w="1100" w:type="dxa"/>
            <w:vAlign w:val="bottom"/>
          </w:tcPr>
          <w:p>
            <w:pPr>
              <w:ind w:left="120"/>
              <w:spacing w:after="0"/>
              <w:rPr>
                <w:sz w:val="20"/>
                <w:szCs w:val="20"/>
                <w:color w:val="auto"/>
              </w:rPr>
            </w:pPr>
            <w:r>
              <w:rPr>
                <w:rFonts w:ascii="Arial" w:cs="Arial" w:eastAsia="Arial" w:hAnsi="Arial"/>
                <w:sz w:val="17"/>
                <w:szCs w:val="17"/>
                <w:color w:val="auto"/>
              </w:rPr>
              <w:t>(e)</w:t>
            </w: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Jeffrey L. Wright</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10,144</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w:t>
            </w: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7"/>
                <w:szCs w:val="17"/>
                <w:color w:val="auto"/>
              </w:rPr>
              <w:t>Richard G. Erstad</w:t>
            </w:r>
          </w:p>
        </w:tc>
        <w:tc>
          <w:tcPr>
            <w:tcW w:w="1900" w:type="dxa"/>
            <w:vAlign w:val="bottom"/>
            <w:gridSpan w:val="2"/>
          </w:tcPr>
          <w:p>
            <w:pPr>
              <w:jc w:val="right"/>
              <w:ind w:right="26"/>
              <w:spacing w:after="0"/>
              <w:rPr>
                <w:sz w:val="20"/>
                <w:szCs w:val="20"/>
                <w:color w:val="auto"/>
              </w:rPr>
            </w:pPr>
            <w:r>
              <w:rPr>
                <w:rFonts w:ascii="Arial" w:cs="Arial" w:eastAsia="Arial" w:hAnsi="Arial"/>
                <w:sz w:val="17"/>
                <w:szCs w:val="17"/>
                <w:color w:val="auto"/>
              </w:rPr>
              <w:t>13,724</w:t>
            </w:r>
          </w:p>
        </w:tc>
        <w:tc>
          <w:tcPr>
            <w:tcW w:w="1100" w:type="dxa"/>
            <w:vAlign w:val="bottom"/>
          </w:tcPr>
          <w:p>
            <w:pPr>
              <w:ind w:left="120"/>
              <w:spacing w:after="0"/>
              <w:rPr>
                <w:sz w:val="20"/>
                <w:szCs w:val="20"/>
                <w:color w:val="auto"/>
              </w:rPr>
            </w:pPr>
            <w:r>
              <w:rPr>
                <w:rFonts w:ascii="Arial" w:cs="Arial" w:eastAsia="Arial" w:hAnsi="Arial"/>
                <w:sz w:val="17"/>
                <w:szCs w:val="17"/>
                <w:color w:val="auto"/>
              </w:rPr>
              <w:t>(g)(d)</w:t>
            </w: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Thomas J. Keller</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56,031</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(h)(d)</w:t>
            </w: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7"/>
                <w:szCs w:val="17"/>
                <w:color w:val="auto"/>
              </w:rPr>
              <w:t>Jeffrey P. Oldenkamp</w:t>
            </w:r>
          </w:p>
        </w:tc>
        <w:tc>
          <w:tcPr>
            <w:tcW w:w="120" w:type="dxa"/>
            <w:vAlign w:val="bottom"/>
          </w:tcPr>
          <w:p>
            <w:pPr>
              <w:spacing w:after="0"/>
              <w:rPr>
                <w:sz w:val="20"/>
                <w:szCs w:val="20"/>
                <w:color w:val="auto"/>
              </w:rPr>
            </w:pPr>
          </w:p>
        </w:tc>
        <w:tc>
          <w:tcPr>
            <w:tcW w:w="1780" w:type="dxa"/>
            <w:vAlign w:val="bottom"/>
          </w:tcPr>
          <w:p>
            <w:pPr>
              <w:jc w:val="right"/>
              <w:ind w:right="26"/>
              <w:spacing w:after="0"/>
              <w:rPr>
                <w:sz w:val="20"/>
                <w:szCs w:val="20"/>
                <w:color w:val="auto"/>
              </w:rPr>
            </w:pPr>
            <w:r>
              <w:rPr>
                <w:rFonts w:ascii="Arial" w:cs="Arial" w:eastAsia="Arial" w:hAnsi="Arial"/>
                <w:sz w:val="17"/>
                <w:szCs w:val="17"/>
                <w:color w:val="auto"/>
              </w:rPr>
              <w:t>—</w:t>
            </w:r>
          </w:p>
        </w:tc>
        <w:tc>
          <w:tcPr>
            <w:tcW w:w="1100" w:type="dxa"/>
            <w:vAlign w:val="bottom"/>
          </w:tcPr>
          <w:p>
            <w:pPr>
              <w:ind w:left="120"/>
              <w:spacing w:after="0"/>
              <w:rPr>
                <w:sz w:val="20"/>
                <w:szCs w:val="20"/>
                <w:color w:val="auto"/>
              </w:rPr>
            </w:pPr>
            <w:r>
              <w:rPr>
                <w:rFonts w:ascii="Arial" w:cs="Arial" w:eastAsia="Arial" w:hAnsi="Arial"/>
                <w:sz w:val="17"/>
                <w:szCs w:val="17"/>
                <w:color w:val="auto"/>
              </w:rPr>
              <w:t>(d)</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Kathleen P. Pepski</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21,539</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(i)</w:t>
            </w: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7"/>
                <w:szCs w:val="17"/>
                <w:color w:val="auto"/>
              </w:rPr>
              <w:t>John R. Sevenich</w:t>
            </w:r>
          </w:p>
        </w:tc>
        <w:tc>
          <w:tcPr>
            <w:tcW w:w="1900" w:type="dxa"/>
            <w:vAlign w:val="bottom"/>
            <w:gridSpan w:val="2"/>
          </w:tcPr>
          <w:p>
            <w:pPr>
              <w:jc w:val="right"/>
              <w:ind w:right="26"/>
              <w:spacing w:after="0"/>
              <w:rPr>
                <w:sz w:val="20"/>
                <w:szCs w:val="20"/>
                <w:color w:val="auto"/>
              </w:rPr>
            </w:pPr>
            <w:r>
              <w:rPr>
                <w:rFonts w:ascii="Arial" w:cs="Arial" w:eastAsia="Arial" w:hAnsi="Arial"/>
                <w:sz w:val="17"/>
                <w:szCs w:val="17"/>
                <w:color w:val="auto"/>
              </w:rPr>
              <w:t>37,260</w:t>
            </w:r>
          </w:p>
        </w:tc>
        <w:tc>
          <w:tcPr>
            <w:tcW w:w="1100" w:type="dxa"/>
            <w:vAlign w:val="bottom"/>
          </w:tcPr>
          <w:p>
            <w:pPr>
              <w:ind w:left="120"/>
              <w:spacing w:after="0"/>
              <w:rPr>
                <w:sz w:val="20"/>
                <w:szCs w:val="20"/>
                <w:color w:val="auto"/>
              </w:rPr>
            </w:pPr>
            <w:r>
              <w:rPr>
                <w:rFonts w:ascii="Arial" w:cs="Arial" w:eastAsia="Arial" w:hAnsi="Arial"/>
                <w:sz w:val="17"/>
                <w:szCs w:val="17"/>
                <w:color w:val="auto"/>
              </w:rPr>
              <w:t>(j)(d)</w:t>
            </w: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All current executive officers and directors as a group (15 persons)</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388,117</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(k)(d)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BlackRock, Inc.</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7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55 East 52nd Street, New York, NY 10055</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1,148,987</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7"/>
                <w:szCs w:val="17"/>
                <w:color w:val="auto"/>
              </w:rPr>
              <w:t>Hawkins, Inc. Employee Stock Ownership Plan and Trust</w:t>
            </w:r>
          </w:p>
        </w:tc>
        <w:tc>
          <w:tcPr>
            <w:tcW w:w="1900" w:type="dxa"/>
            <w:vAlign w:val="bottom"/>
            <w:gridSpan w:val="2"/>
          </w:tcPr>
          <w:p>
            <w:pPr>
              <w:jc w:val="right"/>
              <w:ind w:right="26"/>
              <w:spacing w:after="0"/>
              <w:rPr>
                <w:sz w:val="20"/>
                <w:szCs w:val="20"/>
                <w:color w:val="auto"/>
              </w:rPr>
            </w:pPr>
            <w:r>
              <w:rPr>
                <w:rFonts w:ascii="Arial" w:cs="Arial" w:eastAsia="Arial" w:hAnsi="Arial"/>
                <w:sz w:val="17"/>
                <w:szCs w:val="17"/>
                <w:color w:val="auto"/>
              </w:rPr>
              <w:t>812,428</w:t>
            </w:r>
          </w:p>
        </w:tc>
        <w:tc>
          <w:tcPr>
            <w:tcW w:w="1100" w:type="dxa"/>
            <w:vAlign w:val="bottom"/>
          </w:tcPr>
          <w:p>
            <w:pPr>
              <w:ind w:left="120"/>
              <w:spacing w:after="0"/>
              <w:rPr>
                <w:sz w:val="20"/>
                <w:szCs w:val="20"/>
                <w:color w:val="auto"/>
              </w:rPr>
            </w:pPr>
            <w:r>
              <w:rPr>
                <w:rFonts w:ascii="Arial" w:cs="Arial" w:eastAsia="Arial" w:hAnsi="Arial"/>
                <w:sz w:val="17"/>
                <w:szCs w:val="17"/>
                <w:color w:val="auto"/>
              </w:rPr>
              <w:t>(m)</w:t>
            </w:r>
          </w:p>
        </w:tc>
        <w:tc>
          <w:tcPr>
            <w:tcW w:w="152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T. Rowe Price Associates, Inc.</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7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100 E. Pratt Street, Baltimore, MD 21202</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713,681</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7"/>
                <w:szCs w:val="17"/>
                <w:color w:val="auto"/>
              </w:rPr>
              <w:t>Victory Capital Management, Inc.</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740" w:type="dxa"/>
            <w:vAlign w:val="bottom"/>
            <w:gridSpan w:val="3"/>
          </w:tcPr>
          <w:p>
            <w:pPr>
              <w:ind w:left="240"/>
              <w:spacing w:after="0"/>
              <w:rPr>
                <w:sz w:val="20"/>
                <w:szCs w:val="20"/>
                <w:color w:val="auto"/>
              </w:rPr>
            </w:pPr>
            <w:r>
              <w:rPr>
                <w:rFonts w:ascii="Arial" w:cs="Arial" w:eastAsia="Arial" w:hAnsi="Arial"/>
                <w:sz w:val="17"/>
                <w:szCs w:val="17"/>
                <w:color w:val="auto"/>
              </w:rPr>
              <w:t>4900 Tiedeman Road, Brooklyn, OH 44144</w:t>
            </w:r>
          </w:p>
        </w:tc>
        <w:tc>
          <w:tcPr>
            <w:tcW w:w="1900" w:type="dxa"/>
            <w:vAlign w:val="bottom"/>
            <w:gridSpan w:val="2"/>
          </w:tcPr>
          <w:p>
            <w:pPr>
              <w:jc w:val="right"/>
              <w:ind w:right="26"/>
              <w:spacing w:after="0"/>
              <w:rPr>
                <w:sz w:val="20"/>
                <w:szCs w:val="20"/>
                <w:color w:val="auto"/>
              </w:rPr>
            </w:pPr>
            <w:r>
              <w:rPr>
                <w:rFonts w:ascii="Arial" w:cs="Arial" w:eastAsia="Arial" w:hAnsi="Arial"/>
                <w:sz w:val="17"/>
                <w:szCs w:val="17"/>
                <w:color w:val="auto"/>
              </w:rPr>
              <w:t>649,498</w:t>
            </w:r>
          </w:p>
        </w:tc>
        <w:tc>
          <w:tcPr>
            <w:tcW w:w="1100" w:type="dxa"/>
            <w:vAlign w:val="bottom"/>
          </w:tcPr>
          <w:p>
            <w:pPr>
              <w:ind w:left="120"/>
              <w:spacing w:after="0"/>
              <w:rPr>
                <w:sz w:val="20"/>
                <w:szCs w:val="20"/>
                <w:color w:val="auto"/>
              </w:rPr>
            </w:pPr>
            <w:r>
              <w:rPr>
                <w:rFonts w:ascii="Arial" w:cs="Arial" w:eastAsia="Arial" w:hAnsi="Arial"/>
                <w:sz w:val="17"/>
                <w:szCs w:val="17"/>
                <w:color w:val="auto"/>
              </w:rPr>
              <w:t>(o)</w:t>
            </w:r>
          </w:p>
        </w:tc>
        <w:tc>
          <w:tcPr>
            <w:tcW w:w="152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Royce &amp; Associates, LP</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7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745 Fifth Avenue, New York, NY 10151</w:t>
            </w:r>
          </w:p>
        </w:tc>
        <w:tc>
          <w:tcPr>
            <w:tcW w:w="19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594,478</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60" w:hanging="256"/>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Less than one percent.</w:t>
      </w:r>
    </w:p>
    <w:p>
      <w:pPr>
        <w:spacing w:after="0" w:line="104" w:lineRule="exact"/>
        <w:rPr>
          <w:rFonts w:ascii="Arial" w:cs="Arial" w:eastAsia="Arial" w:hAnsi="Arial"/>
          <w:sz w:val="17"/>
          <w:szCs w:val="17"/>
          <w:color w:val="auto"/>
        </w:rPr>
      </w:pPr>
    </w:p>
    <w:p>
      <w:pPr>
        <w:ind w:left="400" w:hanging="383"/>
        <w:spacing w:after="0"/>
        <w:tabs>
          <w:tab w:leader="none" w:pos="4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Unless otherwise noted, all shares shown are held by shareholders possessing sole voting and investment power with respect to such shares.</w:t>
      </w:r>
    </w:p>
    <w:p>
      <w:pPr>
        <w:spacing w:after="0" w:line="25" w:lineRule="exact"/>
        <w:rPr>
          <w:rFonts w:ascii="Arial" w:cs="Arial" w:eastAsia="Arial" w:hAnsi="Arial"/>
          <w:sz w:val="17"/>
          <w:szCs w:val="17"/>
          <w:color w:val="auto"/>
        </w:rPr>
      </w:pPr>
    </w:p>
    <w:p>
      <w:pPr>
        <w:ind w:left="400" w:hanging="383"/>
        <w:spacing w:after="0" w:line="255" w:lineRule="auto"/>
        <w:tabs>
          <w:tab w:leader="none" w:pos="4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Includes 7,091 shares that Mr. Faulconbridge holds jointly with his wife as to which he shares voting and investment power and 1,156 shares of restricted stock, which shares vest and the related restrictions expire on August 4, 2017.</w:t>
      </w:r>
    </w:p>
    <w:p>
      <w:pPr>
        <w:spacing w:after="0" w:line="1" w:lineRule="exact"/>
        <w:rPr>
          <w:rFonts w:ascii="Arial" w:cs="Arial" w:eastAsia="Arial" w:hAnsi="Arial"/>
          <w:sz w:val="17"/>
          <w:szCs w:val="17"/>
          <w:color w:val="auto"/>
        </w:rPr>
      </w:pPr>
    </w:p>
    <w:p>
      <w:pPr>
        <w:jc w:val="both"/>
        <w:ind w:left="400" w:hanging="383"/>
        <w:spacing w:after="0" w:line="255" w:lineRule="auto"/>
        <w:tabs>
          <w:tab w:leader="none" w:pos="4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Includes 13,036 shares representing the beneficial interest of Mr. Hawkins as of June 1, 2017 in the Hawkins, Inc. Employee Stock Ownership Plan and Trust and Hawkins, Inc. Employee Stock Ownership Plan for Certain Collectively Bargained Employees and Trusts (together, the “ESOP”), 8,359 shares of restricted stock, which shares vest and the related restrictions expire on April 3, 2018, and 9,378 shares of restricted stock, which shares vest and the related restrictions expire on April 2, 2019.</w:t>
      </w:r>
    </w:p>
    <w:p>
      <w:pPr>
        <w:spacing w:after="0" w:line="2" w:lineRule="exact"/>
        <w:rPr>
          <w:rFonts w:ascii="Arial" w:cs="Arial" w:eastAsia="Arial" w:hAnsi="Arial"/>
          <w:sz w:val="17"/>
          <w:szCs w:val="17"/>
          <w:color w:val="auto"/>
        </w:rPr>
      </w:pPr>
    </w:p>
    <w:p>
      <w:pPr>
        <w:ind w:left="400" w:hanging="383"/>
        <w:spacing w:after="0"/>
        <w:tabs>
          <w:tab w:leader="none" w:pos="4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Excludes outstanding Performance-Based Restricted Stock Unit Awards.</w:t>
      </w:r>
    </w:p>
    <w:p>
      <w:pPr>
        <w:spacing w:after="0" w:line="12" w:lineRule="exact"/>
        <w:rPr>
          <w:rFonts w:ascii="Arial" w:cs="Arial" w:eastAsia="Arial" w:hAnsi="Arial"/>
          <w:sz w:val="17"/>
          <w:szCs w:val="17"/>
          <w:color w:val="auto"/>
        </w:rPr>
      </w:pPr>
    </w:p>
    <w:p>
      <w:pPr>
        <w:ind w:left="400" w:hanging="383"/>
        <w:spacing w:after="0"/>
        <w:tabs>
          <w:tab w:leader="none" w:pos="4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Includes 1,156 shares of restricted stock, which shares vest and the related restrictions expire on August 4, 2017.</w:t>
      </w:r>
    </w:p>
    <w:p>
      <w:pPr>
        <w:spacing w:after="0" w:line="12" w:lineRule="exact"/>
        <w:rPr>
          <w:rFonts w:ascii="Arial" w:cs="Arial" w:eastAsia="Arial" w:hAnsi="Arial"/>
          <w:sz w:val="17"/>
          <w:szCs w:val="17"/>
          <w:color w:val="auto"/>
        </w:rPr>
      </w:pPr>
    </w:p>
    <w:p>
      <w:pPr>
        <w:ind w:left="400" w:hanging="383"/>
        <w:spacing w:after="0"/>
        <w:tabs>
          <w:tab w:leader="none" w:pos="4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Includes 1,081 shares of restricted stock, which shares vest and the related restrictions expire on April 2, 2019.</w:t>
      </w:r>
    </w:p>
    <w:p>
      <w:pPr>
        <w:spacing w:after="0" w:line="12" w:lineRule="exact"/>
        <w:rPr>
          <w:rFonts w:ascii="Arial" w:cs="Arial" w:eastAsia="Arial" w:hAnsi="Arial"/>
          <w:sz w:val="17"/>
          <w:szCs w:val="17"/>
          <w:color w:val="auto"/>
        </w:rPr>
      </w:pPr>
    </w:p>
    <w:p>
      <w:pPr>
        <w:ind w:left="400" w:hanging="383"/>
        <w:spacing w:after="0" w:line="289" w:lineRule="auto"/>
        <w:tabs>
          <w:tab w:leader="none" w:pos="400" w:val="left"/>
        </w:tabs>
        <w:numPr>
          <w:ilvl w:val="1"/>
          <w:numId w:val="32"/>
        </w:numPr>
        <w:rPr>
          <w:rFonts w:ascii="Arial" w:cs="Arial" w:eastAsia="Arial" w:hAnsi="Arial"/>
          <w:sz w:val="15"/>
          <w:szCs w:val="15"/>
          <w:color w:val="auto"/>
        </w:rPr>
      </w:pPr>
      <w:r>
        <w:rPr>
          <w:rFonts w:ascii="Arial" w:cs="Arial" w:eastAsia="Arial" w:hAnsi="Arial"/>
          <w:sz w:val="15"/>
          <w:szCs w:val="15"/>
          <w:color w:val="auto"/>
        </w:rPr>
        <w:t>Includes 1,224 shares representing the beneficial interest of Mr. Erstad as of June 1, 2017 in the ESOP, 3,801 shares of restricted stock, which shares vest and the related restrictions expire on April 3, 2018, and 4,024 shares of restricted stock, which shares vest and the related restrictions expire on April 2, 2019.</w:t>
      </w:r>
    </w:p>
    <w:p>
      <w:pPr>
        <w:spacing w:after="0" w:line="1" w:lineRule="exact"/>
        <w:rPr>
          <w:rFonts w:ascii="Arial" w:cs="Arial" w:eastAsia="Arial" w:hAnsi="Arial"/>
          <w:sz w:val="15"/>
          <w:szCs w:val="15"/>
          <w:color w:val="auto"/>
        </w:rPr>
      </w:pPr>
    </w:p>
    <w:p>
      <w:pPr>
        <w:ind w:left="400" w:hanging="383"/>
        <w:spacing w:after="0" w:line="271" w:lineRule="auto"/>
        <w:tabs>
          <w:tab w:leader="none" w:pos="4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Includes 10,784 shares that Mr. Keller holds jointly with his wife as to which he shares voting and investment power, 36,108 shares representing the beneficial interest of Mr. Keller as of June 1, 2017 in the ESOP, 3,572 shares of restricted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798" w:right="239" w:bottom="1440" w:gutter="0" w:footer="0" w:header="0"/>
        </w:sectPr>
      </w:pPr>
    </w:p>
    <w:bookmarkStart w:id="24" w:name="page25"/>
    <w:bookmarkEnd w:id="24"/>
    <w:p>
      <w:pPr>
        <w:ind w:left="400"/>
        <w:spacing w:after="0" w:line="287" w:lineRule="auto"/>
        <w:rPr>
          <w:sz w:val="20"/>
          <w:szCs w:val="20"/>
          <w:color w:val="auto"/>
        </w:rPr>
      </w:pPr>
      <w:r>
        <w:rPr>
          <w:rFonts w:ascii="Arial" w:cs="Arial" w:eastAsia="Arial" w:hAnsi="Arial"/>
          <w:sz w:val="17"/>
          <w:szCs w:val="17"/>
          <w:color w:val="auto"/>
        </w:rPr>
        <w:t>which shares vest and the related restrictions expire on April 3, 2018, and 3,524 shares of restricted stock, which shares vest and the related restrictions expire on April 2, 2019.</w:t>
      </w:r>
    </w:p>
    <w:p>
      <w:pPr>
        <w:spacing w:after="0" w:line="1" w:lineRule="exact"/>
        <w:rPr>
          <w:sz w:val="20"/>
          <w:szCs w:val="20"/>
          <w:color w:val="auto"/>
        </w:rPr>
      </w:pPr>
    </w:p>
    <w:p>
      <w:pPr>
        <w:jc w:val="both"/>
        <w:ind w:left="400" w:hanging="383"/>
        <w:spacing w:after="0" w:line="260" w:lineRule="auto"/>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1,224 shares representing the beneficial interest of Ms. Pepski as of June 1, 2017 in the ESOP and 4,286 shares of restricted stock, which shares would vest and the related restrictions would expire on April 3, 2018. However, due to Ms. Pepski’s retirement in June of 2017, those shares of restricted stock were forfeited after the record date.</w:t>
      </w:r>
    </w:p>
    <w:p>
      <w:pPr>
        <w:spacing w:after="0" w:line="2" w:lineRule="exact"/>
        <w:rPr>
          <w:rFonts w:ascii="Arial" w:cs="Arial" w:eastAsia="Arial" w:hAnsi="Arial"/>
          <w:sz w:val="17"/>
          <w:szCs w:val="17"/>
          <w:color w:val="auto"/>
        </w:rPr>
      </w:pPr>
    </w:p>
    <w:p>
      <w:pPr>
        <w:ind w:left="400" w:hanging="383"/>
        <w:spacing w:after="0" w:line="289" w:lineRule="auto"/>
        <w:tabs>
          <w:tab w:leader="none" w:pos="4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Includes 21,084 shares representing the beneficial interest of Mr. Sevenich as of June 1, 2017 in the ESOP, 3,672 shares of restricted stock, which shares vest and the related restrictions expire on April 3, 2018, and 3,538 shares of restricted stock, which shares vest and the related restrictions expire on April 2, 2019.</w:t>
      </w:r>
    </w:p>
    <w:p>
      <w:pPr>
        <w:spacing w:after="0" w:line="1" w:lineRule="exact"/>
        <w:rPr>
          <w:rFonts w:ascii="Arial" w:cs="Arial" w:eastAsia="Arial" w:hAnsi="Arial"/>
          <w:sz w:val="15"/>
          <w:szCs w:val="15"/>
          <w:color w:val="auto"/>
        </w:rPr>
      </w:pPr>
    </w:p>
    <w:p>
      <w:pPr>
        <w:ind w:left="400" w:hanging="383"/>
        <w:spacing w:after="0"/>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107,711 shares representing the beneficial interest of the officers as of June 1, 2017 in the ESOP.</w:t>
      </w:r>
    </w:p>
    <w:p>
      <w:pPr>
        <w:spacing w:after="0" w:line="12" w:lineRule="exact"/>
        <w:rPr>
          <w:rFonts w:ascii="Arial" w:cs="Arial" w:eastAsia="Arial" w:hAnsi="Arial"/>
          <w:sz w:val="17"/>
          <w:szCs w:val="17"/>
          <w:color w:val="auto"/>
        </w:rPr>
      </w:pPr>
    </w:p>
    <w:p>
      <w:pPr>
        <w:ind w:left="400" w:hanging="383"/>
        <w:spacing w:after="0" w:line="289" w:lineRule="auto"/>
        <w:tabs>
          <w:tab w:leader="none" w:pos="4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Amendment No. 6 to Schedule 13G filed with the SEC by BlackRock, Inc. on January 12, 2017, reflecting securities beneficially owned as of December 31, 2016. BlackRock, Inc. reported sole voting power with respect to 1,126,530 shares and sole dispositive power with respect to all of the shares.</w:t>
      </w:r>
    </w:p>
    <w:p>
      <w:pPr>
        <w:spacing w:after="0" w:line="1" w:lineRule="exact"/>
        <w:rPr>
          <w:rFonts w:ascii="Arial" w:cs="Arial" w:eastAsia="Arial" w:hAnsi="Arial"/>
          <w:sz w:val="15"/>
          <w:szCs w:val="15"/>
          <w:color w:val="auto"/>
        </w:rPr>
      </w:pPr>
    </w:p>
    <w:p>
      <w:pPr>
        <w:jc w:val="both"/>
        <w:ind w:left="400" w:hanging="383"/>
        <w:spacing w:after="0" w:line="271" w:lineRule="auto"/>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shares held in the ESOP. BMO Harris Bank, N.A. is the trustee for the ESOP.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shares reported. The Trustee also has limited dispositive power with respect to all such shares, reflecting a requirement that the assets of the ESOP must primarily consist of shares of our common stock. The trustee disclaims beneficial ownership of the shares attributed to it in its capacity as trustee of the ESOP.</w:t>
      </w:r>
    </w:p>
    <w:p>
      <w:pPr>
        <w:spacing w:after="0" w:line="3" w:lineRule="exact"/>
        <w:rPr>
          <w:rFonts w:ascii="Arial" w:cs="Arial" w:eastAsia="Arial" w:hAnsi="Arial"/>
          <w:sz w:val="16"/>
          <w:szCs w:val="16"/>
          <w:color w:val="auto"/>
        </w:rPr>
      </w:pPr>
    </w:p>
    <w:p>
      <w:pPr>
        <w:ind w:left="400" w:right="280" w:hanging="383"/>
        <w:spacing w:after="0" w:line="289" w:lineRule="auto"/>
        <w:tabs>
          <w:tab w:leader="none" w:pos="4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Amendment No. 8 to Schedule 13G filed with the SEC by T. Rowe Price Associates, Inc. on February 7, 2017, reflecting securities beneficially owned as of December 31, 2016. T. Rowe Price Associates, Inc. reported sole voting power with respect to 170,250 shares and sole dispositive power with respect to all of the shares. T. Rowe Price Small-Cap Value Fund, Inc. also reported possessing sole voting power with respect to 540,600 shares.</w:t>
      </w:r>
    </w:p>
    <w:p>
      <w:pPr>
        <w:spacing w:after="0" w:line="1" w:lineRule="exact"/>
        <w:rPr>
          <w:rFonts w:ascii="Arial" w:cs="Arial" w:eastAsia="Arial" w:hAnsi="Arial"/>
          <w:sz w:val="15"/>
          <w:szCs w:val="15"/>
          <w:color w:val="auto"/>
        </w:rPr>
      </w:pPr>
    </w:p>
    <w:p>
      <w:pPr>
        <w:jc w:val="both"/>
        <w:ind w:left="400" w:hanging="383"/>
        <w:spacing w:after="0" w:line="255" w:lineRule="auto"/>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a Schedule 13G filed with the SEC by Victory Capital Management Inc. on February 13, 2017, reflecting securities beneficially owned as of December 31, 2016. The clients of Victory Capital Management Inc., including investment companies registered under the Investment Company Act of 1940 and separately managed accounts, have the right to receive or the power to direct the receipt of dividends from, or the proceeds from the sale of the shares. No client has the right to receive or the power to direct the receipt of dividends from, or the proceeds from the sale of, more than 5% of such class except the Victory Sycamore Small Company Opportunity Fund an investment company registered under the Investment Company Act of 1940, which was reported to have an interest of 5.01% of the class. Victory Capital Management Inc. reported sole voting power with respect to 631,198 shares and sole dispositive power with respect to all of the shares.</w:t>
      </w:r>
    </w:p>
    <w:p>
      <w:pPr>
        <w:spacing w:after="0" w:line="4" w:lineRule="exact"/>
        <w:rPr>
          <w:rFonts w:ascii="Arial" w:cs="Arial" w:eastAsia="Arial" w:hAnsi="Arial"/>
          <w:sz w:val="17"/>
          <w:szCs w:val="17"/>
          <w:color w:val="auto"/>
        </w:rPr>
      </w:pPr>
    </w:p>
    <w:p>
      <w:pPr>
        <w:ind w:left="400" w:hanging="383"/>
        <w:spacing w:after="0" w:line="271" w:lineRule="auto"/>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Amendment No. 19 to Schedule 13G filed with the SEC by Royce &amp; Associates, LP on January 9, 2017, reflecting securities beneficially owned as of December 341, 2016. Royce &amp; Associates, LP reported possessing sole voting and dispositive power over all of the shares.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75" w:lineRule="exact"/>
        <w:rPr>
          <w:sz w:val="20"/>
          <w:szCs w:val="20"/>
          <w:color w:val="auto"/>
        </w:rPr>
      </w:pPr>
    </w:p>
    <w:p>
      <w:pPr>
        <w:jc w:val="both"/>
        <w:ind w:right="20" w:firstLine="417"/>
        <w:spacing w:after="0" w:line="295" w:lineRule="auto"/>
        <w:rPr>
          <w:sz w:val="20"/>
          <w:szCs w:val="20"/>
          <w:color w:val="auto"/>
        </w:rPr>
      </w:pPr>
      <w:r>
        <w:rPr>
          <w:rFonts w:ascii="Arial" w:cs="Arial" w:eastAsia="Arial" w:hAnsi="Arial"/>
          <w:sz w:val="15"/>
          <w:szCs w:val="15"/>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w:t>
      </w:r>
    </w:p>
    <w:p>
      <w:pPr>
        <w:spacing w:after="0" w:line="1" w:lineRule="exact"/>
        <w:rPr>
          <w:sz w:val="20"/>
          <w:szCs w:val="20"/>
          <w:color w:val="auto"/>
        </w:rPr>
      </w:pPr>
    </w:p>
    <w:p>
      <w:pPr>
        <w:jc w:val="both"/>
        <w:ind w:right="140"/>
        <w:spacing w:after="0" w:line="263" w:lineRule="auto"/>
        <w:rPr>
          <w:sz w:val="20"/>
          <w:szCs w:val="20"/>
          <w:color w:val="auto"/>
        </w:rPr>
      </w:pPr>
      <w:r>
        <w:rPr>
          <w:rFonts w:ascii="Arial" w:cs="Arial" w:eastAsia="Arial" w:hAnsi="Arial"/>
          <w:sz w:val="17"/>
          <w:szCs w:val="17"/>
          <w:color w:val="auto"/>
        </w:rPr>
        <w:t>Based solely on a review of the copies of such forms furnished to us, and written representations from our executive officers and directors, all Section 16(a) filing requirements applicable to our executive officers and directors have been satisfied other than Richard Erstad with respect to one late report on Form 5 relating to a gift of stock that occurred in November 2016.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RELATED PARTY TRANSACTIONS</w:t>
      </w:r>
    </w:p>
    <w:p>
      <w:pPr>
        <w:spacing w:after="0" w:line="97" w:lineRule="exact"/>
        <w:rPr>
          <w:sz w:val="20"/>
          <w:szCs w:val="20"/>
          <w:color w:val="auto"/>
        </w:rPr>
      </w:pPr>
    </w:p>
    <w:p>
      <w:pPr>
        <w:ind w:right="60" w:firstLine="417"/>
        <w:spacing w:after="0" w:line="271" w:lineRule="auto"/>
        <w:rPr>
          <w:sz w:val="20"/>
          <w:szCs w:val="20"/>
          <w:color w:val="auto"/>
        </w:rPr>
      </w:pPr>
      <w:r>
        <w:rPr>
          <w:rFonts w:ascii="Arial" w:cs="Arial" w:eastAsia="Arial" w:hAnsi="Arial"/>
          <w:sz w:val="17"/>
          <w:szCs w:val="17"/>
          <w:color w:val="auto"/>
        </w:rPr>
        <w:t>We employ Angela Wagamon, sister of Patrick H. Hawkins, our Chief Executive Officer, and Todd Hawkins, cousin of Patrick H. Hawkins; and Michael Clemens and John Clemens, the brothers of Theresa R. Moran, our Vice President - Quality and Support. Including retirement plan contributions and bonuses, each such employee earned in excess of $120,000 in fiscal 2017.</w:t>
      </w:r>
    </w:p>
    <w:p>
      <w:pPr>
        <w:spacing w:after="0" w:line="41" w:lineRule="exact"/>
        <w:rPr>
          <w:sz w:val="20"/>
          <w:szCs w:val="20"/>
          <w:color w:val="auto"/>
        </w:rPr>
      </w:pPr>
    </w:p>
    <w:p>
      <w:pPr>
        <w:ind w:right="40" w:firstLine="417"/>
        <w:spacing w:after="0" w:line="266" w:lineRule="auto"/>
        <w:rPr>
          <w:sz w:val="20"/>
          <w:szCs w:val="20"/>
          <w:color w:val="auto"/>
        </w:rPr>
      </w:pPr>
      <w:r>
        <w:rPr>
          <w:rFonts w:ascii="Arial" w:cs="Arial" w:eastAsia="Arial" w:hAnsi="Arial"/>
          <w:sz w:val="17"/>
          <w:szCs w:val="17"/>
          <w:color w:val="auto"/>
        </w:rPr>
        <w:t>Stauber leases its corporate office building and warehouse in Fullerton, California from an entity that is partially owned by Dan Stauber, one of our Board members. The amount of rent expense paid in fiscal 2017 totaled $472,000, of which approximately $56,000 was attributable to Mr. Stauber. In addition, Mr. Stauber has a minority ownership interest in Laird Superfoods, a customer of Stauber. Our sales to Laird Superfoods in fiscal 2017 totaled approximately $458,000. These transactions were reviewed and ratified by the Audit Committee.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596" w:right="239" w:bottom="1440" w:gutter="0" w:footer="0" w:header="0"/>
        </w:sectPr>
      </w:pPr>
    </w:p>
    <w:bookmarkStart w:id="25" w:name="page26"/>
    <w:bookmarkEnd w:id="25"/>
    <w:p>
      <w:pPr>
        <w:ind w:right="280" w:firstLine="417"/>
        <w:spacing w:after="0" w:line="295" w:lineRule="auto"/>
        <w:rPr>
          <w:sz w:val="20"/>
          <w:szCs w:val="20"/>
          <w:color w:val="auto"/>
        </w:rPr>
      </w:pPr>
      <w:r>
        <w:rPr>
          <w:rFonts w:ascii="Arial" w:cs="Arial" w:eastAsia="Arial" w:hAnsi="Arial"/>
          <w:sz w:val="16"/>
          <w:szCs w:val="16"/>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PROPOSAL TWO </w:t>
      </w:r>
      <w:r>
        <w:rPr>
          <w:rFonts w:ascii="Arial" w:cs="Arial" w:eastAsia="Arial" w:hAnsi="Arial"/>
          <w:sz w:val="17"/>
          <w:szCs w:val="17"/>
          <w:color w:val="auto"/>
        </w:rPr>
        <w:t>—</w:t>
      </w:r>
      <w:r>
        <w:rPr>
          <w:rFonts w:ascii="Arial" w:cs="Arial" w:eastAsia="Arial" w:hAnsi="Arial"/>
          <w:sz w:val="17"/>
          <w:szCs w:val="17"/>
          <w:b w:val="1"/>
          <w:bCs w:val="1"/>
          <w:color w:val="auto"/>
        </w:rPr>
        <w:t xml:space="preserve"> ADVISORY VOTE ON EXECUTIVE OFFICER COMPENSATION</w:t>
      </w:r>
    </w:p>
    <w:p>
      <w:pPr>
        <w:spacing w:after="0" w:line="97" w:lineRule="exact"/>
        <w:rPr>
          <w:sz w:val="20"/>
          <w:szCs w:val="20"/>
          <w:color w:val="auto"/>
        </w:rPr>
      </w:pPr>
    </w:p>
    <w:p>
      <w:pPr>
        <w:ind w:right="520" w:firstLine="417"/>
        <w:spacing w:after="0" w:line="286" w:lineRule="auto"/>
        <w:rPr>
          <w:sz w:val="20"/>
          <w:szCs w:val="20"/>
          <w:color w:val="auto"/>
        </w:rPr>
      </w:pPr>
      <w:r>
        <w:rPr>
          <w:rFonts w:ascii="Arial" w:cs="Arial" w:eastAsia="Arial" w:hAnsi="Arial"/>
          <w:sz w:val="17"/>
          <w:szCs w:val="17"/>
          <w:color w:val="auto"/>
        </w:rPr>
        <w:t>The company seeks a non-binding advisory vote from its shareholders to approve the compensation of our executive officers as described in this proxy statement under “Executive Compensation” and “Compensation Discussion and Analysis.”</w:t>
      </w:r>
    </w:p>
    <w:p>
      <w:pPr>
        <w:spacing w:after="0" w:line="29" w:lineRule="exact"/>
        <w:rPr>
          <w:sz w:val="20"/>
          <w:szCs w:val="20"/>
          <w:color w:val="auto"/>
        </w:rPr>
      </w:pPr>
    </w:p>
    <w:p>
      <w:pPr>
        <w:ind w:right="160" w:firstLine="417"/>
        <w:spacing w:after="0" w:line="271" w:lineRule="auto"/>
        <w:rPr>
          <w:sz w:val="20"/>
          <w:szCs w:val="20"/>
          <w:color w:val="auto"/>
        </w:rPr>
      </w:pPr>
      <w:r>
        <w:rPr>
          <w:rFonts w:ascii="Arial" w:cs="Arial" w:eastAsia="Arial" w:hAnsi="Arial"/>
          <w:sz w:val="17"/>
          <w:szCs w:val="17"/>
          <w:color w:val="auto"/>
        </w:rPr>
        <w:t>This proposal gives our shareholders the opportunity to express their views on our executive officer compensation. Because your vote is advisory, it will not be binding upon the Board of Directors. However, the Compensation Committee will take into account the outcome of the vote when making future executive officer compensation decisions.</w:t>
      </w:r>
    </w:p>
    <w:p>
      <w:pPr>
        <w:spacing w:after="0" w:line="41" w:lineRule="exact"/>
        <w:rPr>
          <w:sz w:val="20"/>
          <w:szCs w:val="20"/>
          <w:color w:val="auto"/>
        </w:rPr>
      </w:pPr>
    </w:p>
    <w:p>
      <w:pPr>
        <w:ind w:right="20" w:firstLine="417"/>
        <w:spacing w:after="0" w:line="279" w:lineRule="auto"/>
        <w:rPr>
          <w:sz w:val="20"/>
          <w:szCs w:val="20"/>
          <w:color w:val="auto"/>
        </w:rPr>
      </w:pPr>
      <w:r>
        <w:rPr>
          <w:rFonts w:ascii="Arial" w:cs="Arial" w:eastAsia="Arial" w:hAnsi="Arial"/>
          <w:sz w:val="16"/>
          <w:szCs w:val="16"/>
          <w:color w:val="auto"/>
        </w:rPr>
        <w:t>Our executive compensation program has been designed to attract and retain executives who will lead our company to achieve long-term success and growth in shareholder value. Consistent with that goal, our executive compensation is based on company, business unit and individual performance and the alignment of the interests of our executive officers with those of our shareholders and is used to encourage our executive officers to stay with the company. Our executive compensation program currently includes a mix of compensation elements that rewards current results as well as motivates long-term performance through an appropriate balance of base pay and performance-based variable compensation. To incent appropriate performance, our performance-based variable compensation consists of a short-term variable pay component that rewards executives for both current business results as well as personal performance, and a long-term incentive plan that motivates long-term performance and aligns business results with the interests of our shareholders.</w:t>
      </w:r>
    </w:p>
    <w:p>
      <w:pPr>
        <w:spacing w:after="0" w:line="39" w:lineRule="exact"/>
        <w:rPr>
          <w:sz w:val="20"/>
          <w:szCs w:val="20"/>
          <w:color w:val="auto"/>
        </w:rPr>
      </w:pPr>
    </w:p>
    <w:p>
      <w:pPr>
        <w:ind w:right="240" w:firstLine="417"/>
        <w:spacing w:after="0" w:line="286" w:lineRule="auto"/>
        <w:rPr>
          <w:sz w:val="20"/>
          <w:szCs w:val="20"/>
          <w:color w:val="auto"/>
        </w:rPr>
      </w:pPr>
      <w:r>
        <w:rPr>
          <w:rFonts w:ascii="Arial" w:cs="Arial" w:eastAsia="Arial" w:hAnsi="Arial"/>
          <w:sz w:val="17"/>
          <w:szCs w:val="17"/>
          <w:color w:val="auto"/>
        </w:rPr>
        <w:t>We are presenting this proposal, which gives you as a shareholder the opportunity to approve our executive officer compensation as disclosed in this proxy statement by voting for or against the following resolution:</w:t>
      </w:r>
    </w:p>
    <w:p>
      <w:pPr>
        <w:spacing w:after="0" w:line="315" w:lineRule="exact"/>
        <w:rPr>
          <w:sz w:val="20"/>
          <w:szCs w:val="20"/>
          <w:color w:val="auto"/>
        </w:rPr>
      </w:pPr>
    </w:p>
    <w:p>
      <w:pPr>
        <w:ind w:firstLine="417"/>
        <w:spacing w:after="0" w:line="286" w:lineRule="auto"/>
        <w:rPr>
          <w:sz w:val="20"/>
          <w:szCs w:val="20"/>
          <w:color w:val="auto"/>
        </w:rPr>
      </w:pPr>
      <w:r>
        <w:rPr>
          <w:rFonts w:ascii="Arial" w:cs="Arial" w:eastAsia="Arial" w:hAnsi="Arial"/>
          <w:sz w:val="17"/>
          <w:szCs w:val="17"/>
          <w:color w:val="auto"/>
        </w:rPr>
        <w:t>RESOLVED, that the shareholders approve the compensation of the company’s executive officers, as disclosed in the Compensation Discussion and Analysis, the compensation tables, and the related disclosure contained in this proxy statement.</w:t>
      </w:r>
    </w:p>
    <w:p>
      <w:pPr>
        <w:spacing w:after="0" w:line="23" w:lineRule="exact"/>
        <w:rPr>
          <w:sz w:val="20"/>
          <w:szCs w:val="20"/>
          <w:color w:val="auto"/>
        </w:rPr>
      </w:pPr>
    </w:p>
    <w:p>
      <w:pPr>
        <w:ind w:right="680" w:firstLine="417"/>
        <w:spacing w:after="0" w:line="294" w:lineRule="auto"/>
        <w:rPr>
          <w:sz w:val="20"/>
          <w:szCs w:val="20"/>
          <w:color w:val="auto"/>
        </w:rPr>
      </w:pPr>
      <w:r>
        <w:rPr>
          <w:rFonts w:ascii="Arial" w:cs="Arial" w:eastAsia="Arial" w:hAnsi="Arial"/>
          <w:sz w:val="17"/>
          <w:szCs w:val="17"/>
          <w:b w:val="1"/>
          <w:bCs w:val="1"/>
          <w:color w:val="auto"/>
        </w:rPr>
        <w:t>THE BOARD OF DIRECTORS BELIEVES THAT THE COMPENSATION OF OUR EXECUTIVE OFFICERS IS APPROPRIATE AND RECOMMENDS A VOTE “FOR” THIS PROPOSAL TWO.</w:t>
      </w:r>
    </w:p>
    <w:p>
      <w:pPr>
        <w:spacing w:after="0" w:line="146" w:lineRule="exact"/>
        <w:rPr>
          <w:sz w:val="20"/>
          <w:szCs w:val="20"/>
          <w:color w:val="auto"/>
        </w:rPr>
      </w:pPr>
    </w:p>
    <w:p>
      <w:pPr>
        <w:jc w:val="center"/>
        <w:spacing w:after="0" w:line="294" w:lineRule="auto"/>
        <w:rPr>
          <w:sz w:val="20"/>
          <w:szCs w:val="20"/>
          <w:color w:val="auto"/>
        </w:rPr>
      </w:pPr>
      <w:r>
        <w:rPr>
          <w:rFonts w:ascii="Arial" w:cs="Arial" w:eastAsia="Arial" w:hAnsi="Arial"/>
          <w:sz w:val="17"/>
          <w:szCs w:val="17"/>
          <w:b w:val="1"/>
          <w:bCs w:val="1"/>
          <w:color w:val="auto"/>
        </w:rPr>
        <w:t>PROPOSAL THREE - ADVISORY VOTE TO RECOMMEND THE FREQUENCY OF ADVISORY VOTES TO APPROVE OUR EXECUTIVE OFFICER COMPENSATION PRACTICES</w:t>
      </w:r>
    </w:p>
    <w:p>
      <w:pPr>
        <w:spacing w:after="0" w:line="152" w:lineRule="exact"/>
        <w:rPr>
          <w:sz w:val="20"/>
          <w:szCs w:val="20"/>
          <w:color w:val="auto"/>
        </w:rPr>
      </w:pPr>
    </w:p>
    <w:p>
      <w:pPr>
        <w:ind w:right="500" w:firstLine="417"/>
        <w:spacing w:after="0" w:line="323" w:lineRule="auto"/>
        <w:rPr>
          <w:sz w:val="20"/>
          <w:szCs w:val="20"/>
          <w:color w:val="auto"/>
        </w:rPr>
      </w:pPr>
      <w:r>
        <w:rPr>
          <w:rFonts w:ascii="Arial" w:cs="Arial" w:eastAsia="Arial" w:hAnsi="Arial"/>
          <w:sz w:val="15"/>
          <w:szCs w:val="15"/>
          <w:color w:val="auto"/>
        </w:rPr>
        <w:t>The Company seeks a non-binding advisory vote from its shareholders to recommend the frequency of the non-binding advisory vote to approve the compensation of our named executive officers as described in the Compensation Discussion and Analysis section and the tabular disclosure regarding named executive officer compensation (together with the accompanying narrative disclosure) in our proxy statements for annual meetings of shareholders.</w:t>
      </w:r>
    </w:p>
    <w:p>
      <w:pPr>
        <w:spacing w:after="0" w:line="137" w:lineRule="exact"/>
        <w:rPr>
          <w:sz w:val="20"/>
          <w:szCs w:val="20"/>
          <w:color w:val="auto"/>
        </w:rPr>
      </w:pPr>
    </w:p>
    <w:p>
      <w:pPr>
        <w:ind w:right="60" w:firstLine="417"/>
        <w:spacing w:after="0" w:line="266" w:lineRule="auto"/>
        <w:rPr>
          <w:sz w:val="20"/>
          <w:szCs w:val="20"/>
          <w:color w:val="auto"/>
        </w:rPr>
      </w:pPr>
      <w:r>
        <w:rPr>
          <w:rFonts w:ascii="Arial" w:cs="Arial" w:eastAsia="Arial" w:hAnsi="Arial"/>
          <w:sz w:val="17"/>
          <w:szCs w:val="17"/>
          <w:color w:val="auto"/>
        </w:rPr>
        <w:t>This proposal gives our shareholders the opportunity to express their views as to whether the non-binding advisory vote on our executive officer compensation practices should occur every one, two, or three years. Because your vote is advisory, it will not be binding upon the Board of Directors. However, the Board will take into account the outcome of the vote when deciding the frequency of the non-binding advisory approval of our future executive officer compensation decisions.</w:t>
      </w:r>
    </w:p>
    <w:p>
      <w:pPr>
        <w:spacing w:after="0" w:line="175" w:lineRule="exact"/>
        <w:rPr>
          <w:sz w:val="20"/>
          <w:szCs w:val="20"/>
          <w:color w:val="auto"/>
        </w:rPr>
      </w:pPr>
    </w:p>
    <w:p>
      <w:pPr>
        <w:ind w:right="40" w:firstLine="417"/>
        <w:spacing w:after="0" w:line="266" w:lineRule="auto"/>
        <w:rPr>
          <w:sz w:val="20"/>
          <w:szCs w:val="20"/>
          <w:color w:val="auto"/>
        </w:rPr>
      </w:pPr>
      <w:r>
        <w:rPr>
          <w:rFonts w:ascii="Arial" w:cs="Arial" w:eastAsia="Arial" w:hAnsi="Arial"/>
          <w:sz w:val="17"/>
          <w:szCs w:val="17"/>
          <w:color w:val="auto"/>
        </w:rPr>
        <w:t>At our annual meeting of shareholders held in 2011, our shareholders expressed a preference for holding a nonbinding advisory vote to approve our executive compensation annually. In light of that preference, our Board of Directors determined that it would include a nonbinding advisory vote to approve our executive compensation in our company’s proxy materials every year until the next required advisory vote on the frequency of shareholder votes to approve named executive officer compensation.</w:t>
      </w:r>
    </w:p>
    <w:p>
      <w:pPr>
        <w:spacing w:after="0" w:line="175" w:lineRule="exact"/>
        <w:rPr>
          <w:sz w:val="20"/>
          <w:szCs w:val="20"/>
          <w:color w:val="auto"/>
        </w:rPr>
      </w:pPr>
    </w:p>
    <w:p>
      <w:pPr>
        <w:ind w:right="20" w:firstLine="417"/>
        <w:spacing w:after="0" w:line="263" w:lineRule="auto"/>
        <w:rPr>
          <w:sz w:val="20"/>
          <w:szCs w:val="20"/>
          <w:color w:val="auto"/>
        </w:rPr>
      </w:pPr>
      <w:r>
        <w:rPr>
          <w:rFonts w:ascii="Arial" w:cs="Arial" w:eastAsia="Arial" w:hAnsi="Arial"/>
          <w:sz w:val="17"/>
          <w:szCs w:val="17"/>
          <w:color w:val="auto"/>
        </w:rPr>
        <w:t>The Board of Directors recommends that shareholders vote “1 YEAR” on this proposal, which will support continuing our company’s existing practice of holding a nonbinding advisory vote to approve executive compensation annually. Our Board reviewed the alternatives to determine the approach that will best serve our Company and our shareholders. Our Board has determined that an advisory vote on executive compensation held annually would be the best approach for Hawkins because it encourages ongoing engagement with shareholders on all matters that are important to them, including any shareholder concerns about executive compensation for a particular fiscal year.</w:t>
      </w:r>
    </w:p>
    <w:p>
      <w:pPr>
        <w:spacing w:after="0" w:line="179" w:lineRule="exact"/>
        <w:rPr>
          <w:sz w:val="20"/>
          <w:szCs w:val="20"/>
          <w:color w:val="auto"/>
        </w:rPr>
      </w:pPr>
    </w:p>
    <w:p>
      <w:pPr>
        <w:ind w:right="60" w:firstLine="417"/>
        <w:spacing w:after="0" w:line="286" w:lineRule="auto"/>
        <w:rPr>
          <w:sz w:val="20"/>
          <w:szCs w:val="20"/>
          <w:color w:val="auto"/>
        </w:rPr>
      </w:pPr>
      <w:r>
        <w:rPr>
          <w:rFonts w:ascii="Arial" w:cs="Arial" w:eastAsia="Arial" w:hAnsi="Arial"/>
          <w:sz w:val="17"/>
          <w:szCs w:val="17"/>
          <w:color w:val="auto"/>
        </w:rPr>
        <w:t>In the future our Board of Directors may determine that a more or less frequent advisory vote is appropriate, either in response to the vote of our shareholders on this proposal or for other reasons. While the Board believes its recommendation is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648" w:right="239" w:bottom="1440" w:gutter="0" w:footer="0" w:header="0"/>
        </w:sectPr>
      </w:pPr>
    </w:p>
    <w:bookmarkStart w:id="26" w:name="page27"/>
    <w:bookmarkEnd w:id="26"/>
    <w:p>
      <w:pPr>
        <w:ind w:right="100"/>
        <w:spacing w:after="0" w:line="266" w:lineRule="auto"/>
        <w:rPr>
          <w:sz w:val="20"/>
          <w:szCs w:val="20"/>
          <w:color w:val="auto"/>
        </w:rPr>
      </w:pPr>
      <w:r>
        <w:rPr>
          <w:rFonts w:ascii="Arial" w:cs="Arial" w:eastAsia="Arial" w:hAnsi="Arial"/>
          <w:sz w:val="17"/>
          <w:szCs w:val="17"/>
          <w:color w:val="auto"/>
        </w:rPr>
        <w:t>appropriate at this time, the shareholders are not voting to approve or disapprove its recommendation, but are instead asked to provide an advisory vote on whether the non-binding advisory vote on the approval of our executive officer compensation practices should be held every one, two or three years. The option among those choices that obtains a plurality of votes cast by the shares present or represented by proxy and entitled to vote at the Annual Meeting will represent the preference of our shareholders.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VOTE FOR “1 YEAR” FOR THIS PROPOSAL THREE.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97" w:lineRule="exact"/>
        <w:rPr>
          <w:sz w:val="20"/>
          <w:szCs w:val="20"/>
          <w:color w:val="auto"/>
        </w:rPr>
      </w:pPr>
    </w:p>
    <w:p>
      <w:pPr>
        <w:jc w:val="both"/>
        <w:ind w:right="260" w:firstLine="417"/>
        <w:spacing w:after="0" w:line="271" w:lineRule="auto"/>
        <w:rPr>
          <w:sz w:val="20"/>
          <w:szCs w:val="20"/>
          <w:color w:val="auto"/>
        </w:rPr>
      </w:pPr>
      <w:r>
        <w:rPr>
          <w:rFonts w:ascii="Arial" w:cs="Arial" w:eastAsia="Arial" w:hAnsi="Arial"/>
          <w:sz w:val="17"/>
          <w:szCs w:val="17"/>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97" w:lineRule="exact"/>
        <w:rPr>
          <w:sz w:val="20"/>
          <w:szCs w:val="20"/>
          <w:color w:val="auto"/>
        </w:rPr>
      </w:pPr>
    </w:p>
    <w:p>
      <w:pPr>
        <w:ind w:right="480" w:firstLine="417"/>
        <w:spacing w:after="0" w:line="286" w:lineRule="auto"/>
        <w:rPr>
          <w:sz w:val="20"/>
          <w:szCs w:val="20"/>
          <w:color w:val="auto"/>
        </w:rPr>
      </w:pPr>
      <w:r>
        <w:rPr>
          <w:rFonts w:ascii="Arial" w:cs="Arial" w:eastAsia="Arial" w:hAnsi="Arial"/>
          <w:sz w:val="17"/>
          <w:szCs w:val="17"/>
          <w:color w:val="auto"/>
        </w:rPr>
        <w:t>KPMG LLP, an independent registered public accounting firm, was retained by the Audit Committee for fiscal 2017 and has been retained by the Audit Committee as our auditor for fiscal 2018.</w:t>
      </w:r>
    </w:p>
    <w:p>
      <w:pPr>
        <w:spacing w:after="0" w:line="29" w:lineRule="exact"/>
        <w:rPr>
          <w:sz w:val="20"/>
          <w:szCs w:val="20"/>
          <w:color w:val="auto"/>
        </w:rPr>
      </w:pPr>
    </w:p>
    <w:p>
      <w:pPr>
        <w:ind w:right="60" w:firstLine="417"/>
        <w:spacing w:after="0" w:line="286" w:lineRule="auto"/>
        <w:rPr>
          <w:sz w:val="20"/>
          <w:szCs w:val="20"/>
          <w:color w:val="auto"/>
        </w:rPr>
      </w:pPr>
      <w:r>
        <w:rPr>
          <w:rFonts w:ascii="Arial" w:cs="Arial" w:eastAsia="Arial" w:hAnsi="Arial"/>
          <w:sz w:val="17"/>
          <w:szCs w:val="17"/>
          <w:color w:val="auto"/>
        </w:rPr>
        <w:t>Representatives of KPMG LLP are expected to attend the Annual Meeting and will have the opportunity to make a statement if they desire to do so. They are expected to be available to respond to appropriate questions.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PROPOSALS BY SHAREHOLDERS</w:t>
      </w:r>
    </w:p>
    <w:p>
      <w:pPr>
        <w:spacing w:after="0" w:line="97" w:lineRule="exact"/>
        <w:rPr>
          <w:sz w:val="20"/>
          <w:szCs w:val="20"/>
          <w:color w:val="auto"/>
        </w:rPr>
      </w:pPr>
    </w:p>
    <w:p>
      <w:pPr>
        <w:ind w:firstLine="417"/>
        <w:spacing w:after="0" w:line="259" w:lineRule="auto"/>
        <w:rPr>
          <w:sz w:val="20"/>
          <w:szCs w:val="20"/>
          <w:color w:val="auto"/>
        </w:rPr>
      </w:pPr>
      <w:r>
        <w:rPr>
          <w:rFonts w:ascii="Arial" w:cs="Arial" w:eastAsia="Arial" w:hAnsi="Arial"/>
          <w:sz w:val="17"/>
          <w:szCs w:val="17"/>
          <w:color w:val="auto"/>
        </w:rPr>
        <w:t>In order for a shareholder proposal to be considered for inclusion in our proxy statement for next year’s annual meeting of shareholders, the written proposal must be received by us at our principal executive offices no later than March 2, 2018.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offices no later than May 11, 2018,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principal executive offices.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97" w:lineRule="exact"/>
        <w:rPr>
          <w:sz w:val="20"/>
          <w:szCs w:val="20"/>
          <w:color w:val="auto"/>
        </w:rPr>
      </w:pPr>
    </w:p>
    <w:p>
      <w:pPr>
        <w:jc w:val="both"/>
        <w:ind w:firstLine="417"/>
        <w:spacing w:after="0" w:line="295" w:lineRule="auto"/>
        <w:rPr>
          <w:sz w:val="20"/>
          <w:szCs w:val="20"/>
          <w:color w:val="auto"/>
        </w:rPr>
      </w:pPr>
      <w:r>
        <w:rPr>
          <w:rFonts w:ascii="Arial" w:cs="Arial" w:eastAsia="Arial" w:hAnsi="Arial"/>
          <w:sz w:val="16"/>
          <w:szCs w:val="16"/>
          <w:color w:val="auto"/>
        </w:rPr>
        <w:t>Our Annual Report on Form 10-K for fiscal 2017, including financial statements, is being mailed with this Proxy Statement. Shareholders who wish to obtain an additional copy of our Annual Report on Form 10-K for fiscal 2017 may do so without charge by writing to: Hawkins, Inc., 2381 Rosegate, Roseville, Minnesota 55113, Attention: Secretary. Our Annual Report on Form 10-K, as well as other company reports, are also available on the SEC’s website (www.sec.gov).</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7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1013" w:right="1440" w:bottom="1440"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353695</wp:posOffset>
            </wp:positionV>
            <wp:extent cx="7182485" cy="9295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2485" cy="929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502285</wp:posOffset>
            </wp:positionV>
            <wp:extent cx="7182485" cy="929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929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2)"/>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3"/>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Roman"/>
      <w:start w:val="2"/>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4"/>
    </w:lvl>
    <w:lvl w:ilvl="1">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2"/>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2"/>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
      <w:numFmt w:val="bullet"/>
      <w:start w:val="1"/>
    </w:lvl>
    <w:lvl w:ilvl="1">
      <w:lvlJc w:val="left"/>
      <w:lvlText w:val="(%2)"/>
      <w:numFmt w:val="lowerLetter"/>
      <w:start w:val="1"/>
    </w:lvl>
  </w:abstractNum>
  <w:abstractNum w:abstractNumId="32">
    <w:nsid w:val="4516DDE9"/>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2019-12-05T04:03:32Z</dcterms:created>
  <dcterms:modified xsi:type="dcterms:W3CDTF">2019-12-05T04:03:32Z</dcterms:modified>
</cp:coreProperties>
</file>