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3"/>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643"/>
        <w:spacing w:after="0"/>
        <w:tabs>
          <w:tab w:leader="none" w:pos="4323" w:val="left"/>
        </w:tabs>
        <w:rPr>
          <w:sz w:val="20"/>
          <w:szCs w:val="20"/>
          <w:color w:val="auto"/>
        </w:rPr>
      </w:pPr>
      <w:r>
        <w:rPr>
          <w:rFonts w:ascii="Courier New" w:cs="Courier New" w:eastAsia="Courier New" w:hAnsi="Courier New"/>
          <w:sz w:val="16"/>
          <w:szCs w:val="16"/>
          <w:color w:val="auto"/>
        </w:rPr>
        <w:t>WASHINGTON, D.C.</w:t>
        <w:tab/>
        <w:t>20549</w:t>
      </w:r>
    </w:p>
    <w:p>
      <w:pPr>
        <w:spacing w:after="0" w:line="183" w:lineRule="exact"/>
        <w:rPr>
          <w:sz w:val="24"/>
          <w:szCs w:val="24"/>
          <w:color w:val="auto"/>
        </w:rPr>
      </w:pPr>
    </w:p>
    <w:p>
      <w:pPr>
        <w:ind w:left="2263"/>
        <w:spacing w:after="0"/>
        <w:rPr>
          <w:sz w:val="20"/>
          <w:szCs w:val="20"/>
          <w:color w:val="auto"/>
        </w:rPr>
      </w:pPr>
      <w:r>
        <w:rPr>
          <w:rFonts w:ascii="Courier New" w:cs="Courier New" w:eastAsia="Courier New" w:hAnsi="Courier New"/>
          <w:sz w:val="16"/>
          <w:szCs w:val="16"/>
          <w:color w:val="auto"/>
        </w:rPr>
        <w:t>______________________________</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SCHEDULE 14A INFORMATION</w:t>
      </w:r>
    </w:p>
    <w:p>
      <w:pPr>
        <w:spacing w:after="0" w:line="186" w:lineRule="exact"/>
        <w:rPr>
          <w:sz w:val="24"/>
          <w:szCs w:val="24"/>
          <w:color w:val="auto"/>
        </w:rPr>
      </w:pPr>
    </w:p>
    <w:p>
      <w:pPr>
        <w:ind w:left="1703"/>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8"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 w:lineRule="exact"/>
        <w:rPr>
          <w:sz w:val="24"/>
          <w:szCs w:val="24"/>
          <w:color w:val="auto"/>
        </w:rPr>
      </w:pPr>
    </w:p>
    <w:p>
      <w:pPr>
        <w:ind w:left="2923"/>
        <w:spacing w:after="0"/>
        <w:tabs>
          <w:tab w:leader="none" w:pos="4623" w:val="left"/>
        </w:tabs>
        <w:rPr>
          <w:sz w:val="20"/>
          <w:szCs w:val="20"/>
          <w:color w:val="auto"/>
        </w:rPr>
      </w:pPr>
      <w:r>
        <w:rPr>
          <w:rFonts w:ascii="Courier New" w:cs="Courier New" w:eastAsia="Courier New" w:hAnsi="Courier New"/>
          <w:sz w:val="16"/>
          <w:szCs w:val="16"/>
          <w:color w:val="auto"/>
        </w:rPr>
        <w:t>(AMENDMENT NO.</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1">
            <w:col w:w="10222"/>
          </w:cols>
          <w:pgMar w:left="237" w:top="598" w:right="1440" w:bottom="1440" w:gutter="0" w:footer="0" w:header="0"/>
        </w:sectPr>
      </w:pPr>
    </w:p>
    <w:p>
      <w:pPr>
        <w:spacing w:after="0" w:line="364" w:lineRule="exact"/>
        <w:rPr>
          <w:sz w:val="24"/>
          <w:szCs w:val="24"/>
          <w:color w:val="auto"/>
        </w:rPr>
      </w:pPr>
    </w:p>
    <w:p>
      <w:pPr>
        <w:ind w:left="383"/>
        <w:spacing w:after="0"/>
        <w:rPr>
          <w:sz w:val="20"/>
          <w:szCs w:val="20"/>
          <w:color w:val="auto"/>
        </w:rPr>
      </w:pPr>
      <w:r>
        <w:rPr>
          <w:rFonts w:ascii="Courier New" w:cs="Courier New" w:eastAsia="Courier New" w:hAnsi="Courier New"/>
          <w:sz w:val="16"/>
          <w:szCs w:val="16"/>
          <w:color w:val="auto"/>
        </w:rPr>
        <w:t>Filed by the Registrant</w:t>
      </w:r>
    </w:p>
    <w:p>
      <w:pPr>
        <w:spacing w:after="0" w:line="5" w:lineRule="exact"/>
        <w:rPr>
          <w:sz w:val="24"/>
          <w:szCs w:val="24"/>
          <w:color w:val="auto"/>
        </w:rPr>
      </w:pPr>
    </w:p>
    <w:p>
      <w:pPr>
        <w:ind w:left="383"/>
        <w:spacing w:after="0"/>
        <w:rPr>
          <w:sz w:val="20"/>
          <w:szCs w:val="20"/>
          <w:color w:val="auto"/>
        </w:rPr>
      </w:pPr>
      <w:r>
        <w:rPr>
          <w:rFonts w:ascii="Courier New" w:cs="Courier New" w:eastAsia="Courier New" w:hAnsi="Courier New"/>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p>
      <w:pPr>
        <w:sectPr>
          <w:pgSz w:w="11900" w:h="16838" w:orient="portrait"/>
          <w:cols w:equalWidth="0" w:num="2">
            <w:col w:w="4343" w:space="380"/>
            <w:col w:w="5499"/>
          </w:cols>
          <w:pgMar w:left="237" w:top="598" w:right="1440" w:bottom="1440" w:gutter="0" w:footer="0" w:header="0"/>
          <w:type w:val="continuous"/>
        </w:sectPr>
      </w:pPr>
    </w:p>
    <w:p>
      <w:pPr>
        <w:ind w:left="3"/>
        <w:spacing w:after="0"/>
        <w:rPr>
          <w:sz w:val="20"/>
          <w:szCs w:val="20"/>
          <w:color w:val="auto"/>
        </w:rPr>
      </w:pPr>
      <w:r>
        <w:rPr>
          <w:rFonts w:ascii="Courier New" w:cs="Courier New" w:eastAsia="Courier New" w:hAnsi="Courier New"/>
          <w:sz w:val="16"/>
          <w:szCs w:val="16"/>
          <w:color w:val="auto"/>
        </w:rPr>
        <w:t>Check the appropriate box:</w:t>
      </w:r>
    </w:p>
    <w:p>
      <w:pPr>
        <w:spacing w:after="0" w:line="183" w:lineRule="exact"/>
        <w:rPr>
          <w:sz w:val="24"/>
          <w:szCs w:val="24"/>
          <w:color w:val="auto"/>
        </w:rPr>
      </w:pPr>
    </w:p>
    <w:p>
      <w:pPr>
        <w:ind w:left="383"/>
        <w:spacing w:after="0"/>
        <w:rPr>
          <w:sz w:val="20"/>
          <w:szCs w:val="20"/>
          <w:color w:val="auto"/>
        </w:rPr>
      </w:pPr>
      <w:r>
        <w:rPr>
          <w:rFonts w:ascii="Courier New" w:cs="Courier New" w:eastAsia="Courier New" w:hAnsi="Courier New"/>
          <w:sz w:val="16"/>
          <w:szCs w:val="16"/>
          <w:color w:val="auto"/>
        </w:rPr>
        <w:t>Check the appropriate box:</w:t>
      </w:r>
    </w:p>
    <w:p>
      <w:pPr>
        <w:spacing w:after="0" w:line="1" w:lineRule="exact"/>
        <w:rPr>
          <w:sz w:val="24"/>
          <w:szCs w:val="24"/>
          <w:color w:val="auto"/>
        </w:rPr>
      </w:pPr>
    </w:p>
    <w:p>
      <w:pPr>
        <w:ind w:left="563" w:hanging="185"/>
        <w:spacing w:after="0"/>
        <w:tabs>
          <w:tab w:leader="none" w:pos="5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w:t>
      </w:r>
    </w:p>
    <w:p>
      <w:pPr>
        <w:spacing w:after="0" w:line="4" w:lineRule="exact"/>
        <w:rPr>
          <w:rFonts w:ascii="Courier New" w:cs="Courier New" w:eastAsia="Courier New" w:hAnsi="Courier New"/>
          <w:sz w:val="16"/>
          <w:szCs w:val="16"/>
          <w:color w:val="auto"/>
        </w:rPr>
      </w:pPr>
    </w:p>
    <w:p>
      <w:pPr>
        <w:ind w:left="843" w:right="3119" w:hanging="465"/>
        <w:spacing w:after="0" w:line="237" w:lineRule="auto"/>
        <w:tabs>
          <w:tab w:leader="none" w:pos="55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84" w:lineRule="exact"/>
        <w:rPr>
          <w:sz w:val="24"/>
          <w:szCs w:val="24"/>
          <w:color w:val="auto"/>
        </w:rPr>
      </w:pPr>
    </w:p>
    <w:p>
      <w:pPr>
        <w:ind w:left="563" w:hanging="185"/>
        <w:spacing w:after="0"/>
        <w:tabs>
          <w:tab w:leader="none" w:pos="5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ind w:left="563" w:hanging="185"/>
        <w:spacing w:after="0"/>
        <w:tabs>
          <w:tab w:leader="none" w:pos="5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Section 240.14a-11(c) or Section</w:t>
      </w:r>
    </w:p>
    <w:p>
      <w:pPr>
        <w:spacing w:after="0" w:line="1"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240.14a-12</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HAWKINS CHEMICAL, INC</w:t>
      </w:r>
    </w:p>
    <w:p>
      <w:pPr>
        <w:spacing w:after="0" w:line="5"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5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3" w:lineRule="exact"/>
        <w:rPr>
          <w:sz w:val="24"/>
          <w:szCs w:val="24"/>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186" w:lineRule="exact"/>
        <w:rPr>
          <w:sz w:val="24"/>
          <w:szCs w:val="24"/>
          <w:color w:val="auto"/>
        </w:rPr>
      </w:pPr>
    </w:p>
    <w:p>
      <w:pPr>
        <w:ind w:left="463" w:right="3879" w:hanging="463"/>
        <w:spacing w:after="0" w:line="237" w:lineRule="auto"/>
        <w:tabs>
          <w:tab w:leader="none" w:pos="17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83" w:lineRule="exact"/>
        <w:rPr>
          <w:rFonts w:ascii="Courier New" w:cs="Courier New" w:eastAsia="Courier New" w:hAnsi="Courier New"/>
          <w:sz w:val="16"/>
          <w:szCs w:val="16"/>
          <w:color w:val="auto"/>
        </w:rPr>
      </w:pPr>
    </w:p>
    <w:p>
      <w:pPr>
        <w:ind w:left="763" w:hanging="385"/>
        <w:spacing w:after="0"/>
        <w:tabs>
          <w:tab w:leader="none" w:pos="76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763" w:right="2939" w:hanging="385"/>
        <w:spacing w:after="0" w:line="238" w:lineRule="auto"/>
        <w:tabs>
          <w:tab w:leader="none" w:pos="76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4"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86" w:lineRule="exact"/>
        <w:rPr>
          <w:rFonts w:ascii="Courier New" w:cs="Courier New" w:eastAsia="Courier New" w:hAnsi="Courier New"/>
          <w:sz w:val="16"/>
          <w:szCs w:val="16"/>
          <w:color w:val="auto"/>
        </w:rPr>
      </w:pPr>
    </w:p>
    <w:p>
      <w:pPr>
        <w:ind w:left="383" w:right="2759" w:hanging="383"/>
        <w:spacing w:after="0" w:line="239" w:lineRule="auto"/>
        <w:tabs>
          <w:tab w:leader="none" w:pos="1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rFonts w:ascii="Courier New" w:cs="Courier New" w:eastAsia="Courier New" w:hAnsi="Courier New"/>
          <w:sz w:val="16"/>
          <w:szCs w:val="16"/>
          <w:color w:val="auto"/>
        </w:rPr>
      </w:pPr>
    </w:p>
    <w:p>
      <w:pPr>
        <w:ind w:left="763" w:hanging="385"/>
        <w:spacing w:after="0"/>
        <w:tabs>
          <w:tab w:leader="none" w:pos="76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598" w:right="1440" w:bottom="1440" w:gutter="0" w:footer="0" w:header="0"/>
          <w:type w:val="continuous"/>
        </w:sectPr>
      </w:pPr>
    </w:p>
    <w:bookmarkStart w:id="1" w:name="page2"/>
    <w:bookmarkEnd w:id="1"/>
    <w:p>
      <w:pPr>
        <w:jc w:val="center"/>
        <w:ind w:right="2659"/>
        <w:spacing w:after="0"/>
        <w:rPr>
          <w:sz w:val="20"/>
          <w:szCs w:val="20"/>
          <w:color w:val="auto"/>
        </w:rPr>
      </w:pPr>
      <w:r>
        <w:rPr>
          <w:rFonts w:ascii="Courier New" w:cs="Courier New" w:eastAsia="Courier New" w:hAnsi="Courier New"/>
          <w:sz w:val="16"/>
          <w:szCs w:val="16"/>
          <w:color w:val="auto"/>
        </w:rPr>
        <w:t>[LOGO]</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HAWKINS CHEMICAL, INC.</w:t>
      </w:r>
    </w:p>
    <w:p>
      <w:pPr>
        <w:spacing w:after="0" w:line="36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3100 EAST HENNEPIN AVENUE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MINNEAPOLIS, MINNESOTA 55413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TO BE HELD</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FEBRUARY 24, 1999</w:t>
      </w:r>
    </w:p>
    <w:p>
      <w:pPr>
        <w:spacing w:after="0" w:line="186"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The annual meeting of shareholders of Hawkins Chemical, Inc. (the "Company") will be held at Midland Hills Country Club, 2001 Fulham Street, St. Paul, Minnesota, on Wednesday, February 24, 1999, at 3:00 P.M., Central Standard Time, for the following purposes:</w:t>
      </w:r>
    </w:p>
    <w:p>
      <w:pPr>
        <w:spacing w:after="0" w:line="183" w:lineRule="exact"/>
        <w:rPr>
          <w:sz w:val="20"/>
          <w:szCs w:val="20"/>
          <w:color w:val="auto"/>
        </w:rPr>
      </w:pPr>
    </w:p>
    <w:p>
      <w:pPr>
        <w:ind w:left="760" w:hanging="385"/>
        <w:spacing w:after="0"/>
        <w:tabs>
          <w:tab w:leader="none" w:pos="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seven directors.</w:t>
      </w:r>
    </w:p>
    <w:p>
      <w:pPr>
        <w:spacing w:after="0" w:line="186" w:lineRule="exact"/>
        <w:rPr>
          <w:rFonts w:ascii="Courier New" w:cs="Courier New" w:eastAsia="Courier New" w:hAnsi="Courier New"/>
          <w:sz w:val="16"/>
          <w:szCs w:val="16"/>
          <w:color w:val="auto"/>
        </w:rPr>
      </w:pPr>
    </w:p>
    <w:p>
      <w:pPr>
        <w:ind w:left="760" w:right="2759" w:hanging="385"/>
        <w:spacing w:after="0" w:line="239" w:lineRule="auto"/>
        <w:tabs>
          <w:tab w:leader="none" w:pos="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to amend the Company's Amended and Second Restated Articles of Incorporation to increase the number of the Company's authorized shares of common stock from 15,000,000 shares to 30,000,000 shares.</w:t>
      </w:r>
    </w:p>
    <w:p>
      <w:pPr>
        <w:spacing w:after="0" w:line="187" w:lineRule="exact"/>
        <w:rPr>
          <w:rFonts w:ascii="Courier New" w:cs="Courier New" w:eastAsia="Courier New" w:hAnsi="Courier New"/>
          <w:sz w:val="16"/>
          <w:szCs w:val="16"/>
          <w:color w:val="auto"/>
        </w:rPr>
      </w:pPr>
    </w:p>
    <w:p>
      <w:pPr>
        <w:ind w:left="760" w:right="2759" w:hanging="385"/>
        <w:spacing w:after="0" w:line="237" w:lineRule="auto"/>
        <w:tabs>
          <w:tab w:leader="none" w:pos="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pacing w:after="0" w:line="188"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The Board of Directors has fixed the close of business on January 19, 1999 as the record date for determining the shareholders entitled to vote at the annual meeting. Accordingly, only shareholders of record at the close of business on that date will be entitled to vote at the meeting. The Company's transfer books will not be closed.</w:t>
      </w:r>
    </w:p>
    <w:p>
      <w:pPr>
        <w:spacing w:after="0" w:line="185"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6"/>
          <w:szCs w:val="16"/>
          <w:color w:val="auto"/>
        </w:rPr>
        <w:t>Dated: January 22, 1999.</w:t>
      </w:r>
      <w:r>
        <w:rPr>
          <w:sz w:val="20"/>
          <w:szCs w:val="20"/>
          <w:color w:val="auto"/>
        </w:rPr>
        <w:tab/>
      </w:r>
      <w:r>
        <w:rPr>
          <w:rFonts w:ascii="Courier New" w:cs="Courier New" w:eastAsia="Courier New" w:hAnsi="Courier New"/>
          <w:sz w:val="15"/>
          <w:szCs w:val="15"/>
          <w:color w:val="auto"/>
        </w:rPr>
        <w:t>BY ORDER OF THE BOARD OF DIRECTORS</w:t>
      </w:r>
    </w:p>
    <w:p>
      <w:pPr>
        <w:spacing w:after="0" w:line="183"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JOHN R. HAWKINS, SECRETARY</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IMPORTANT: TO ASSURE THE NECESSARY REPRESENTATION AT THE ANNUAL MEETING, YOU ARE URGED TO SIGN AND RETURN THE ENCLOSED PROXY PROMPTLY TO SAVE THE COMPANY THE EXPENSE OF ADDITIONAL SOLICITATION. DOING SO WILL NOT PREVENT YOU FROM VOTING IN PERSON IF YOU SO DESIRE.</w:t>
      </w:r>
    </w:p>
    <w:p>
      <w:pPr>
        <w:sectPr>
          <w:pgSz w:w="11900" w:h="16838" w:orient="portrait"/>
          <w:cols w:equalWidth="0" w:num="1">
            <w:col w:w="10219"/>
          </w:cols>
          <w:pgMar w:left="240" w:top="659" w:right="1440" w:bottom="1440" w:gutter="0" w:footer="0" w:header="0"/>
        </w:sectPr>
      </w:pPr>
    </w:p>
    <w:bookmarkStart w:id="2" w:name="page3"/>
    <w:bookmarkEnd w:id="2"/>
    <w:p>
      <w:pPr>
        <w:ind w:left="3020"/>
        <w:spacing w:after="0"/>
        <w:rPr>
          <w:sz w:val="20"/>
          <w:szCs w:val="20"/>
          <w:color w:val="auto"/>
        </w:rPr>
      </w:pPr>
      <w:r>
        <w:rPr>
          <w:rFonts w:ascii="Courier New" w:cs="Courier New" w:eastAsia="Courier New" w:hAnsi="Courier New"/>
          <w:sz w:val="16"/>
          <w:szCs w:val="16"/>
          <w:color w:val="auto"/>
        </w:rPr>
        <w:t>PROXY STATEMENT</w:t>
      </w:r>
    </w:p>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HAWKINS CHEMICAL, INC.</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3100 EAST HENNEPIN AVENUE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MINNEAPOLIS, MINNESOTA 55413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JANUARY 22, 1999</w:t>
      </w:r>
    </w:p>
    <w:p>
      <w:pPr>
        <w:spacing w:after="0" w:line="186"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The following statement is furnished in connection with the solicitation of proxies by the Board of Directors of Hawkins Chemical, Inc. (the "Company") to be voted at the annual meeting of shareholders of the Company to be held on Wednesday, February 24, 1999, or at any adjournment or adjournments of such meeting. Distribution of this proxy statement and proxy to the shareholders began on or about January 22, 1999.</w:t>
      </w:r>
    </w:p>
    <w:p>
      <w:pPr>
        <w:spacing w:after="0" w:line="18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SOLICITATION</w:t>
      </w:r>
    </w:p>
    <w:p>
      <w:pPr>
        <w:spacing w:after="0" w:line="186" w:lineRule="exact"/>
        <w:rPr>
          <w:sz w:val="20"/>
          <w:szCs w:val="20"/>
          <w:color w:val="auto"/>
        </w:rPr>
      </w:pPr>
    </w:p>
    <w:p>
      <w:pPr>
        <w:ind w:right="2759" w:firstLine="378"/>
        <w:spacing w:after="0" w:line="258" w:lineRule="auto"/>
        <w:rPr>
          <w:sz w:val="20"/>
          <w:szCs w:val="20"/>
          <w:color w:val="auto"/>
        </w:rPr>
      </w:pPr>
      <w:r>
        <w:rPr>
          <w:rFonts w:ascii="Courier New" w:cs="Courier New" w:eastAsia="Courier New" w:hAnsi="Courier New"/>
          <w:sz w:val="15"/>
          <w:szCs w:val="15"/>
          <w:color w:val="auto"/>
        </w:rPr>
        <w:t>The cost of soliciting proxies and of the notices of the meeting, including the preparation, assembly and mailing of proxies and this statement, will be borne by the Company. In addition to the use of the mails, proxies may be solicited personally or by telephone or telegraph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172"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REVOCATION AND VOTING OF PROXY</w:t>
      </w:r>
    </w:p>
    <w:p>
      <w:pPr>
        <w:spacing w:after="0" w:line="186"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use at the meeting by (1) 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187"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Unless otherwise directed in the accompanying proxy, the persons named therein will vote FOR the nominees for director as set forth in this Notice of Annual Meeting of Shareholders. As to any other business which may properly come before the meeting, they will vote in accordance with their best judgment. The Company does not presently know of any other business.</w:t>
      </w:r>
    </w:p>
    <w:p>
      <w:pPr>
        <w:spacing w:after="0" w:line="189" w:lineRule="exact"/>
        <w:rPr>
          <w:sz w:val="20"/>
          <w:szCs w:val="20"/>
          <w:color w:val="auto"/>
        </w:rPr>
      </w:pPr>
    </w:p>
    <w:p>
      <w:pPr>
        <w:ind w:right="2659" w:firstLine="378"/>
        <w:spacing w:after="0" w:line="258" w:lineRule="auto"/>
        <w:rPr>
          <w:sz w:val="20"/>
          <w:szCs w:val="20"/>
          <w:color w:val="auto"/>
        </w:rPr>
      </w:pPr>
      <w:r>
        <w:rPr>
          <w:rFonts w:ascii="Courier New" w:cs="Courier New" w:eastAsia="Courier New" w:hAnsi="Courier New"/>
          <w:sz w:val="15"/>
          <w:szCs w:val="15"/>
          <w:color w:val="auto"/>
        </w:rPr>
        <w:t>A majority of the outstanding shares will constitute a quorum at the annual meeting. Abstentions and broker non-votes are counted for purposes of determining the presence or absence of a quorum for the transaction of business. Pursuant to Minnesota law and the Company's Articles of Incorporation, abstentions are counted in determining the total number of the votes cast on proposals presented to shareholders, but will not be treated as votes in favor of the proposals. Broker non-votes are not counted for purposes of determining the total number of votes cast on proposals presented to shareholders.</w:t>
      </w:r>
    </w:p>
    <w:p>
      <w:pPr>
        <w:spacing w:after="0" w:line="172"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OUTSTANDING SHARES AND VOTING RIGHTS</w:t>
      </w:r>
    </w:p>
    <w:p>
      <w:pPr>
        <w:spacing w:after="0" w:line="186"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As of the close of business on January 5, 1999, there were outstanding 11,323,030 shares of common stock, par value $.05 per share, which is the only outstanding class of stock of the Company. Holders of common shares are entitled to one vote for each share held on the record date with respect to all matters that may be brought before the meeting. The record date for determining the shareholders entitled to vote at the 1999 annual meeting is January 19, 1999. There is no cumulative voting for directors.</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6" w:lineRule="exact"/>
        <w:rPr>
          <w:sz w:val="20"/>
          <w:szCs w:val="20"/>
          <w:color w:val="auto"/>
        </w:rPr>
      </w:pPr>
    </w:p>
    <w:p>
      <w:pPr>
        <w:ind w:right="2759" w:firstLine="378"/>
        <w:spacing w:after="0" w:line="238" w:lineRule="auto"/>
        <w:rPr>
          <w:sz w:val="20"/>
          <w:szCs w:val="20"/>
          <w:color w:val="auto"/>
        </w:rPr>
      </w:pPr>
      <w:r>
        <w:rPr>
          <w:rFonts w:ascii="Courier New" w:cs="Courier New" w:eastAsia="Courier New" w:hAnsi="Courier New"/>
          <w:sz w:val="16"/>
          <w:szCs w:val="16"/>
          <w:color w:val="auto"/>
        </w:rPr>
        <w:t>Section 16(a) of the Securities Exchange Act of 1934 requires the Company's executive officers and directors to file initial reports of ownership and reports of changes in ownership of common stock of the</w:t>
      </w:r>
    </w:p>
    <w:p>
      <w:pPr>
        <w:sectPr>
          <w:pgSz w:w="11900" w:h="16838" w:orient="portrait"/>
          <w:cols w:equalWidth="0" w:num="1">
            <w:col w:w="10219"/>
          </w:cols>
          <w:pgMar w:left="240" w:top="659" w:right="1440" w:bottom="1440" w:gutter="0" w:footer="0" w:header="0"/>
        </w:sectPr>
      </w:pPr>
    </w:p>
    <w:bookmarkStart w:id="3" w:name="page4"/>
    <w:bookmarkEnd w:id="3"/>
    <w:p>
      <w:pPr>
        <w:ind w:left="3" w:right="200"/>
        <w:spacing w:after="0"/>
        <w:rPr>
          <w:sz w:val="20"/>
          <w:szCs w:val="20"/>
          <w:color w:val="auto"/>
        </w:rPr>
      </w:pPr>
      <w:r>
        <w:rPr>
          <w:rFonts w:ascii="Courier New" w:cs="Courier New" w:eastAsia="Courier New" w:hAnsi="Courier New"/>
          <w:sz w:val="16"/>
          <w:szCs w:val="16"/>
          <w:color w:val="auto"/>
        </w:rPr>
        <w:t>Company with the Securities and Exchange Commission.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w:t>
      </w:r>
    </w:p>
    <w:p>
      <w:pPr>
        <w:spacing w:after="0" w:line="183" w:lineRule="exact"/>
        <w:rPr>
          <w:sz w:val="20"/>
          <w:szCs w:val="20"/>
          <w:color w:val="auto"/>
        </w:rPr>
      </w:pPr>
    </w:p>
    <w:p>
      <w:pPr>
        <w:jc w:val="center"/>
        <w:ind w:right="197"/>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 w:lineRule="exact"/>
        <w:rPr>
          <w:sz w:val="20"/>
          <w:szCs w:val="20"/>
          <w:color w:val="auto"/>
        </w:rPr>
      </w:pPr>
    </w:p>
    <w:p>
      <w:pPr>
        <w:jc w:val="center"/>
        <w:ind w:right="197"/>
        <w:spacing w:after="0"/>
        <w:rPr>
          <w:sz w:val="20"/>
          <w:szCs w:val="20"/>
          <w:color w:val="auto"/>
        </w:rPr>
      </w:pPr>
      <w:r>
        <w:rPr>
          <w:rFonts w:ascii="Courier New" w:cs="Courier New" w:eastAsia="Courier New" w:hAnsi="Courier New"/>
          <w:sz w:val="16"/>
          <w:szCs w:val="16"/>
          <w:color w:val="auto"/>
        </w:rPr>
        <w:t>AND BENEFICIAL OWNERSHIP</w:t>
      </w:r>
    </w:p>
    <w:p>
      <w:pPr>
        <w:spacing w:after="0" w:line="186" w:lineRule="exact"/>
        <w:rPr>
          <w:sz w:val="20"/>
          <w:szCs w:val="20"/>
          <w:color w:val="auto"/>
        </w:rPr>
      </w:pPr>
    </w:p>
    <w:p>
      <w:pPr>
        <w:ind w:left="3" w:right="300" w:firstLine="378"/>
        <w:spacing w:after="0" w:line="239" w:lineRule="auto"/>
        <w:rPr>
          <w:sz w:val="20"/>
          <w:szCs w:val="20"/>
          <w:color w:val="auto"/>
        </w:rPr>
      </w:pPr>
      <w:r>
        <w:rPr>
          <w:rFonts w:ascii="Courier New" w:cs="Courier New" w:eastAsia="Courier New" w:hAnsi="Courier New"/>
          <w:sz w:val="16"/>
          <w:szCs w:val="16"/>
          <w:color w:val="auto"/>
        </w:rPr>
        <w:t>The following table contains information as of October 31, 1998 concerning the beneficial ownership of the Company's common shares by all directors and nominees, by all current directors and officers as a group and by persons known to the Company to beneficially own more than 5% of its common shares. Unless otherwise noted, the address for each person listed below is the Company's executive offices.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BENEFICIAL OWNER</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Howard J. Hawkins...............................................................</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3100 East Hennepin Avenue</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Minneapolis, MN 55413</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Norman P. Anderson..............................................................</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225 Holly Road</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Hopkins, MN 55343</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Carl J. Ahlgren.................................................................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Howard M. Hawkins...............................................................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Dean L. Hahn....................................................................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Donald L. Shipp.................................................................</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John R. Hawkins.................................................................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John S. McKeon..................................................................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Duane M. Jergenson..............................................................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 Robert Gey...................................................................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All current directors and officers as a group (12 persons)......................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Trustees, Hawkins Chemical, Inc.</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Employee Stock Ownership Plan and Trust.........................................</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3l00 East Hennepin Avenue</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Minneapolis, MN 55413</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w:t>
      </w:r>
    </w:p>
    <w:p>
      <w:pPr>
        <w:spacing w:after="0" w:line="186" w:lineRule="exact"/>
        <w:rPr>
          <w:sz w:val="20"/>
          <w:szCs w:val="20"/>
          <w:color w:val="auto"/>
        </w:rPr>
      </w:pPr>
    </w:p>
    <w:p>
      <w:pPr>
        <w:ind w:left="383" w:right="300" w:hanging="383"/>
        <w:spacing w:after="0" w:line="237" w:lineRule="auto"/>
        <w:tabs>
          <w:tab w:leader="none" w:pos="3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all shares shown are held by individuals possessing sole voting and investment power with respect to such shares.</w:t>
      </w:r>
    </w:p>
    <w:p>
      <w:pPr>
        <w:spacing w:after="0" w:line="187" w:lineRule="exact"/>
        <w:rPr>
          <w:rFonts w:ascii="Courier New" w:cs="Courier New" w:eastAsia="Courier New" w:hAnsi="Courier New"/>
          <w:sz w:val="16"/>
          <w:szCs w:val="16"/>
          <w:color w:val="auto"/>
        </w:rPr>
      </w:pPr>
    </w:p>
    <w:p>
      <w:pPr>
        <w:ind w:left="383" w:right="200" w:hanging="383"/>
        <w:spacing w:after="0" w:line="239" w:lineRule="auto"/>
        <w:tabs>
          <w:tab w:leader="none" w:pos="3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191,665 shares owned by the wife of Mr. Hawkins as to which Mr. Hawkins may be deemed to share voting and investment power, but as to which he disclaims beneficial ownership, as well as 36,903 shares that Mr. Hawkins holds jointly with his wife as to which he shares voting and investment power. Does not include shares representing the beneficial interest of Mr. Hawkins as of October 31, 1998 in the Company's Employee Stock Ownership Plan (134,512 shares).</w:t>
      </w:r>
    </w:p>
    <w:p>
      <w:pPr>
        <w:spacing w:after="0" w:line="191" w:lineRule="exact"/>
        <w:rPr>
          <w:rFonts w:ascii="Courier New" w:cs="Courier New" w:eastAsia="Courier New" w:hAnsi="Courier New"/>
          <w:sz w:val="16"/>
          <w:szCs w:val="16"/>
          <w:color w:val="auto"/>
        </w:rPr>
      </w:pPr>
    </w:p>
    <w:p>
      <w:pPr>
        <w:ind w:left="383" w:right="380" w:hanging="383"/>
        <w:spacing w:after="0" w:line="262" w:lineRule="auto"/>
        <w:tabs>
          <w:tab w:leader="none" w:pos="38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45,565 shares held in trust for the benefit of Mr. Ahlgren's wife as to which Mr. Ahlgren disclaims beneficial ownership, and 24,758 shares held in trust as to which Mr. Ahlgren shares voting and investment power.</w:t>
      </w:r>
    </w:p>
    <w:p>
      <w:pPr>
        <w:spacing w:after="0" w:line="171" w:lineRule="exact"/>
        <w:rPr>
          <w:rFonts w:ascii="Courier New" w:cs="Courier New" w:eastAsia="Courier New" w:hAnsi="Courier New"/>
          <w:sz w:val="15"/>
          <w:szCs w:val="15"/>
          <w:color w:val="auto"/>
        </w:rPr>
      </w:pPr>
    </w:p>
    <w:p>
      <w:pPr>
        <w:ind w:left="383" w:right="200" w:hanging="383"/>
        <w:spacing w:after="0" w:line="238" w:lineRule="auto"/>
        <w:tabs>
          <w:tab w:leader="none" w:pos="3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65,195 shares held by the wife of Mr. Hawkins as to which he may be deemed to share voting and investment power, but as to which he disclaims beneficial ownership; and 99,469 shares that</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4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PERCENT OF</w:t>
            </w:r>
          </w:p>
        </w:tc>
      </w:tr>
      <w:tr>
        <w:trPr>
          <w:trHeight w:val="182"/>
        </w:trPr>
        <w:tc>
          <w:tcPr>
            <w:tcW w:w="1420" w:type="dxa"/>
            <w:vAlign w:val="bottom"/>
          </w:tcPr>
          <w:p>
            <w:pPr>
              <w:spacing w:after="0"/>
              <w:rPr>
                <w:sz w:val="20"/>
                <w:szCs w:val="20"/>
                <w:color w:val="auto"/>
              </w:rPr>
            </w:pPr>
            <w:r>
              <w:rPr>
                <w:rFonts w:ascii="Courier New" w:cs="Courier New" w:eastAsia="Courier New" w:hAnsi="Courier New"/>
                <w:sz w:val="16"/>
                <w:szCs w:val="16"/>
                <w:color w:val="auto"/>
              </w:rPr>
              <w:t>SHARES(a)</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CLASS</w:t>
            </w:r>
          </w:p>
        </w:tc>
      </w:tr>
      <w:tr>
        <w:trPr>
          <w:trHeight w:val="182"/>
        </w:trPr>
        <w:tc>
          <w:tcPr>
            <w:tcW w:w="14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492,515(b)</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w:t>
            </w:r>
          </w:p>
        </w:tc>
      </w:tr>
      <w:tr>
        <w:trPr>
          <w:trHeight w:val="546"/>
        </w:trPr>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417,005</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w:t>
            </w:r>
          </w:p>
        </w:tc>
      </w:tr>
      <w:tr>
        <w:trPr>
          <w:trHeight w:val="546"/>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97,757(c)</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169,548(d)</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r>
      <w:tr>
        <w:trPr>
          <w:trHeight w:val="182"/>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104,966(e)</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132,306(f)</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w:t>
            </w:r>
          </w:p>
        </w:tc>
      </w:tr>
      <w:tr>
        <w:trPr>
          <w:trHeight w:val="182"/>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74,164(g)</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16,507(h)</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3,275</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1" w:lineRule="exact"/>
        <w:rPr>
          <w:sz w:val="20"/>
          <w:szCs w:val="20"/>
          <w:color w:val="auto"/>
        </w:rPr>
      </w:pPr>
    </w:p>
    <w:p>
      <w:pPr>
        <w:ind w:left="2360" w:hanging="1413"/>
        <w:spacing w:after="0"/>
        <w:tabs>
          <w:tab w:leader="none" w:pos="23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1,526,651(i)13.4%</w:t>
      </w:r>
    </w:p>
    <w:p>
      <w:pPr>
        <w:spacing w:after="0" w:line="183" w:lineRule="exact"/>
        <w:rPr>
          <w:sz w:val="20"/>
          <w:szCs w:val="20"/>
          <w:color w:val="auto"/>
        </w:rPr>
      </w:pPr>
    </w:p>
    <w:p>
      <w:pPr>
        <w:ind w:left="200"/>
        <w:spacing w:after="0"/>
        <w:tabs>
          <w:tab w:leader="none" w:pos="2060" w:val="left"/>
        </w:tabs>
        <w:rPr>
          <w:sz w:val="20"/>
          <w:szCs w:val="20"/>
          <w:color w:val="auto"/>
        </w:rPr>
      </w:pPr>
      <w:r>
        <w:rPr>
          <w:rFonts w:ascii="Courier New" w:cs="Courier New" w:eastAsia="Courier New" w:hAnsi="Courier New"/>
          <w:sz w:val="16"/>
          <w:szCs w:val="16"/>
          <w:color w:val="auto"/>
        </w:rPr>
        <w:t>2,499,582(j)</w:t>
      </w:r>
      <w:r>
        <w:rPr>
          <w:sz w:val="20"/>
          <w:szCs w:val="20"/>
          <w:color w:val="auto"/>
        </w:rPr>
        <w:tab/>
      </w:r>
      <w:r>
        <w:rPr>
          <w:rFonts w:ascii="Courier New" w:cs="Courier New" w:eastAsia="Courier New" w:hAnsi="Courier New"/>
          <w:sz w:val="16"/>
          <w:szCs w:val="16"/>
          <w:color w:val="auto"/>
        </w:rPr>
        <w:t>22.0%</w:t>
      </w:r>
    </w:p>
    <w:p>
      <w:pPr>
        <w:sectPr>
          <w:pgSz w:w="11900" w:h="16838" w:orient="portrait"/>
          <w:cols w:equalWidth="0" w:num="2">
            <w:col w:w="7763" w:space="180"/>
            <w:col w:w="2740"/>
          </w:cols>
          <w:pgMar w:left="237" w:top="481" w:right="979" w:bottom="1440" w:gutter="0" w:footer="0" w:header="0"/>
        </w:sectPr>
      </w:pPr>
    </w:p>
    <w:bookmarkStart w:id="4" w:name="page5"/>
    <w:bookmarkEnd w:id="4"/>
    <w:p>
      <w:pPr>
        <w:ind w:left="383" w:right="3039"/>
        <w:spacing w:after="0" w:line="239" w:lineRule="auto"/>
        <w:rPr>
          <w:sz w:val="20"/>
          <w:szCs w:val="20"/>
          <w:color w:val="auto"/>
        </w:rPr>
      </w:pPr>
      <w:r>
        <w:rPr>
          <w:rFonts w:ascii="Courier New" w:cs="Courier New" w:eastAsia="Courier New" w:hAnsi="Courier New"/>
          <w:sz w:val="16"/>
          <w:szCs w:val="16"/>
          <w:color w:val="auto"/>
        </w:rPr>
        <w:t>Mr. Hawkins holds jointly with his wife as to which he shares voting and investment power. Does not include shares representing the beneficial interest of Mr. Hawkins as of October 31, 1998 in the Company's Employee Stock Ownership Plan (122,833 shares).</w:t>
      </w:r>
    </w:p>
    <w:p>
      <w:pPr>
        <w:spacing w:after="0" w:line="187" w:lineRule="exact"/>
        <w:rPr>
          <w:sz w:val="20"/>
          <w:szCs w:val="20"/>
          <w:color w:val="auto"/>
        </w:rPr>
      </w:pPr>
    </w:p>
    <w:p>
      <w:pPr>
        <w:ind w:left="383" w:right="2759" w:hanging="383"/>
        <w:spacing w:after="0" w:line="239" w:lineRule="auto"/>
        <w:tabs>
          <w:tab w:leader="none" w:pos="38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8,292 shares that Mr. Hahn holds jointly with his wife as to which he shares voting and investment power. Does not include shares representing Mr. Hahn's beneficial interest as of October 31, 1998 in the Company's Employee Stock Ownership Plan (201,106 shares).</w:t>
      </w:r>
    </w:p>
    <w:p>
      <w:pPr>
        <w:spacing w:after="0" w:line="187" w:lineRule="exact"/>
        <w:rPr>
          <w:rFonts w:ascii="Courier New" w:cs="Courier New" w:eastAsia="Courier New" w:hAnsi="Courier New"/>
          <w:sz w:val="16"/>
          <w:szCs w:val="16"/>
          <w:color w:val="auto"/>
        </w:rPr>
      </w:pPr>
    </w:p>
    <w:p>
      <w:pPr>
        <w:ind w:left="383" w:right="2659" w:hanging="383"/>
        <w:spacing w:after="0" w:line="239" w:lineRule="auto"/>
        <w:tabs>
          <w:tab w:leader="none" w:pos="38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60,000 shares held by the wife of Mr. Shipp as to which he may be deemed to share voting and investment power, but as to which he disclaims beneficial ownership; and 70,509 shares that Mr. Shipp holds jointly with his wife as to which he shares voting and investment power. Does not include shares representing Mr. Shipp's beneficial interest as of October 31, 1998 in the Company's Employee Stock Ownership Plan (174,838 shares).</w:t>
      </w:r>
    </w:p>
    <w:p>
      <w:pPr>
        <w:spacing w:after="0" w:line="190" w:lineRule="exact"/>
        <w:rPr>
          <w:rFonts w:ascii="Courier New" w:cs="Courier New" w:eastAsia="Courier New" w:hAnsi="Courier New"/>
          <w:sz w:val="16"/>
          <w:szCs w:val="16"/>
          <w:color w:val="auto"/>
        </w:rPr>
      </w:pPr>
    </w:p>
    <w:p>
      <w:pPr>
        <w:ind w:left="383" w:right="2659" w:hanging="383"/>
        <w:spacing w:after="0" w:line="239" w:lineRule="auto"/>
        <w:tabs>
          <w:tab w:leader="none" w:pos="38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40,897 shares held by Mr. Hawkins as custodian for one minor child as to which he has sole voting and investment power, but as to which he disclaims beneficial ownership, as well as 13,986 shares held by Mr. Hawkins jointly with his wife as to which he shares voting and investment power. Does not include shares representing the beneficial interest of Mr. Hawkins as of October 31, 1998 in the Company's Employee Stock Ownership Plan (116,280 shares).</w:t>
      </w:r>
    </w:p>
    <w:p>
      <w:pPr>
        <w:spacing w:after="0" w:line="191" w:lineRule="exact"/>
        <w:rPr>
          <w:rFonts w:ascii="Courier New" w:cs="Courier New" w:eastAsia="Courier New" w:hAnsi="Courier New"/>
          <w:sz w:val="16"/>
          <w:szCs w:val="16"/>
          <w:color w:val="auto"/>
        </w:rPr>
      </w:pPr>
    </w:p>
    <w:p>
      <w:pPr>
        <w:jc w:val="both"/>
        <w:ind w:left="383" w:right="2659" w:hanging="383"/>
        <w:spacing w:after="0" w:line="238" w:lineRule="auto"/>
        <w:tabs>
          <w:tab w:leader="none" w:pos="38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1,097 shares held by Mr. McKeon as custodian for his minor children as to which Mr. McKeon has sole voting and investment power, but as to which he disclaims beneficial ownership.</w:t>
      </w:r>
    </w:p>
    <w:p>
      <w:pPr>
        <w:spacing w:after="0" w:line="188" w:lineRule="exact"/>
        <w:rPr>
          <w:rFonts w:ascii="Courier New" w:cs="Courier New" w:eastAsia="Courier New" w:hAnsi="Courier New"/>
          <w:sz w:val="16"/>
          <w:szCs w:val="16"/>
          <w:color w:val="auto"/>
        </w:rPr>
      </w:pPr>
    </w:p>
    <w:p>
      <w:pPr>
        <w:ind w:left="383" w:right="2759" w:hanging="383"/>
        <w:spacing w:after="0"/>
        <w:tabs>
          <w:tab w:leader="none" w:pos="38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5,022 shares owned by an officer (who is not also a director or nominee) jointly with his wife as to which he shares voting and investment power; and 12,158 shares owned by an officer (who is not also a director or nominee) jointly with his wife as to which he shares voting and investment power; and 1,428 shares held custodially for three minor children. Not included in the total are shares representing the beneficial ownership of certain officers as of October 31, 1998 in the Company's Employee Stock Ownership Plan (90,328 shares).</w:t>
      </w:r>
    </w:p>
    <w:p>
      <w:pPr>
        <w:spacing w:after="0" w:line="186" w:lineRule="exact"/>
        <w:rPr>
          <w:rFonts w:ascii="Courier New" w:cs="Courier New" w:eastAsia="Courier New" w:hAnsi="Courier New"/>
          <w:sz w:val="16"/>
          <w:szCs w:val="16"/>
          <w:color w:val="auto"/>
        </w:rPr>
      </w:pPr>
    </w:p>
    <w:p>
      <w:pPr>
        <w:ind w:left="383" w:right="2659" w:hanging="383"/>
        <w:spacing w:after="0" w:line="256" w:lineRule="auto"/>
        <w:tabs>
          <w:tab w:leader="none" w:pos="3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trustees of the Hawkins Chemical, Inc. Employee Stock Ownership Plan and Trust and of the Hawkins Chemical, Inc. Money Purchase Pension Plan and Trust are Howard J. Hawkins, Dean L. Hahn, Donald L. Shipp, Howard M.</w:t>
      </w:r>
    </w:p>
    <w:p>
      <w:pPr>
        <w:spacing w:after="0" w:line="1" w:lineRule="exact"/>
        <w:rPr>
          <w:rFonts w:ascii="Courier New" w:cs="Courier New" w:eastAsia="Courier New" w:hAnsi="Courier New"/>
          <w:sz w:val="15"/>
          <w:szCs w:val="15"/>
          <w:color w:val="auto"/>
        </w:rPr>
      </w:pPr>
    </w:p>
    <w:p>
      <w:pPr>
        <w:ind w:left="383" w:right="27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Hawkins, and John R. Hawkins. Although these individuals could be deemed to "beneficially own" all of the shares held by these Plans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 but not under the Money Purchase Pension Plan.</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PROPOSALS TO BE ACTED UPON AT THE ANNUAL MEETING</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ELECTION OF DIRECTORS</w:t>
      </w:r>
    </w:p>
    <w:p>
      <w:pPr>
        <w:spacing w:after="0" w:line="1"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(PROPOSAL 1)</w:t>
      </w:r>
    </w:p>
    <w:p>
      <w:pPr>
        <w:spacing w:after="0" w:line="186" w:lineRule="exact"/>
        <w:rPr>
          <w:sz w:val="20"/>
          <w:szCs w:val="20"/>
          <w:color w:val="auto"/>
        </w:rPr>
      </w:pPr>
    </w:p>
    <w:p>
      <w:pPr>
        <w:ind w:left="3" w:right="2659" w:firstLine="378"/>
        <w:spacing w:after="0"/>
        <w:rPr>
          <w:sz w:val="20"/>
          <w:szCs w:val="20"/>
          <w:color w:val="auto"/>
        </w:rPr>
      </w:pPr>
      <w:r>
        <w:rPr>
          <w:rFonts w:ascii="Courier New" w:cs="Courier New" w:eastAsia="Courier New" w:hAnsi="Courier New"/>
          <w:sz w:val="16"/>
          <w:szCs w:val="16"/>
          <w:color w:val="auto"/>
        </w:rPr>
        <w:t>At the forthcoming annual meeting, seven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Proxies will be voted for the election of all nominees unless you direct otherwise. Should any nominee decline or be unable to accept such nomination or to serve as a director (an event which management does not now expect to occur), proxies will be voted for a substitute nominee or nominees in accordance with the best judgment of the person or persons acting under them.</w:t>
      </w:r>
    </w:p>
    <w:p>
      <w:pPr>
        <w:spacing w:after="0" w:line="18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48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INFORMATION ABOUT NOMINEES</w:t>
      </w:r>
    </w:p>
    <w:p>
      <w:pPr>
        <w:spacing w:after="0" w:line="186" w:lineRule="exact"/>
        <w:rPr>
          <w:sz w:val="20"/>
          <w:szCs w:val="20"/>
          <w:color w:val="auto"/>
        </w:rPr>
      </w:pPr>
    </w:p>
    <w:p>
      <w:pPr>
        <w:ind w:right="1620" w:firstLine="378"/>
        <w:spacing w:after="0" w:line="239" w:lineRule="auto"/>
        <w:rPr>
          <w:sz w:val="20"/>
          <w:szCs w:val="20"/>
          <w:color w:val="auto"/>
        </w:rPr>
      </w:pPr>
      <w:r>
        <w:rPr>
          <w:rFonts w:ascii="Courier New" w:cs="Courier New" w:eastAsia="Courier New" w:hAnsi="Courier New"/>
          <w:sz w:val="16"/>
          <w:szCs w:val="16"/>
          <w:color w:val="auto"/>
        </w:rPr>
        <w:t>All nominees who are now directors of the Company have served continuously since the year indicated below. The following information, including the principal occupation or employment of each nominee, has been furnished to the Company by the respective nominees, as of December 15, 1998; all occupations are with the Company unless otherwise noted.</w:t>
      </w:r>
    </w:p>
    <w:p>
      <w:pPr>
        <w:spacing w:after="0" w:line="200" w:lineRule="exact"/>
        <w:rPr>
          <w:sz w:val="20"/>
          <w:szCs w:val="20"/>
          <w:color w:val="auto"/>
        </w:rPr>
      </w:pPr>
    </w:p>
    <w:p>
      <w:pPr>
        <w:spacing w:after="0" w:line="349"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PRINCIPAL OCCUPATION</w:t>
      </w:r>
    </w:p>
    <w:p>
      <w:pPr>
        <w:spacing w:after="0" w:line="1"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6"/>
          <w:szCs w:val="16"/>
          <w:color w:val="auto"/>
        </w:rPr>
        <w:t>NOMINEE</w:t>
      </w:r>
      <w:r>
        <w:rPr>
          <w:sz w:val="20"/>
          <w:szCs w:val="20"/>
          <w:color w:val="auto"/>
        </w:rPr>
        <w:tab/>
      </w:r>
      <w:r>
        <w:rPr>
          <w:rFonts w:ascii="Courier New" w:cs="Courier New" w:eastAsia="Courier New" w:hAnsi="Courier New"/>
          <w:sz w:val="16"/>
          <w:szCs w:val="16"/>
          <w:color w:val="auto"/>
        </w:rPr>
        <w:t>AND EMPLOYMENT</w:t>
      </w:r>
    </w:p>
    <w:p>
      <w:pPr>
        <w:spacing w:after="0" w:line="1"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Dean L. Hahn........................</w:t>
      </w:r>
      <w:r>
        <w:rPr>
          <w:sz w:val="20"/>
          <w:szCs w:val="20"/>
          <w:color w:val="auto"/>
        </w:rPr>
        <w:tab/>
      </w:r>
      <w:r>
        <w:rPr>
          <w:rFonts w:ascii="Courier New" w:cs="Courier New" w:eastAsia="Courier New" w:hAnsi="Courier New"/>
          <w:sz w:val="15"/>
          <w:szCs w:val="15"/>
          <w:color w:val="auto"/>
        </w:rPr>
        <w:t>Chairman of the Board and Chief Executive Officer since</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1996; President from 1983 to 1996.</w:t>
      </w:r>
    </w:p>
    <w:p>
      <w:pPr>
        <w:spacing w:after="0" w:line="1"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Donald L. Shipp.....................</w:t>
      </w:r>
      <w:r>
        <w:rPr>
          <w:sz w:val="20"/>
          <w:szCs w:val="20"/>
          <w:color w:val="auto"/>
        </w:rPr>
        <w:tab/>
      </w:r>
      <w:r>
        <w:rPr>
          <w:rFonts w:ascii="Courier New" w:cs="Courier New" w:eastAsia="Courier New" w:hAnsi="Courier New"/>
          <w:sz w:val="15"/>
          <w:szCs w:val="15"/>
          <w:color w:val="auto"/>
        </w:rPr>
        <w:t>Vice Chairman since December 1998; President from 1996 to</w:t>
      </w:r>
    </w:p>
    <w:p>
      <w:pPr>
        <w:spacing w:after="0" w:line="5" w:lineRule="exact"/>
        <w:rPr>
          <w:sz w:val="20"/>
          <w:szCs w:val="20"/>
          <w:color w:val="auto"/>
        </w:rPr>
      </w:pPr>
    </w:p>
    <w:p>
      <w:pPr>
        <w:ind w:left="3600" w:right="680"/>
        <w:spacing w:after="0" w:line="256" w:lineRule="auto"/>
        <w:rPr>
          <w:sz w:val="20"/>
          <w:szCs w:val="20"/>
          <w:color w:val="auto"/>
        </w:rPr>
      </w:pPr>
      <w:r>
        <w:rPr>
          <w:rFonts w:ascii="Courier New" w:cs="Courier New" w:eastAsia="Courier New" w:hAnsi="Courier New"/>
          <w:sz w:val="15"/>
          <w:szCs w:val="15"/>
          <w:color w:val="auto"/>
        </w:rPr>
        <w:t>December 1998; Executive Vice President from 1983 to 1996; President of Feed-Rite Controls, Inc., then a subsidiary of the Company, from 1967 to 1996.</w:t>
      </w:r>
    </w:p>
    <w:p>
      <w:pPr>
        <w:spacing w:after="0"/>
        <w:tabs>
          <w:tab w:leader="none" w:pos="3580" w:val="left"/>
        </w:tabs>
        <w:rPr>
          <w:sz w:val="20"/>
          <w:szCs w:val="20"/>
          <w:color w:val="auto"/>
        </w:rPr>
      </w:pPr>
      <w:r>
        <w:rPr>
          <w:rFonts w:ascii="Courier New" w:cs="Courier New" w:eastAsia="Courier New" w:hAnsi="Courier New"/>
          <w:sz w:val="16"/>
          <w:szCs w:val="16"/>
          <w:color w:val="auto"/>
        </w:rPr>
        <w:t>John R. Hawkins.....................</w:t>
      </w:r>
      <w:r>
        <w:rPr>
          <w:sz w:val="20"/>
          <w:szCs w:val="20"/>
          <w:color w:val="auto"/>
        </w:rPr>
        <w:tab/>
      </w:r>
      <w:r>
        <w:rPr>
          <w:rFonts w:ascii="Courier New" w:cs="Courier New" w:eastAsia="Courier New" w:hAnsi="Courier New"/>
          <w:sz w:val="15"/>
          <w:szCs w:val="15"/>
          <w:color w:val="auto"/>
        </w:rPr>
        <w:t>President since December 1998; Executive Vice President</w:t>
      </w:r>
    </w:p>
    <w:p>
      <w:pPr>
        <w:spacing w:after="0" w:line="5" w:lineRule="exact"/>
        <w:rPr>
          <w:sz w:val="20"/>
          <w:szCs w:val="20"/>
          <w:color w:val="auto"/>
        </w:rPr>
      </w:pPr>
    </w:p>
    <w:p>
      <w:pPr>
        <w:ind w:left="3600" w:right="300"/>
        <w:spacing w:after="0" w:line="237" w:lineRule="auto"/>
        <w:rPr>
          <w:sz w:val="20"/>
          <w:szCs w:val="20"/>
          <w:color w:val="auto"/>
        </w:rPr>
      </w:pPr>
      <w:r>
        <w:rPr>
          <w:rFonts w:ascii="Courier New" w:cs="Courier New" w:eastAsia="Courier New" w:hAnsi="Courier New"/>
          <w:sz w:val="16"/>
          <w:szCs w:val="16"/>
          <w:color w:val="auto"/>
        </w:rPr>
        <w:t>from 1997 to December 1998; Vice President of Sales from 1987 to 1997; Secretary since 1991.</w:t>
      </w:r>
    </w:p>
    <w:p>
      <w:pPr>
        <w:spacing w:after="0" w:line="2"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Howard M. Hawkins...................</w:t>
      </w:r>
      <w:r>
        <w:rPr>
          <w:sz w:val="20"/>
          <w:szCs w:val="20"/>
          <w:color w:val="auto"/>
        </w:rPr>
        <w:tab/>
      </w:r>
      <w:r>
        <w:rPr>
          <w:rFonts w:ascii="Courier New" w:cs="Courier New" w:eastAsia="Courier New" w:hAnsi="Courier New"/>
          <w:sz w:val="15"/>
          <w:szCs w:val="15"/>
          <w:color w:val="auto"/>
        </w:rPr>
        <w:t>Treasurer since 1973; Vice President since 1996.</w:t>
      </w:r>
    </w:p>
    <w:p>
      <w:pPr>
        <w:spacing w:after="0" w:line="1"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John S. McKeon......................</w:t>
      </w:r>
      <w:r>
        <w:rPr>
          <w:sz w:val="20"/>
          <w:szCs w:val="20"/>
          <w:color w:val="auto"/>
        </w:rPr>
        <w:tab/>
      </w:r>
      <w:r>
        <w:rPr>
          <w:rFonts w:ascii="Courier New" w:cs="Courier New" w:eastAsia="Courier New" w:hAnsi="Courier New"/>
          <w:sz w:val="15"/>
          <w:szCs w:val="15"/>
          <w:color w:val="auto"/>
        </w:rPr>
        <w:t>President of Golden Valley Microwave Foods, Inc. since</w:t>
      </w:r>
    </w:p>
    <w:p>
      <w:pPr>
        <w:spacing w:after="0" w:line="5" w:lineRule="exact"/>
        <w:rPr>
          <w:sz w:val="20"/>
          <w:szCs w:val="20"/>
          <w:color w:val="auto"/>
        </w:rPr>
      </w:pPr>
    </w:p>
    <w:p>
      <w:pPr>
        <w:ind w:left="3600" w:right="200"/>
        <w:spacing w:after="0" w:line="238" w:lineRule="auto"/>
        <w:rPr>
          <w:sz w:val="20"/>
          <w:szCs w:val="20"/>
          <w:color w:val="auto"/>
        </w:rPr>
      </w:pPr>
      <w:r>
        <w:rPr>
          <w:rFonts w:ascii="Courier New" w:cs="Courier New" w:eastAsia="Courier New" w:hAnsi="Courier New"/>
          <w:sz w:val="16"/>
          <w:szCs w:val="16"/>
          <w:color w:val="auto"/>
        </w:rPr>
        <w:t>August 1993; President of McKeon Associates, Inc. 1991 to 1993 (corporate finance consulting); Vice President of Northstar Industries, Inc. 1976 to 1990.</w:t>
      </w:r>
    </w:p>
    <w:p>
      <w:pPr>
        <w:spacing w:after="0" w:line="2"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Duane M. Jergenson..................</w:t>
      </w:r>
      <w:r>
        <w:rPr>
          <w:sz w:val="20"/>
          <w:szCs w:val="20"/>
          <w:color w:val="auto"/>
        </w:rPr>
        <w:tab/>
      </w:r>
      <w:r>
        <w:rPr>
          <w:rFonts w:ascii="Courier New" w:cs="Courier New" w:eastAsia="Courier New" w:hAnsi="Courier New"/>
          <w:sz w:val="15"/>
          <w:szCs w:val="15"/>
          <w:color w:val="auto"/>
        </w:rPr>
        <w:t>Vice President, Operations of Taylor Corporation since</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1985.</w:t>
      </w:r>
    </w:p>
    <w:p>
      <w:pPr>
        <w:spacing w:after="0" w:line="1"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G. Robert Gey.......................</w:t>
      </w:r>
      <w:r>
        <w:rPr>
          <w:sz w:val="20"/>
          <w:szCs w:val="20"/>
          <w:color w:val="auto"/>
        </w:rPr>
        <w:tab/>
      </w:r>
      <w:r>
        <w:rPr>
          <w:rFonts w:ascii="Courier New" w:cs="Courier New" w:eastAsia="Courier New" w:hAnsi="Courier New"/>
          <w:sz w:val="15"/>
          <w:szCs w:val="15"/>
          <w:color w:val="auto"/>
        </w:rPr>
        <w:t>President, Pentair Service Equipment Business since 1996;</w:t>
      </w:r>
    </w:p>
    <w:p>
      <w:pPr>
        <w:spacing w:after="0" w:line="5" w:lineRule="exact"/>
        <w:rPr>
          <w:sz w:val="20"/>
          <w:szCs w:val="20"/>
          <w:color w:val="auto"/>
        </w:rPr>
      </w:pPr>
    </w:p>
    <w:p>
      <w:pPr>
        <w:ind w:left="3600" w:right="380"/>
        <w:spacing w:after="0" w:line="239" w:lineRule="auto"/>
        <w:rPr>
          <w:sz w:val="20"/>
          <w:szCs w:val="20"/>
          <w:color w:val="auto"/>
        </w:rPr>
      </w:pPr>
      <w:r>
        <w:rPr>
          <w:rFonts w:ascii="Courier New" w:cs="Courier New" w:eastAsia="Courier New" w:hAnsi="Courier New"/>
          <w:sz w:val="16"/>
          <w:szCs w:val="16"/>
          <w:color w:val="auto"/>
        </w:rPr>
        <w:t>Vice President, Pentair Corporate Development from 1995 to 1996; President, Niagara Paper Corp. from 1992 to 1995; various positions with Pentair, Inc. from 1983 to 1992.</w:t>
      </w:r>
    </w:p>
    <w:p>
      <w:pPr>
        <w:spacing w:after="0" w:line="369" w:lineRule="exact"/>
        <w:rPr>
          <w:sz w:val="20"/>
          <w:szCs w:val="20"/>
          <w:color w:val="auto"/>
        </w:rPr>
      </w:pPr>
    </w:p>
    <w:p>
      <w:pPr>
        <w:ind w:right="1720" w:firstLine="378"/>
        <w:spacing w:after="0" w:line="239" w:lineRule="auto"/>
        <w:rPr>
          <w:sz w:val="20"/>
          <w:szCs w:val="20"/>
          <w:color w:val="auto"/>
        </w:rPr>
      </w:pPr>
      <w:r>
        <w:rPr>
          <w:rFonts w:ascii="Courier New" w:cs="Courier New" w:eastAsia="Courier New" w:hAnsi="Courier New"/>
          <w:sz w:val="16"/>
          <w:szCs w:val="16"/>
          <w:color w:val="auto"/>
        </w:rPr>
        <w:t>Howard M. Hawkins is the brother of John R. Hawkins. Donald L. Shipp is the father-in-law of Kurt R. Norman, Vice President of the Hawkins Water Treatment Group. There are no other family relationships between officers or directors of the Company.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INFORMATION ABOUT THE BOARD OF DIRECTORS</w:t>
      </w:r>
    </w:p>
    <w:p>
      <w:pPr>
        <w:spacing w:after="0" w:line="186" w:lineRule="exact"/>
        <w:rPr>
          <w:sz w:val="20"/>
          <w:szCs w:val="20"/>
          <w:color w:val="auto"/>
        </w:rPr>
      </w:pPr>
    </w:p>
    <w:p>
      <w:pPr>
        <w:ind w:right="1720" w:firstLine="378"/>
        <w:spacing w:after="0" w:line="257" w:lineRule="auto"/>
        <w:rPr>
          <w:sz w:val="20"/>
          <w:szCs w:val="20"/>
          <w:color w:val="auto"/>
        </w:rPr>
      </w:pPr>
      <w:r>
        <w:rPr>
          <w:rFonts w:ascii="Courier New" w:cs="Courier New" w:eastAsia="Courier New" w:hAnsi="Courier New"/>
          <w:sz w:val="15"/>
          <w:szCs w:val="15"/>
          <w:color w:val="auto"/>
        </w:rPr>
        <w:t>The Board of Directors held four meetings in fiscal 1998. All directors attended at least 75% of the total number of meetings of the Board and the committees on which they served. The Audit Committee, which presently consists of Howard M. Hawkins, John S. McKeon and Duane M. Jergenson, is responsible for selecting auditors, ensuring the fiscal integrity of the Company, and establishing and reviewing internal controls. The Audit Committee held one meeting during fiscal 1998. The Compensation Committee, which consists of John S. McKeon, Carl J. Ahlgren, Norman P. Anderson and Duane M. Jergenson, is responsible for establishing compensation policies for the Company and for reviewing and setting compensation for senior executives of the Company. The Compensation Committee held at least six meetings during fiscal 1998.</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DIRECTOR</w:t>
      </w:r>
    </w:p>
    <w:p>
      <w:pPr>
        <w:spacing w:after="0" w:line="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AGE</w:t>
      </w:r>
      <w:r>
        <w:rPr>
          <w:sz w:val="20"/>
          <w:szCs w:val="20"/>
          <w:color w:val="auto"/>
        </w:rPr>
        <w:tab/>
      </w:r>
      <w:r>
        <w:rPr>
          <w:rFonts w:ascii="Courier New" w:cs="Courier New" w:eastAsia="Courier New" w:hAnsi="Courier New"/>
          <w:sz w:val="16"/>
          <w:szCs w:val="16"/>
          <w:color w:val="auto"/>
        </w:rPr>
        <w:t>SINCE</w:t>
      </w:r>
    </w:p>
    <w:p>
      <w:pPr>
        <w:spacing w:after="0" w:line="5" w:lineRule="exact"/>
        <w:rPr>
          <w:sz w:val="20"/>
          <w:szCs w:val="20"/>
          <w:color w:val="auto"/>
        </w:rPr>
      </w:pPr>
    </w:p>
    <w:p>
      <w:pPr>
        <w:ind w:left="1040" w:hanging="842"/>
        <w:spacing w:after="0"/>
        <w:tabs>
          <w:tab w:leader="none" w:pos="10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80"/>
        <w:spacing w:after="0"/>
        <w:tabs>
          <w:tab w:leader="none" w:pos="140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6"/>
          <w:szCs w:val="16"/>
          <w:color w:val="auto"/>
        </w:rPr>
        <w:t>1974</w:t>
      </w:r>
    </w:p>
    <w:p>
      <w:pPr>
        <w:spacing w:after="0" w:line="183" w:lineRule="exact"/>
        <w:rPr>
          <w:sz w:val="20"/>
          <w:szCs w:val="20"/>
          <w:color w:val="auto"/>
        </w:rPr>
      </w:pPr>
    </w:p>
    <w:p>
      <w:pPr>
        <w:ind w:left="380"/>
        <w:spacing w:after="0"/>
        <w:tabs>
          <w:tab w:leader="none" w:pos="140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1977</w:t>
      </w:r>
    </w:p>
    <w:p>
      <w:pPr>
        <w:spacing w:after="0" w:line="200" w:lineRule="exact"/>
        <w:rPr>
          <w:sz w:val="20"/>
          <w:szCs w:val="20"/>
          <w:color w:val="auto"/>
        </w:rPr>
      </w:pPr>
    </w:p>
    <w:p>
      <w:pPr>
        <w:spacing w:after="0" w:line="346" w:lineRule="exact"/>
        <w:rPr>
          <w:sz w:val="20"/>
          <w:szCs w:val="20"/>
          <w:color w:val="auto"/>
        </w:rPr>
      </w:pPr>
    </w:p>
    <w:p>
      <w:pPr>
        <w:ind w:left="380"/>
        <w:spacing w:after="0"/>
        <w:tabs>
          <w:tab w:leader="none" w:pos="140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6"/>
          <w:szCs w:val="16"/>
          <w:color w:val="auto"/>
        </w:rPr>
        <w:t>1989</w:t>
      </w:r>
    </w:p>
    <w:p>
      <w:pPr>
        <w:spacing w:after="0" w:line="364"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2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54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1976</w:t>
            </w:r>
          </w:p>
        </w:tc>
      </w:tr>
      <w:tr>
        <w:trPr>
          <w:trHeight w:val="182"/>
        </w:trPr>
        <w:tc>
          <w:tcPr>
            <w:tcW w:w="62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54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1984</w:t>
            </w:r>
          </w:p>
        </w:tc>
      </w:tr>
    </w:tbl>
    <w:p>
      <w:pPr>
        <w:spacing w:after="0" w:line="200" w:lineRule="exact"/>
        <w:rPr>
          <w:sz w:val="20"/>
          <w:szCs w:val="20"/>
          <w:color w:val="auto"/>
        </w:rPr>
      </w:pPr>
    </w:p>
    <w:p>
      <w:pPr>
        <w:spacing w:after="0" w:line="346" w:lineRule="exact"/>
        <w:rPr>
          <w:sz w:val="20"/>
          <w:szCs w:val="20"/>
          <w:color w:val="auto"/>
        </w:rPr>
      </w:pPr>
    </w:p>
    <w:p>
      <w:pPr>
        <w:ind w:left="1420" w:hanging="1033"/>
        <w:spacing w:after="0"/>
        <w:tabs>
          <w:tab w:leader="none" w:pos="1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1996</w:t>
      </w:r>
    </w:p>
    <w:p>
      <w:pPr>
        <w:spacing w:after="0" w:line="182" w:lineRule="exact"/>
        <w:rPr>
          <w:rFonts w:ascii="Courier New" w:cs="Courier New" w:eastAsia="Courier New" w:hAnsi="Courier New"/>
          <w:sz w:val="16"/>
          <w:szCs w:val="16"/>
          <w:color w:val="auto"/>
        </w:rPr>
      </w:pPr>
    </w:p>
    <w:p>
      <w:pPr>
        <w:ind w:left="1140" w:hanging="753"/>
        <w:spacing w:after="0"/>
        <w:tabs>
          <w:tab w:leader="none" w:pos="11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nominee</w:t>
      </w:r>
    </w:p>
    <w:p>
      <w:pPr>
        <w:sectPr>
          <w:pgSz w:w="11900" w:h="16838" w:orient="portrait"/>
          <w:cols w:equalWidth="0" w:num="2">
            <w:col w:w="9180" w:space="360"/>
            <w:col w:w="1980"/>
          </w:cols>
          <w:pgMar w:left="240" w:top="477"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NOMINATION</w:t>
      </w:r>
    </w:p>
    <w:p>
      <w:pPr>
        <w:spacing w:after="0" w:line="186"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Sections 8 through 11 of Article II of the Company's By-Laws, adopted by the Board on August 23, 1988, provide that a candidate may not be nominated for election as a director at the annual meeting of shareholders unless the nomination was previously submitted to the Board or its nominating committee. A standing nominating committee has not been established although the Board has authority to do so.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 (3) the nominee's statement consenting to his nomination and agreeing to serve, if elected; and (4) evidence that the person making the nomination is a shareholder. After reviewing the submission, the Board or the appointed nominating committee may, 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COMPENSATION</w:t>
      </w:r>
    </w:p>
    <w:p>
      <w:pPr>
        <w:spacing w:after="0" w:line="186"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During fiscal 1998, each director who is not an employee of the Company was paid $10,000 as an annual retainer plus $750 for each meeting attended. In addition to his regular director's fees, Carl J. Ahlgren received $1,500 in fiscal 1998 for his work in preparing last year's annual report.</w:t>
      </w:r>
    </w:p>
    <w:p>
      <w:pPr>
        <w:spacing w:after="0" w:line="187" w:lineRule="exact"/>
        <w:rPr>
          <w:sz w:val="20"/>
          <w:szCs w:val="20"/>
          <w:color w:val="auto"/>
        </w:rPr>
      </w:pPr>
    </w:p>
    <w:p>
      <w:pPr>
        <w:ind w:right="2759" w:firstLine="378"/>
        <w:spacing w:after="0" w:line="237" w:lineRule="auto"/>
        <w:rPr>
          <w:sz w:val="20"/>
          <w:szCs w:val="20"/>
          <w:color w:val="auto"/>
        </w:rPr>
      </w:pPr>
      <w:r>
        <w:rPr>
          <w:rFonts w:ascii="Courier New" w:cs="Courier New" w:eastAsia="Courier New" w:hAnsi="Courier New"/>
          <w:sz w:val="16"/>
          <w:szCs w:val="16"/>
          <w:color w:val="auto"/>
        </w:rPr>
        <w:t>THE BOARD OF DIRECTORS RECOMMENDS A VOTE "FOR" THE ELECTION OF ALL NOMINEES FOR DIRECTOR.</w:t>
      </w:r>
    </w:p>
    <w:p>
      <w:pPr>
        <w:spacing w:after="0" w:line="18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INCREASE OF THE COMPANY'S AUTHORIZED COMMON STOCK</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(PROPOSAL 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86"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At present, the Amended and Second Restated Articles of Incorporation of the Company authorize the issuance of 15,000,000 shares of Common Stock, $.05 par value. As of January 5, 1999, 11,323,030 shares of the Company's authorized shares of Common Stock were issued and outstanding and 3,676,970 shares were authorized but unissued. Of the authorized and unissued, no shares are reserved for issuance pursuant to outstanding options, warrants and other convertible securities of the Company. Accordingly, as of January 5, 1999, there were 3,676,970 shares of Common Stock available for issuance or sale by the Company other than those issuable as described above.</w:t>
      </w:r>
    </w:p>
    <w:p>
      <w:pPr>
        <w:spacing w:after="0" w:line="188"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The Board of Directors has unanimously proposed that the Company's Amended and Second Restated Articles of Incorporation be amended to increase the authorized number of shares of Common Stock from 15,000,000 to 30,000,000. The shareholders of the Company are being asked to approve this amendment at the Annual Meeting.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AND EFFECTS OF THE PROPOSED AMENDMENT</w:t>
      </w:r>
    </w:p>
    <w:p>
      <w:pPr>
        <w:spacing w:after="0" w:line="186"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The Board of Directors believes that it is necessary and desirable to increase the number of shares of Common Stock the Company is authorized to issue to give the Board of Directors additional flexibility to declare stock splits or dividends, adopt additional future employee benefit plans, make acquisitions through the use of stock, increase the number of shares in the market, enable the Board of Directors to</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7" w:right="1440" w:bottom="1440" w:gutter="0" w:footer="0" w:header="0"/>
        </w:sectPr>
      </w:pPr>
    </w:p>
    <w:bookmarkStart w:id="7" w:name="page8"/>
    <w:bookmarkEnd w:id="7"/>
    <w:p>
      <w:pPr>
        <w:ind w:right="2659"/>
        <w:spacing w:after="0" w:line="239" w:lineRule="auto"/>
        <w:rPr>
          <w:sz w:val="20"/>
          <w:szCs w:val="20"/>
          <w:color w:val="auto"/>
        </w:rPr>
      </w:pPr>
      <w:r>
        <w:rPr>
          <w:rFonts w:ascii="Courier New" w:cs="Courier New" w:eastAsia="Courier New" w:hAnsi="Courier New"/>
          <w:sz w:val="16"/>
          <w:szCs w:val="16"/>
          <w:color w:val="auto"/>
        </w:rPr>
        <w:t>reserve additional shares for issuance under any options, warrants or convertible securities which may be issued, and raise equity capital. The Board of Directors has no immediate plans, understandings or agreements or commitments to issue additional shares of Common Stock for any of these purposes. The flexibility inherent in having the authority to issue shares of Common Stock will, in the opinion of the Board of Directors, be advantageous to the Company in any negotiations involving the issuance of such stock.</w:t>
      </w:r>
    </w:p>
    <w:p>
      <w:pPr>
        <w:spacing w:after="0" w:line="192"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If adopted, the proposal will not, by itself, have any effect on the rights of holders of presently issued and outstanding shares of Common Stock. Under the Company's Amended and Second Restated Articles of Incorporation, the shareholders of the Company do not have preemptive rights with respect to the Common Stock. Thus, should the Board of Directors elect to issue additional shares of Common Stock, existing shareholders would not have any preferential rights to purchase such additional shares of Common Stock.</w:t>
      </w:r>
    </w:p>
    <w:p>
      <w:pPr>
        <w:spacing w:after="0" w:line="192" w:lineRule="exact"/>
        <w:rPr>
          <w:sz w:val="20"/>
          <w:szCs w:val="20"/>
          <w:color w:val="auto"/>
        </w:rPr>
      </w:pPr>
    </w:p>
    <w:p>
      <w:pPr>
        <w:ind w:right="2659" w:firstLine="378"/>
        <w:spacing w:after="0" w:line="257" w:lineRule="auto"/>
        <w:rPr>
          <w:sz w:val="20"/>
          <w:szCs w:val="20"/>
          <w:color w:val="auto"/>
        </w:rPr>
      </w:pPr>
      <w:r>
        <w:rPr>
          <w:rFonts w:ascii="Courier New" w:cs="Courier New" w:eastAsia="Courier New" w:hAnsi="Courier New"/>
          <w:sz w:val="15"/>
          <w:szCs w:val="15"/>
          <w:color w:val="auto"/>
        </w:rPr>
        <w:t>Although the Board of Directors is proposing this amendment to the Company's Amended and Second Restated Articles of Incorporation for the reasons stated above, the amendment could, under certain circumstances, discourage or make more difficult an attempt by a person or organization to gain control of the Company by tender offer or proxy contest, or to consummate a merger or consolidation with the Company after acquiring control, and to remove incumbent management, even if such transactions were favorable to the shareholders of the Company. Issuance of shares of Common Stock in a private placement to a person sympathetic to management and opposed to any attempt to gain control of the Company could make a change in control of the Company more difficult. Accordingly, this proposal to amend the Company's Amended and Second Restated Articles of Incorporation may be deemed (under certain circumstances which may or may not occur) to be an anti-takeover measure, although the proposal is not being proposed or presented as an anti-takeover measure.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RESOLUTION</w:t>
      </w:r>
    </w:p>
    <w:p>
      <w:pPr>
        <w:spacing w:after="0" w:line="186" w:lineRule="exact"/>
        <w:rPr>
          <w:sz w:val="20"/>
          <w:szCs w:val="20"/>
          <w:color w:val="auto"/>
        </w:rPr>
      </w:pPr>
    </w:p>
    <w:p>
      <w:pPr>
        <w:ind w:right="2939" w:firstLine="378"/>
        <w:spacing w:after="0" w:line="237" w:lineRule="auto"/>
        <w:rPr>
          <w:sz w:val="20"/>
          <w:szCs w:val="20"/>
          <w:color w:val="auto"/>
        </w:rPr>
      </w:pPr>
      <w:r>
        <w:rPr>
          <w:rFonts w:ascii="Courier New" w:cs="Courier New" w:eastAsia="Courier New" w:hAnsi="Courier New"/>
          <w:sz w:val="16"/>
          <w:szCs w:val="16"/>
          <w:color w:val="auto"/>
        </w:rPr>
        <w:t>A resolution in substantially the following form will be submitted to the shareholders at the Annual Meeting:</w:t>
      </w:r>
    </w:p>
    <w:p>
      <w:pPr>
        <w:spacing w:after="0" w:line="188" w:lineRule="exact"/>
        <w:rPr>
          <w:sz w:val="20"/>
          <w:szCs w:val="20"/>
          <w:color w:val="auto"/>
        </w:rPr>
      </w:pPr>
    </w:p>
    <w:p>
      <w:pPr>
        <w:ind w:left="380" w:right="2759"/>
        <w:spacing w:after="0" w:line="238" w:lineRule="auto"/>
        <w:rPr>
          <w:sz w:val="20"/>
          <w:szCs w:val="20"/>
          <w:color w:val="auto"/>
        </w:rPr>
      </w:pPr>
      <w:r>
        <w:rPr>
          <w:rFonts w:ascii="Courier New" w:cs="Courier New" w:eastAsia="Courier New" w:hAnsi="Courier New"/>
          <w:sz w:val="16"/>
          <w:szCs w:val="16"/>
          <w:color w:val="auto"/>
        </w:rPr>
        <w:t>RESOLVED, that the first sentence of Article VII of the Company's Amended and Second Restated Articles of Incorporation is amended in its entirety to read as follows:</w:t>
      </w:r>
    </w:p>
    <w:p>
      <w:pPr>
        <w:spacing w:after="0" w:line="188" w:lineRule="exact"/>
        <w:rPr>
          <w:sz w:val="20"/>
          <w:szCs w:val="20"/>
          <w:color w:val="auto"/>
        </w:rPr>
      </w:pPr>
    </w:p>
    <w:p>
      <w:pPr>
        <w:ind w:left="660" w:right="2659"/>
        <w:spacing w:after="0" w:line="238" w:lineRule="auto"/>
        <w:rPr>
          <w:sz w:val="20"/>
          <w:szCs w:val="20"/>
          <w:color w:val="auto"/>
        </w:rPr>
      </w:pPr>
      <w:r>
        <w:rPr>
          <w:rFonts w:ascii="Courier New" w:cs="Courier New" w:eastAsia="Courier New" w:hAnsi="Courier New"/>
          <w:sz w:val="16"/>
          <w:szCs w:val="16"/>
          <w:color w:val="auto"/>
        </w:rPr>
        <w:t>"The aggregate number of shares which this Corporation shall have the authority to issue is 30,000,000 shares of common stock, with a par value of $.05 per share."</w:t>
      </w:r>
    </w:p>
    <w:p>
      <w:pPr>
        <w:spacing w:after="0" w:line="188" w:lineRule="exact"/>
        <w:rPr>
          <w:sz w:val="20"/>
          <w:szCs w:val="20"/>
          <w:color w:val="auto"/>
        </w:rPr>
      </w:pPr>
    </w:p>
    <w:p>
      <w:pPr>
        <w:ind w:left="380" w:right="3039"/>
        <w:spacing w:after="0" w:line="239" w:lineRule="auto"/>
        <w:rPr>
          <w:sz w:val="20"/>
          <w:szCs w:val="20"/>
          <w:color w:val="auto"/>
        </w:rPr>
      </w:pPr>
      <w:r>
        <w:rPr>
          <w:rFonts w:ascii="Courier New" w:cs="Courier New" w:eastAsia="Courier New" w:hAnsi="Courier New"/>
          <w:sz w:val="16"/>
          <w:szCs w:val="16"/>
          <w:color w:val="auto"/>
        </w:rPr>
        <w:t>RESOLVED FURTHER, that the appropriate officers of the Company are authorized and directed to make, execute, acknowledge and file such certificates and documents as may be required by law with respect to the foregoing resolutions.</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BOARD OF DIRECTORS RECOMMENDS A VOTE FOR APPROVAL OF THIS AMENDMENT.</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Management does not know of any other business which will be presented for consideration at the annual meeting. If, however, any other business does properly come before the meeting, proxies will be voted in accordance with the best judgment of the person or persons acting under them.</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81" w:right="1440" w:bottom="1440" w:gutter="0" w:footer="0" w:header="0"/>
        </w:sectPr>
      </w:pPr>
    </w:p>
    <w:bookmarkStart w:id="8" w:name="page9"/>
    <w:bookmarkEnd w:id="8"/>
    <w:p>
      <w:pPr>
        <w:jc w:val="center"/>
        <w:ind w:right="3880"/>
        <w:spacing w:after="0"/>
        <w:rPr>
          <w:sz w:val="20"/>
          <w:szCs w:val="20"/>
          <w:color w:val="auto"/>
        </w:rPr>
      </w:pPr>
      <w:r>
        <w:rPr>
          <w:rFonts w:ascii="Courier New" w:cs="Courier New" w:eastAsia="Courier New" w:hAnsi="Courier New"/>
          <w:sz w:val="16"/>
          <w:szCs w:val="16"/>
          <w:color w:val="auto"/>
        </w:rPr>
        <w:t>INDEPENDENT PUBLIC ACCOUNTANTS</w:t>
      </w:r>
    </w:p>
    <w:p>
      <w:pPr>
        <w:spacing w:after="0" w:line="186" w:lineRule="exact"/>
        <w:rPr>
          <w:sz w:val="20"/>
          <w:szCs w:val="20"/>
          <w:color w:val="auto"/>
        </w:rPr>
      </w:pPr>
    </w:p>
    <w:p>
      <w:pPr>
        <w:ind w:right="3980" w:firstLine="378"/>
        <w:spacing w:after="0" w:line="238" w:lineRule="auto"/>
        <w:rPr>
          <w:sz w:val="20"/>
          <w:szCs w:val="20"/>
          <w:color w:val="auto"/>
        </w:rPr>
      </w:pPr>
      <w:r>
        <w:rPr>
          <w:rFonts w:ascii="Courier New" w:cs="Courier New" w:eastAsia="Courier New" w:hAnsi="Courier New"/>
          <w:sz w:val="16"/>
          <w:szCs w:val="16"/>
          <w:color w:val="auto"/>
        </w:rPr>
        <w:t>Deloitte &amp; Touche LLP, independent certified public accountants, have been the auditors of the Company since 1971. They have been retained by the Board of Directors as the Company's auditors for the current fiscal year.</w:t>
      </w:r>
    </w:p>
    <w:p>
      <w:pPr>
        <w:spacing w:after="0" w:line="188" w:lineRule="exact"/>
        <w:rPr>
          <w:sz w:val="20"/>
          <w:szCs w:val="20"/>
          <w:color w:val="auto"/>
        </w:rPr>
      </w:pPr>
    </w:p>
    <w:p>
      <w:pPr>
        <w:ind w:right="3980" w:firstLine="378"/>
        <w:spacing w:after="0"/>
        <w:rPr>
          <w:sz w:val="20"/>
          <w:szCs w:val="20"/>
          <w:color w:val="auto"/>
        </w:rPr>
      </w:pPr>
      <w:r>
        <w:rPr>
          <w:rFonts w:ascii="Courier New" w:cs="Courier New" w:eastAsia="Courier New" w:hAnsi="Courier New"/>
          <w:sz w:val="16"/>
          <w:szCs w:val="16"/>
          <w:color w:val="auto"/>
        </w:rPr>
        <w:t>Audit services performed by Deloitte &amp; Touche LLP for the year ended September 27, 1998 consisted of the examination of the consolidated financial statements of the Company and services related to filings with the Securities and Exchange Commission. All services rendered by Deloitte &amp; Touche LLP are reviewed and approved by the Board of Directors. The Board of Directors has not specifically considered the independence of the auditors in relation to the services rendered, but the auditors have informed the Company that neither the firm nor any of its partners holds any financial interest in the securities of the Company.</w:t>
      </w:r>
    </w:p>
    <w:p>
      <w:pPr>
        <w:spacing w:after="0" w:line="188" w:lineRule="exact"/>
        <w:rPr>
          <w:sz w:val="20"/>
          <w:szCs w:val="20"/>
          <w:color w:val="auto"/>
        </w:rPr>
      </w:pPr>
    </w:p>
    <w:p>
      <w:pPr>
        <w:ind w:right="3980" w:firstLine="378"/>
        <w:spacing w:after="0" w:line="238" w:lineRule="auto"/>
        <w:rPr>
          <w:sz w:val="20"/>
          <w:szCs w:val="20"/>
          <w:color w:val="auto"/>
        </w:rPr>
      </w:pPr>
      <w:r>
        <w:rPr>
          <w:rFonts w:ascii="Courier New" w:cs="Courier New" w:eastAsia="Courier New" w:hAnsi="Courier New"/>
          <w:sz w:val="16"/>
          <w:szCs w:val="16"/>
          <w:color w:val="auto"/>
        </w:rPr>
        <w:t>Representatives of Deloitte &amp; Touche LLP are expected to attend this annual meeting with the opportunity to make a statement if they desire. They will be available to respond to appropriate questions.</w:t>
      </w:r>
    </w:p>
    <w:p>
      <w:pPr>
        <w:spacing w:after="0" w:line="184"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6"/>
          <w:szCs w:val="16"/>
          <w:color w:val="auto"/>
        </w:rPr>
        <w:t>COMPENSATION AND OTHER BENEFITS</w:t>
      </w:r>
    </w:p>
    <w:p>
      <w:pPr>
        <w:spacing w:after="0" w:line="186" w:lineRule="exact"/>
        <w:rPr>
          <w:sz w:val="20"/>
          <w:szCs w:val="20"/>
          <w:color w:val="auto"/>
        </w:rPr>
      </w:pPr>
    </w:p>
    <w:p>
      <w:pPr>
        <w:ind w:right="4340" w:firstLine="378"/>
        <w:spacing w:after="0" w:line="260" w:lineRule="auto"/>
        <w:rPr>
          <w:sz w:val="20"/>
          <w:szCs w:val="20"/>
          <w:color w:val="auto"/>
        </w:rPr>
      </w:pPr>
      <w:r>
        <w:rPr>
          <w:rFonts w:ascii="Courier New" w:cs="Courier New" w:eastAsia="Courier New" w:hAnsi="Courier New"/>
          <w:sz w:val="15"/>
          <w:szCs w:val="15"/>
          <w:color w:val="auto"/>
        </w:rPr>
        <w:t>The following table sets forth the compensation of the Chief Executive Officer and the four highest paid executive officers whose aggregate annual salary and bonus exceeded $100,000 for the Company's last fiscal year ended September 27, 1998 (collectively, the "Named Executive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gridSpan w:val="2"/>
          </w:tcPr>
          <w:p>
            <w:pPr>
              <w:ind w:left="2560"/>
              <w:spacing w:after="0"/>
              <w:rPr>
                <w:sz w:val="20"/>
                <w:szCs w:val="20"/>
                <w:color w:val="auto"/>
              </w:rPr>
            </w:pPr>
            <w:r>
              <w:rPr>
                <w:rFonts w:ascii="Courier New" w:cs="Courier New" w:eastAsia="Courier New" w:hAnsi="Courier New"/>
                <w:sz w:val="16"/>
                <w:szCs w:val="16"/>
                <w:color w:val="auto"/>
              </w:rPr>
              <w:t>SUMMARY COMPENSATION TABLE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728"/>
        </w:trPr>
        <w:tc>
          <w:tcPr>
            <w:tcW w:w="4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ANNUAL COMPENSATION</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4260" w:type="dxa"/>
            <w:vAlign w:val="bottom"/>
          </w:tcPr>
          <w:p>
            <w:pPr>
              <w:spacing w:after="0"/>
              <w:rPr>
                <w:sz w:val="15"/>
                <w:szCs w:val="15"/>
                <w:color w:val="auto"/>
              </w:rPr>
            </w:pPr>
          </w:p>
        </w:tc>
        <w:tc>
          <w:tcPr>
            <w:tcW w:w="5200" w:type="dxa"/>
            <w:vAlign w:val="bottom"/>
            <w:gridSpan w:val="7"/>
          </w:tcPr>
          <w:p>
            <w:pPr>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OTHER</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ANNUAL</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ALL</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OTHER</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FISCAL YEAR</w:t>
            </w:r>
          </w:p>
        </w:tc>
        <w:tc>
          <w:tcPr>
            <w:tcW w:w="24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SALARY</w:t>
            </w:r>
          </w:p>
        </w:tc>
        <w:tc>
          <w:tcPr>
            <w:tcW w:w="24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BONUS</w:t>
            </w:r>
          </w:p>
        </w:tc>
        <w:tc>
          <w:tcPr>
            <w:tcW w:w="17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COMPENSATION(a)</w:t>
            </w:r>
          </w:p>
        </w:tc>
        <w:tc>
          <w:tcPr>
            <w:tcW w:w="19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COMPENSATION(b)(c)</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718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Dean L. Hahn...............................</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161,325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157,000</w:t>
            </w: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and</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151,865</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Chief Executive Officer</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141,640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114,000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Donald L. Shipp............................</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151,333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157,000</w:t>
            </w: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Vice Chairman of the Board;</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141,903</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formerly President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131,567</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114,000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John R. Hawkins............................</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138,440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131,000</w:t>
            </w: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President and Secretary</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124,040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111,000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118,240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Howard M. Hawkins..........................</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132,540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124,000</w:t>
            </w: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Treasurer</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124,040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118,240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Jon C. Eaton...............................</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97,300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99,000</w:t>
            </w: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Vice-President--Terminal</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93,800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89,000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85,800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EMPLOYEE STOCK PURCHASE PLAN</w:t>
      </w:r>
    </w:p>
    <w:p>
      <w:pPr>
        <w:spacing w:after="0" w:line="186" w:lineRule="exact"/>
        <w:rPr>
          <w:sz w:val="20"/>
          <w:szCs w:val="20"/>
          <w:color w:val="auto"/>
        </w:rPr>
      </w:pPr>
    </w:p>
    <w:p>
      <w:pPr>
        <w:ind w:right="3880" w:firstLine="378"/>
        <w:spacing w:after="0" w:line="258" w:lineRule="auto"/>
        <w:rPr>
          <w:sz w:val="20"/>
          <w:szCs w:val="20"/>
          <w:color w:val="auto"/>
        </w:rPr>
      </w:pPr>
      <w:r>
        <w:rPr>
          <w:rFonts w:ascii="Courier New" w:cs="Courier New" w:eastAsia="Courier New" w:hAnsi="Courier New"/>
          <w:sz w:val="15"/>
          <w:szCs w:val="15"/>
          <w:color w:val="auto"/>
        </w:rPr>
        <w:t>All employees of the Company and its subsidiary who have attained the age of 18 years and who have been employed by the Company for one year are eligible to participate in the Company's Employee Stock Purchase Plan. Under the Plan, each participant authorizes the Company to deduct a specified amount, not to exceed $500, from his paycheck each month, to which the Company adds a bonus of 75% of such amount, to be used by a depository agent to purchase common shares of the Company's stock for the participant's individual account under the Plan. Shares purchased with the Company's bonus vest over a five-year schedule.</w:t>
      </w: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440"/>
          </w:cols>
          <w:pgMar w:left="240" w:top="477" w:right="21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(b) MONEY PURCHASE PENSION PLAN</w:t>
      </w:r>
    </w:p>
    <w:p>
      <w:pPr>
        <w:spacing w:after="0" w:line="186"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Non-bargaining employees of the Company and its subsidiary who have attained the age of 21 years and completed one year of service are eligible to participate in this defined contribution pension plan. For each year, the Company contributes an amount equal to seven percent of an eligible participant's compensation, and this amount is credited to an account maintained for the participant under the Plan. The maximum annual compensation that may be used to determine Plan benefits is capped at $160,000 for the current plan year; this limit will be adjusted in future years under federal tax law for cost-of-living increases.</w:t>
      </w:r>
    </w:p>
    <w:p>
      <w:pPr>
        <w:spacing w:after="0" w:line="188"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Participant accounts are credited with the appropriate gains or losses resulting from investments made by the Plan. A participant is fully vested after completing seven years of service. At retirement, the participant receives the amount credited to his or her account either as a lump sum, in installments, or in the form of an annuity contract.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EMPLOYEE STOCK OWNERSHIP PLAN</w:t>
      </w:r>
    </w:p>
    <w:p>
      <w:pPr>
        <w:spacing w:after="0" w:line="186"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Non-bargaining employees of the Company and its subsidiary who have attained the age of 21 years and completed one year of service are eligible to participate in the Company's Employee Stock Ownership Plan. Contributions to this Plan are made at the discretion of the Board of Directors and credited to individual accounts maintained for participants under the Plan.</w:t>
      </w:r>
    </w:p>
    <w:p>
      <w:pPr>
        <w:spacing w:after="0" w:line="189" w:lineRule="exact"/>
        <w:rPr>
          <w:sz w:val="20"/>
          <w:szCs w:val="20"/>
          <w:color w:val="auto"/>
        </w:rPr>
      </w:pPr>
    </w:p>
    <w:p>
      <w:pPr>
        <w:ind w:right="2759" w:firstLine="378"/>
        <w:spacing w:after="0"/>
        <w:rPr>
          <w:sz w:val="20"/>
          <w:szCs w:val="20"/>
          <w:color w:val="auto"/>
        </w:rPr>
      </w:pPr>
      <w:r>
        <w:rPr>
          <w:rFonts w:ascii="Courier New" w:cs="Courier New" w:eastAsia="Courier New" w:hAnsi="Courier New"/>
          <w:sz w:val="16"/>
          <w:szCs w:val="16"/>
          <w:color w:val="auto"/>
        </w:rPr>
        <w:t>The amount of each contribution credited to a participant's account is proportionate to that participant's compensation compared to the total compensation paid to all participants in the Plan. The maximum annual compensation that may be used to determine benefits in the current plan year is $160,000, which amount will be adjusted in future years for cost-of-living increases. In addition, the aggregate amount contributed in any one plan year for a participant under the Money Purchase Pension Plan and Employee Stock Ownership Plan may not exceed the lesser of 25% of compensation or $30,000.</w:t>
      </w:r>
    </w:p>
    <w:p>
      <w:pPr>
        <w:spacing w:after="0" w:line="187"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Participant accounts in the Employee Stock Ownership Plan are also credited with the appropriate gains or losses resulting from Plan investments. A participant is fully vested after completing seven years of service. At retirement, the participant receives the amount credited to his or her account either as a lump sum or in installments.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GRANTS AND EXERCISES IN FISCAL 1998</w:t>
      </w:r>
    </w:p>
    <w:p>
      <w:pPr>
        <w:spacing w:after="0" w:line="186" w:lineRule="exact"/>
        <w:rPr>
          <w:sz w:val="20"/>
          <w:szCs w:val="20"/>
          <w:color w:val="auto"/>
        </w:rPr>
      </w:pPr>
    </w:p>
    <w:p>
      <w:pPr>
        <w:ind w:right="2839" w:firstLine="378"/>
        <w:spacing w:after="0" w:line="237" w:lineRule="auto"/>
        <w:rPr>
          <w:sz w:val="20"/>
          <w:szCs w:val="20"/>
          <w:color w:val="auto"/>
        </w:rPr>
      </w:pPr>
      <w:r>
        <w:rPr>
          <w:rFonts w:ascii="Courier New" w:cs="Courier New" w:eastAsia="Courier New" w:hAnsi="Courier New"/>
          <w:sz w:val="16"/>
          <w:szCs w:val="16"/>
          <w:color w:val="auto"/>
        </w:rPr>
        <w:t>There were no options granted or exercised by the Named Executive Officers in fiscal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REPRICING OF OPTIONS</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6"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All decisions regarding compensation of executive officers of the Company in fiscal 1998 were made by the Compensation Committee of the Board of Directors. During fiscal 1998, the Compensation Committee was made up of the following directors: John S. McKeon, Carl J. Ahlgren, Norman P. Anderson and Duane M. Jergenson. None of the current officers of the Company participates in any board vote setting his annual salary or bonus.</w:t>
      </w:r>
    </w:p>
    <w:p>
      <w:pPr>
        <w:spacing w:after="0" w:line="186"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COMPENSATION COMMITTEE REPORT ON ANNUAL COMPENSATION</w:t>
      </w:r>
    </w:p>
    <w:p>
      <w:pPr>
        <w:spacing w:after="0" w:line="186"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The annual compensation programs of the Company are highly leveraged on the basis of performance. The Company's annual compensation mix generally has lower base salaries than comparable companies, coupled with a highly leveraged incentive system which will pay more with good performance and less with below par performance.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EXECUTIVE SALARIES</w:t>
      </w:r>
    </w:p>
    <w:p>
      <w:pPr>
        <w:spacing w:after="0" w:line="186" w:lineRule="exact"/>
        <w:rPr>
          <w:sz w:val="20"/>
          <w:szCs w:val="20"/>
          <w:color w:val="auto"/>
        </w:rPr>
      </w:pPr>
    </w:p>
    <w:p>
      <w:pPr>
        <w:ind w:right="3499" w:firstLine="378"/>
        <w:spacing w:after="0" w:line="237" w:lineRule="auto"/>
        <w:rPr>
          <w:sz w:val="20"/>
          <w:szCs w:val="20"/>
          <w:color w:val="auto"/>
        </w:rPr>
      </w:pPr>
      <w:r>
        <w:rPr>
          <w:rFonts w:ascii="Courier New" w:cs="Courier New" w:eastAsia="Courier New" w:hAnsi="Courier New"/>
          <w:sz w:val="16"/>
          <w:szCs w:val="16"/>
          <w:color w:val="auto"/>
        </w:rPr>
        <w:t>The salary increase of the Company's executive officers are tied to inflation, performance and increase in corporate profits.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BONUS PLAN</w:t>
      </w:r>
    </w:p>
    <w:p>
      <w:pPr>
        <w:spacing w:after="0" w:line="186"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The bonus plan for executive officers is based on the following factors: corporate performance, business unit performance and personal performance. The corporate performance rating is based on the Company's percentage growth in earnings per share over the prior year and its return on equity. These two factors are the primary determinants of share price over time. Business unit ratings are based primarily on profit performance (market share performance, new product development, workplace diversity and other factors are also considered). Personal ratings can include such qualitative factors as quality of the strategic plan, organizational and management development progress and industry, public affairs, and civic involvement.</w:t>
      </w:r>
    </w:p>
    <w:p>
      <w:pPr>
        <w:spacing w:after="0" w:line="188" w:lineRule="exact"/>
        <w:rPr>
          <w:sz w:val="20"/>
          <w:szCs w:val="20"/>
          <w:color w:val="auto"/>
        </w:rPr>
      </w:pPr>
    </w:p>
    <w:p>
      <w:pPr>
        <w:ind w:right="2839" w:firstLine="378"/>
        <w:spacing w:after="0"/>
        <w:rPr>
          <w:sz w:val="20"/>
          <w:szCs w:val="20"/>
          <w:color w:val="auto"/>
        </w:rPr>
      </w:pPr>
      <w:r>
        <w:rPr>
          <w:rFonts w:ascii="Courier New" w:cs="Courier New" w:eastAsia="Courier New" w:hAnsi="Courier New"/>
          <w:sz w:val="16"/>
          <w:szCs w:val="16"/>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 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COMPENSATION</w:t>
      </w:r>
    </w:p>
    <w:p>
      <w:pPr>
        <w:spacing w:after="0" w:line="186" w:lineRule="exact"/>
        <w:rPr>
          <w:sz w:val="20"/>
          <w:szCs w:val="20"/>
          <w:color w:val="auto"/>
        </w:rPr>
      </w:pPr>
    </w:p>
    <w:p>
      <w:pPr>
        <w:ind w:right="2759" w:firstLine="378"/>
        <w:spacing w:after="0" w:line="237" w:lineRule="auto"/>
        <w:rPr>
          <w:sz w:val="20"/>
          <w:szCs w:val="20"/>
          <w:color w:val="auto"/>
        </w:rPr>
      </w:pPr>
      <w:r>
        <w:rPr>
          <w:rFonts w:ascii="Courier New" w:cs="Courier New" w:eastAsia="Courier New" w:hAnsi="Courier New"/>
          <w:sz w:val="16"/>
          <w:szCs w:val="16"/>
          <w:color w:val="auto"/>
        </w:rPr>
        <w:t>The compensation of Dean R. Hahn, Chief Executive Officer, is determined in the same manner as set forth above for all other executive officers.</w:t>
      </w:r>
    </w:p>
    <w:p>
      <w:pPr>
        <w:spacing w:after="0" w:line="184"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COMPENSATION COMMITTEE</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CARL J. AHLGREN</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NORMAN P. ANDERSON</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DUANE M. JERGENSON</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JOHN S. MCKEON</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RELATED PARTY TRANSACTIONS</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7" w:right="1440" w:bottom="1440" w:gutter="0" w:footer="0" w:header="0"/>
        </w:sectPr>
      </w:pPr>
    </w:p>
    <w:bookmarkStart w:id="11" w:name="page12"/>
    <w:bookmarkEnd w:id="11"/>
    <w:p>
      <w:pPr>
        <w:jc w:val="center"/>
        <w:ind w:right="2759"/>
        <w:spacing w:after="0"/>
        <w:rPr>
          <w:sz w:val="20"/>
          <w:szCs w:val="20"/>
          <w:color w:val="auto"/>
        </w:rPr>
      </w:pPr>
      <w:r>
        <w:rPr>
          <w:rFonts w:ascii="Courier New" w:cs="Courier New" w:eastAsia="Courier New" w:hAnsi="Courier New"/>
          <w:sz w:val="16"/>
          <w:szCs w:val="16"/>
          <w:color w:val="auto"/>
        </w:rPr>
        <w:t>COMPARATIVE STOCK PERFORMANCE GRAPH</w:t>
      </w:r>
    </w:p>
    <w:p>
      <w:pPr>
        <w:spacing w:after="0" w:line="186" w:lineRule="exact"/>
        <w:rPr>
          <w:sz w:val="20"/>
          <w:szCs w:val="20"/>
          <w:color w:val="auto"/>
        </w:rPr>
      </w:pPr>
    </w:p>
    <w:p>
      <w:pPr>
        <w:ind w:right="2659" w:firstLine="378"/>
        <w:spacing w:after="0" w:line="258" w:lineRule="auto"/>
        <w:rPr>
          <w:sz w:val="20"/>
          <w:szCs w:val="20"/>
          <w:color w:val="auto"/>
        </w:rPr>
      </w:pPr>
      <w:r>
        <w:rPr>
          <w:rFonts w:ascii="Courier New" w:cs="Courier New" w:eastAsia="Courier New" w:hAnsi="Courier New"/>
          <w:sz w:val="15"/>
          <w:szCs w:val="15"/>
          <w:color w:val="auto"/>
        </w:rPr>
        <w:t>The following is a graph comparing the annual percentage change in the cumulative total shareholder return on the Company's Common Stock with the cumulative total returns of the NASDAQ Composite Index and the NASDAQ Industrial Index for the Company's last five fiscal years. The graph assumes the investment of $100 in the Company's Common Stock, the NASDAQ Composite Index and the NASDAQ Industrial Index on October 3, 1993, and reinvestment of all dividends.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EDGAR REPRESENTATION OF DATA POINTS USED IN PRINTED GRAPHIC</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YEAR</w:t>
            </w:r>
          </w:p>
        </w:tc>
        <w:tc>
          <w:tcPr>
            <w:tcW w:w="27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64"/>
        </w:trPr>
        <w:tc>
          <w:tcPr>
            <w:tcW w:w="900" w:type="dxa"/>
            <w:vAlign w:val="bottom"/>
          </w:tcPr>
          <w:p>
            <w:pPr>
              <w:spacing w:after="0"/>
              <w:rPr>
                <w:sz w:val="24"/>
                <w:szCs w:val="24"/>
                <w:color w:val="auto"/>
              </w:rPr>
            </w:pPr>
          </w:p>
        </w:tc>
        <w:tc>
          <w:tcPr>
            <w:tcW w:w="2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NASDAQ Industrial Index</w:t>
            </w:r>
          </w:p>
        </w:tc>
        <w:tc>
          <w:tcPr>
            <w:tcW w:w="2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NASDAQ Composite Index</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Hawkins Chemical, Inc.</w:t>
            </w:r>
          </w:p>
        </w:tc>
      </w:tr>
      <w:tr>
        <w:trPr>
          <w:trHeight w:val="364"/>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1993</w:t>
            </w:r>
          </w:p>
        </w:tc>
        <w:tc>
          <w:tcPr>
            <w:tcW w:w="2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$100.00</w:t>
            </w:r>
          </w:p>
        </w:tc>
        <w:tc>
          <w:tcPr>
            <w:tcW w:w="2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$100.00</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2"/>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1994</w:t>
            </w:r>
          </w:p>
        </w:tc>
        <w:tc>
          <w:tcPr>
            <w:tcW w:w="2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99.66</w:t>
            </w:r>
          </w:p>
        </w:tc>
        <w:tc>
          <w:tcPr>
            <w:tcW w:w="2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101.29</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130.30</w:t>
            </w:r>
          </w:p>
        </w:tc>
      </w:tr>
      <w:tr>
        <w:trPr>
          <w:trHeight w:val="182"/>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1995</w:t>
            </w:r>
          </w:p>
        </w:tc>
        <w:tc>
          <w:tcPr>
            <w:tcW w:w="2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125.83</w:t>
            </w:r>
          </w:p>
        </w:tc>
        <w:tc>
          <w:tcPr>
            <w:tcW w:w="2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138.28</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166.88</w:t>
            </w:r>
          </w:p>
        </w:tc>
      </w:tr>
      <w:tr>
        <w:trPr>
          <w:trHeight w:val="182"/>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1996</w:t>
            </w:r>
          </w:p>
        </w:tc>
        <w:tc>
          <w:tcPr>
            <w:tcW w:w="2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141.98</w:t>
            </w:r>
          </w:p>
        </w:tc>
        <w:tc>
          <w:tcPr>
            <w:tcW w:w="2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163.00</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172.70</w:t>
            </w:r>
          </w:p>
        </w:tc>
      </w:tr>
      <w:tr>
        <w:trPr>
          <w:trHeight w:val="182"/>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1997</w:t>
            </w:r>
          </w:p>
        </w:tc>
        <w:tc>
          <w:tcPr>
            <w:tcW w:w="2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175.69</w:t>
            </w:r>
          </w:p>
        </w:tc>
        <w:tc>
          <w:tcPr>
            <w:tcW w:w="2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224.60</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233.33</w:t>
            </w:r>
          </w:p>
        </w:tc>
      </w:tr>
      <w:tr>
        <w:trPr>
          <w:trHeight w:val="182"/>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1998</w:t>
            </w:r>
          </w:p>
        </w:tc>
        <w:tc>
          <w:tcPr>
            <w:tcW w:w="2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135.67</w:t>
            </w:r>
          </w:p>
        </w:tc>
        <w:tc>
          <w:tcPr>
            <w:tcW w:w="2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230.47</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246.13</w:t>
            </w:r>
          </w:p>
        </w:tc>
      </w:tr>
    </w:tbl>
    <w:p>
      <w:pPr>
        <w:spacing w:after="0" w:line="36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PROPOSALS BY SHAREHOLDERS</w:t>
      </w:r>
    </w:p>
    <w:p>
      <w:pPr>
        <w:spacing w:after="0" w:line="186" w:lineRule="exact"/>
        <w:rPr>
          <w:sz w:val="20"/>
          <w:szCs w:val="20"/>
          <w:color w:val="auto"/>
        </w:rPr>
      </w:pPr>
    </w:p>
    <w:p>
      <w:pPr>
        <w:ind w:right="3039" w:firstLine="378"/>
        <w:spacing w:after="0" w:line="239" w:lineRule="auto"/>
        <w:rPr>
          <w:sz w:val="20"/>
          <w:szCs w:val="20"/>
          <w:color w:val="auto"/>
        </w:rPr>
      </w:pPr>
      <w:r>
        <w:rPr>
          <w:rFonts w:ascii="Courier New" w:cs="Courier New" w:eastAsia="Courier New" w:hAnsi="Courier New"/>
          <w:sz w:val="16"/>
          <w:szCs w:val="16"/>
          <w:color w:val="auto"/>
        </w:rPr>
        <w:t>Any proposal that a shareholder intends to present at the 2000 Annual Meeting must be received by the Company no later than September 24, 1999 for inclusion in the 2000 Notice of Annual Meeting, Proxy Statement, and form of proxy.</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10-K</w:t>
      </w:r>
    </w:p>
    <w:p>
      <w:pPr>
        <w:spacing w:after="0" w:line="186"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The Company will provide each person whose proxy is solicited, upon the written request of any such person, a copy of its annual report on Form 10-K as filed with the Securities and Exchange Commission, including the financial statements and financial statement schedules required to be filed with the Commission. Such written request should be directed to John R. Hawkins, Corporate Secretary, Hawkins Chemical, Inc., 3100 East Hennepin Avenue, Minneapolis, Minnesota 55413.</w:t>
      </w:r>
    </w:p>
    <w:p>
      <w:pPr>
        <w:spacing w:after="0" w:line="188"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6"/>
          <w:szCs w:val="16"/>
          <w:color w:val="auto"/>
        </w:rPr>
        <w:t>Dated: January 22, 1999.</w:t>
      </w:r>
      <w:r>
        <w:rPr>
          <w:sz w:val="20"/>
          <w:szCs w:val="20"/>
          <w:color w:val="auto"/>
        </w:rPr>
        <w:tab/>
      </w:r>
      <w:r>
        <w:rPr>
          <w:rFonts w:ascii="Courier New" w:cs="Courier New" w:eastAsia="Courier New" w:hAnsi="Courier New"/>
          <w:sz w:val="15"/>
          <w:szCs w:val="15"/>
          <w:color w:val="auto"/>
        </w:rPr>
        <w:t>BY ORDER OF THE BOARD OF DIRECTORS</w:t>
      </w:r>
    </w:p>
    <w:p>
      <w:pPr>
        <w:spacing w:after="0" w:line="183"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JOHN R. HAWKINS, SECRETARY</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7" w:right="1440" w:bottom="1440" w:gutter="0" w:footer="0" w:header="0"/>
        </w:sectPr>
      </w:pPr>
    </w:p>
    <w:bookmarkStart w:id="12" w:name="page13"/>
    <w:bookmarkEnd w:id="12"/>
    <w:p>
      <w:pPr>
        <w:jc w:val="center"/>
        <w:ind w:right="2656"/>
        <w:spacing w:after="0"/>
        <w:rPr>
          <w:sz w:val="20"/>
          <w:szCs w:val="20"/>
          <w:color w:val="auto"/>
        </w:rPr>
      </w:pPr>
      <w:r>
        <w:rPr>
          <w:rFonts w:ascii="Courier New" w:cs="Courier New" w:eastAsia="Courier New" w:hAnsi="Courier New"/>
          <w:sz w:val="16"/>
          <w:szCs w:val="16"/>
          <w:color w:val="auto"/>
        </w:rPr>
        <w:t>HAWKINS CHEMICAL, INC.</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PROXY FOR ANNUAL MEETING OF SHAREHOLDERS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FEBRUARY 24, 1999</w:t>
      </w:r>
    </w:p>
    <w:p>
      <w:pPr>
        <w:spacing w:after="0" w:line="368"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5"/>
          <w:szCs w:val="15"/>
          <w:color w:val="auto"/>
        </w:rPr>
        <w:t>THIS PROXY IS SOLICITED ON BEHALF OF THE BOARD OF DIRECTORS OF HAWKINS CHEMICAL,</w:t>
      </w:r>
    </w:p>
    <w:p>
      <w:pPr>
        <w:spacing w:after="0" w:line="8"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INC.</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The undersigned hereby appoints Dean L. Hahn, Donald L. Shipp and John R. Hawkins or a majority of them, as Proxies, each with the power to appoint his substitute, and hereby authorizes them to represent and to vote, as designated below, all the shares of common stock of Hawkins Chemical, Inc. held of record by the undersigned on January 19, 1999, at the Annual Meeting of Shareholders of Hawkins Chemical, Inc. to be held at 3:00 P.M. on Wednesday, February 24, 1999, at Midland Hills Country Club, 2001 Fulham Street, St. Paul, Minnesota, and any adjournment thereof.</w:t>
      </w:r>
    </w:p>
    <w:p>
      <w:pPr>
        <w:spacing w:after="0" w:line="183" w:lineRule="exact"/>
        <w:rPr>
          <w:sz w:val="20"/>
          <w:szCs w:val="20"/>
          <w:color w:val="auto"/>
        </w:rPr>
      </w:pPr>
    </w:p>
    <w:p>
      <w:pPr>
        <w:ind w:left="3"/>
        <w:spacing w:after="0"/>
        <w:tabs>
          <w:tab w:leader="none" w:pos="443" w:val="left"/>
          <w:tab w:leader="none" w:pos="1783" w:val="left"/>
          <w:tab w:leader="none" w:pos="2243" w:val="left"/>
        </w:tabs>
        <w:rPr>
          <w:sz w:val="20"/>
          <w:szCs w:val="20"/>
          <w:color w:val="auto"/>
        </w:rPr>
      </w:pPr>
      <w:r>
        <w:rPr>
          <w:rFonts w:ascii="Courier New" w:cs="Courier New" w:eastAsia="Courier New" w:hAnsi="Courier New"/>
          <w:sz w:val="16"/>
          <w:szCs w:val="16"/>
          <w:color w:val="auto"/>
        </w:rPr>
        <w:t>1.</w:t>
        <w:tab/>
        <w:t>ELECTION OF</w:t>
        <w:tab/>
        <w:t>/ /</w:t>
      </w:r>
      <w:r>
        <w:rPr>
          <w:sz w:val="20"/>
          <w:szCs w:val="20"/>
          <w:color w:val="auto"/>
        </w:rPr>
        <w:tab/>
      </w:r>
      <w:r>
        <w:rPr>
          <w:rFonts w:ascii="Courier New" w:cs="Courier New" w:eastAsia="Courier New" w:hAnsi="Courier New"/>
          <w:sz w:val="15"/>
          <w:szCs w:val="15"/>
          <w:color w:val="auto"/>
        </w:rPr>
        <w:t>FOR all nominees listed below</w:t>
      </w:r>
    </w:p>
    <w:p>
      <w:pPr>
        <w:spacing w:after="0" w:line="1" w:lineRule="exact"/>
        <w:rPr>
          <w:sz w:val="20"/>
          <w:szCs w:val="20"/>
          <w:color w:val="auto"/>
        </w:rPr>
      </w:pPr>
    </w:p>
    <w:p>
      <w:pPr>
        <w:ind w:left="463"/>
        <w:spacing w:after="0"/>
        <w:tabs>
          <w:tab w:leader="none" w:pos="2063" w:val="left"/>
        </w:tabs>
        <w:rPr>
          <w:sz w:val="20"/>
          <w:szCs w:val="20"/>
          <w:color w:val="auto"/>
        </w:rPr>
      </w:pPr>
      <w:r>
        <w:rPr>
          <w:rFonts w:ascii="Courier New" w:cs="Courier New" w:eastAsia="Courier New" w:hAnsi="Courier New"/>
          <w:sz w:val="16"/>
          <w:szCs w:val="16"/>
          <w:color w:val="auto"/>
        </w:rPr>
        <w:t>DIRECTORS:</w:t>
      </w:r>
      <w:r>
        <w:rPr>
          <w:sz w:val="20"/>
          <w:szCs w:val="20"/>
          <w:color w:val="auto"/>
        </w:rPr>
        <w:tab/>
      </w:r>
      <w:r>
        <w:rPr>
          <w:rFonts w:ascii="Courier New" w:cs="Courier New" w:eastAsia="Courier New" w:hAnsi="Courier New"/>
          <w:sz w:val="16"/>
          <w:szCs w:val="16"/>
          <w:color w:val="auto"/>
        </w:rPr>
        <w:t>EXCEPT those I have struck by a</w:t>
      </w:r>
    </w:p>
    <w:p>
      <w:pPr>
        <w:spacing w:after="0" w:line="1" w:lineRule="exact"/>
        <w:rPr>
          <w:sz w:val="20"/>
          <w:szCs w:val="20"/>
          <w:color w:val="auto"/>
        </w:rPr>
      </w:pPr>
    </w:p>
    <w:p>
      <w:pPr>
        <w:ind w:left="2083"/>
        <w:spacing w:after="0"/>
        <w:rPr>
          <w:sz w:val="20"/>
          <w:szCs w:val="20"/>
          <w:color w:val="auto"/>
        </w:rPr>
      </w:pPr>
      <w:r>
        <w:rPr>
          <w:rFonts w:ascii="Courier New" w:cs="Courier New" w:eastAsia="Courier New" w:hAnsi="Courier New"/>
          <w:sz w:val="16"/>
          <w:szCs w:val="16"/>
          <w:color w:val="auto"/>
        </w:rPr>
        <w:t>line through their names.</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Dean L. Hahn, Howard M. Hawkins, Donald L. Shipp,</w:t>
      </w:r>
    </w:p>
    <w:p>
      <w:pPr>
        <w:spacing w:after="0" w:line="1"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John S. McKeon, John R. Hawkins, Duane M. Jergenson, G. Robert Gey,</w:t>
      </w:r>
    </w:p>
    <w:p>
      <w:pPr>
        <w:spacing w:after="0" w:line="1" w:lineRule="exact"/>
        <w:rPr>
          <w:sz w:val="20"/>
          <w:szCs w:val="20"/>
          <w:color w:val="auto"/>
        </w:rPr>
      </w:pPr>
    </w:p>
    <w:p>
      <w:pPr>
        <w:ind w:left="1803"/>
        <w:spacing w:after="0"/>
        <w:tabs>
          <w:tab w:leader="none" w:pos="22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WITHHOLD AUTHORITY</w:t>
      </w:r>
    </w:p>
    <w:p>
      <w:pPr>
        <w:spacing w:after="0" w:line="1" w:lineRule="exact"/>
        <w:rPr>
          <w:sz w:val="20"/>
          <w:szCs w:val="20"/>
          <w:color w:val="auto"/>
        </w:rPr>
      </w:pPr>
    </w:p>
    <w:p>
      <w:pPr>
        <w:ind w:left="2083"/>
        <w:spacing w:after="0"/>
        <w:rPr>
          <w:sz w:val="20"/>
          <w:szCs w:val="20"/>
          <w:color w:val="auto"/>
        </w:rPr>
      </w:pPr>
      <w:r>
        <w:rPr>
          <w:rFonts w:ascii="Courier New" w:cs="Courier New" w:eastAsia="Courier New" w:hAnsi="Courier New"/>
          <w:sz w:val="16"/>
          <w:szCs w:val="16"/>
          <w:color w:val="auto"/>
        </w:rPr>
        <w:t>to vote for ALL nominees listed above.</w:t>
      </w:r>
    </w:p>
    <w:p>
      <w:pPr>
        <w:spacing w:after="0" w:line="1" w:lineRule="exact"/>
        <w:rPr>
          <w:sz w:val="20"/>
          <w:szCs w:val="20"/>
          <w:color w:val="auto"/>
        </w:rPr>
      </w:pPr>
    </w:p>
    <w:p>
      <w:pPr>
        <w:ind w:left="463" w:hanging="463"/>
        <w:spacing w:after="0"/>
        <w:tabs>
          <w:tab w:leader="none" w:pos="46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INCREASE THE COMPANY'S AUTHORIZED COMMON STOCK:</w:t>
      </w:r>
    </w:p>
    <w:p>
      <w:pPr>
        <w:spacing w:after="0" w:line="1" w:lineRule="exact"/>
        <w:rPr>
          <w:sz w:val="20"/>
          <w:szCs w:val="20"/>
          <w:color w:val="auto"/>
        </w:rPr>
      </w:pPr>
    </w:p>
    <w:p>
      <w:pPr>
        <w:ind w:left="463"/>
        <w:spacing w:after="0"/>
        <w:tabs>
          <w:tab w:leader="none" w:pos="923" w:val="left"/>
          <w:tab w:leader="none" w:pos="1503" w:val="left"/>
          <w:tab w:leader="none" w:pos="1963" w:val="left"/>
          <w:tab w:leader="none" w:pos="2903" w:val="left"/>
          <w:tab w:leader="none" w:pos="3383"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tab/>
        <w:t>/ /</w:t>
      </w:r>
      <w:r>
        <w:rPr>
          <w:sz w:val="20"/>
          <w:szCs w:val="20"/>
          <w:color w:val="auto"/>
        </w:rPr>
        <w:tab/>
      </w:r>
      <w:r>
        <w:rPr>
          <w:rFonts w:ascii="Courier New" w:cs="Courier New" w:eastAsia="Courier New" w:hAnsi="Courier New"/>
          <w:sz w:val="15"/>
          <w:szCs w:val="15"/>
          <w:color w:val="auto"/>
        </w:rPr>
        <w:t>ABSTAIN</w:t>
      </w:r>
    </w:p>
    <w:p>
      <w:pPr>
        <w:spacing w:after="0" w:line="5" w:lineRule="exact"/>
        <w:rPr>
          <w:sz w:val="20"/>
          <w:szCs w:val="20"/>
          <w:color w:val="auto"/>
        </w:rPr>
      </w:pPr>
    </w:p>
    <w:p>
      <w:pPr>
        <w:ind w:left="463" w:right="3039" w:hanging="463"/>
        <w:spacing w:after="0" w:line="238" w:lineRule="auto"/>
        <w:tabs>
          <w:tab w:leader="none" w:pos="46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matters as may properly come before the meeting. Management is not presently aware of any such matters to be presented for action.</w:t>
      </w:r>
    </w:p>
    <w:p>
      <w:pPr>
        <w:spacing w:after="0" w:line="184"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(CONTINUED, AND TO BE SIGNED AND DATED, ON THE OTHER SIDE)</w:t>
      </w:r>
    </w:p>
    <w:p>
      <w:pPr>
        <w:sectPr>
          <w:pgSz w:w="11900" w:h="16838" w:orient="portrait"/>
          <w:cols w:equalWidth="0" w:num="1">
            <w:col w:w="10222"/>
          </w:cols>
          <w:pgMar w:left="237" w:top="659" w:right="1440" w:bottom="1440" w:gutter="0" w:footer="0" w:header="0"/>
        </w:sectPr>
      </w:pPr>
    </w:p>
    <w:bookmarkStart w:id="13" w:name="page14"/>
    <w:bookmarkEnd w:id="13"/>
    <w:p>
      <w:pPr>
        <w:ind w:right="2759"/>
        <w:spacing w:after="0" w:line="238" w:lineRule="auto"/>
        <w:rPr>
          <w:sz w:val="20"/>
          <w:szCs w:val="20"/>
          <w:color w:val="auto"/>
        </w:rPr>
      </w:pPr>
      <w:r>
        <w:rPr>
          <w:rFonts w:ascii="Courier New" w:cs="Courier New" w:eastAsia="Courier New" w:hAnsi="Courier New"/>
          <w:sz w:val="16"/>
          <w:szCs w:val="16"/>
          <w:color w:val="auto"/>
        </w:rPr>
        <w:t>THE SHARES REPRESENTED HEREBY WILL BE VOTED AS DIRECTED BY THIS PROXY, BUT IF THIS PROXY IS RETURNED WITH NO DIRECTION MADE, THEY WILL BE VOTED "FOR" EACH OF THE NOMINEES FOR DIRECTOR.</w:t>
      </w:r>
    </w:p>
    <w:p>
      <w:pPr>
        <w:spacing w:after="0" w:line="188"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The undersigned hereby ratifies and confirms all that the Proxies appointed hereby shall lawfully do or cause to be done by virtue hereof and hereby revokes all proxies heretofore given to vote such shares.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SIGN AND RETURN PROMPTLY.</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Signature if held jointly</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Dated: ______________________________________, 1999</w:t>
      </w:r>
    </w:p>
    <w:p>
      <w:pPr>
        <w:spacing w:after="0" w:line="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(Please date this Proxy)</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(Please sign exactly as your name appears to the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left. When shares are held by joint tenants, both</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should sign. When signing as executor,</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administrator, attorney, trustee or guardian,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please give full title as such. If a corporation,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please sign in full corporate name by president or</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other authorized officer. If a partnership, please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sign in partnership name by an authorized person.)</w:t>
      </w:r>
    </w:p>
    <w:sectPr>
      <w:pgSz w:w="11900" w:h="16838" w:orient="portrait"/>
      <w:cols w:equalWidth="0" w:num="1">
        <w:col w:w="10219"/>
      </w:cols>
      <w:pgMar w:left="240" w:top="4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2)"/>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0"/>
      <w:numFmt w:val="bullet"/>
      <w:start w:val="1"/>
    </w:lvl>
  </w:abstractNum>
  <w:abstractNum w:abstractNumId="8">
    <w:nsid w:val="1190CDE7"/>
    <w:multiLevelType w:val="hybridMultilevel"/>
    <w:lvl w:ilvl="0">
      <w:lvlJc w:val="left"/>
      <w:lvlText w:val="(%1)"/>
      <w:numFmt w:val="lowerLetter"/>
      <w:start w:val="5"/>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52"/>
    </w:lvl>
  </w:abstractNum>
  <w:abstractNum w:abstractNumId="11">
    <w:nsid w:val="3352255A"/>
    <w:multiLevelType w:val="hybridMultilevel"/>
    <w:lvl w:ilvl="0">
      <w:lvlJc w:val="left"/>
      <w:lvlText w:val="%1"/>
      <w:numFmt w:val="decimal"/>
      <w:start w:val="54"/>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2019-12-13T01:51:24Z</dcterms:created>
  <dcterms:modified xsi:type="dcterms:W3CDTF">2019-12-13T01:51:24Z</dcterms:modified>
</cp:coreProperties>
</file>