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Stauber Daniel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 Health and Nutrition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3"/>
          </w:tcPr>
          <w:p>
            <w:pPr>
              <w:ind w:left="160"/>
              <w:spacing w:after="0" w:line="170" w:lineRule="exact"/>
              <w:rPr>
                <w:sz w:val="20"/>
                <w:szCs w:val="20"/>
                <w:color w:val="auto"/>
              </w:rPr>
            </w:pPr>
            <w:r>
              <w:rPr>
                <w:rFonts w:ascii="Arial" w:cs="Arial" w:eastAsia="Arial" w:hAnsi="Arial"/>
                <w:sz w:val="18"/>
                <w:szCs w:val="18"/>
                <w:color w:val="0000FF"/>
              </w:rPr>
              <w:t>06/04/2018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8"/>
                <w:szCs w:val="18"/>
                <w:color w:val="0000FF"/>
              </w:rPr>
              <w:t>05/31/2018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2,555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4,952.39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2"/>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June 4, 2018 inadvertently understated the reporting person's award by 60 shares.</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7.244 shares acquired in October 2017 and 15.041 shares acquired in April 2018 pursuant to the Issuer's dividend reinvestment plan and 330 shares acquired in July 2017 and 434 shares acquired in January 2018 pursuant to the Issuer's employee stock purchase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06/19/2018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6284"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2019-12-23T22:30:23Z</dcterms:created>
  <dcterms:modified xsi:type="dcterms:W3CDTF">2019-12-23T22:30:23Z</dcterms:modified>
</cp:coreProperties>
</file>