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396875</wp:posOffset>
            </wp:positionH>
            <wp:positionV relativeFrom="page">
              <wp:posOffset>363220</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328930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57785</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78" w:lineRule="exact"/>
        <w:rPr>
          <w:sz w:val="24"/>
          <w:szCs w:val="24"/>
          <w:color w:val="auto"/>
        </w:rPr>
      </w:pPr>
    </w:p>
    <w:p>
      <w:pPr>
        <w:ind w:left="5240"/>
        <w:spacing w:after="0"/>
        <w:rPr>
          <w:sz w:val="20"/>
          <w:szCs w:val="20"/>
          <w:color w:val="auto"/>
        </w:rPr>
      </w:pPr>
      <w:r>
        <w:rPr>
          <w:rFonts w:ascii="Arial" w:cs="Arial" w:eastAsia="Arial" w:hAnsi="Arial"/>
          <w:sz w:val="22"/>
          <w:szCs w:val="22"/>
          <w:b w:val="1"/>
          <w:bCs w:val="1"/>
          <w:color w:val="auto"/>
        </w:rPr>
        <w:t>Form 10-K</w:t>
      </w:r>
    </w:p>
    <w:p>
      <w:pPr>
        <w:spacing w:after="0" w:line="121" w:lineRule="exact"/>
        <w:rPr>
          <w:sz w:val="24"/>
          <w:szCs w:val="24"/>
          <w:color w:val="auto"/>
        </w:rPr>
      </w:pPr>
    </w:p>
    <w:p>
      <w:pPr>
        <w:ind w:left="1120" w:hanging="262"/>
        <w:spacing w:after="0"/>
        <w:tabs>
          <w:tab w:leader="none" w:pos="11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w:t>
      </w:r>
    </w:p>
    <w:p>
      <w:pPr>
        <w:spacing w:after="0" w:line="20"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SECURITIES EXCHANGE ACT OF 1934</w:t>
      </w:r>
    </w:p>
    <w:p>
      <w:pPr>
        <w:spacing w:after="0" w:line="22"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 the Fiscal Year Ended March 29, 2026</w:t>
      </w:r>
    </w:p>
    <w:p>
      <w:pPr>
        <w:spacing w:after="0" w:line="100" w:lineRule="exact"/>
        <w:rPr>
          <w:sz w:val="24"/>
          <w:szCs w:val="24"/>
          <w:color w:val="auto"/>
        </w:rPr>
      </w:pPr>
    </w:p>
    <w:p>
      <w:pPr>
        <w:ind w:left="4120" w:right="3780" w:hanging="3262"/>
        <w:spacing w:after="0" w:line="298" w:lineRule="auto"/>
        <w:tabs>
          <w:tab w:leader="none" w:pos="1127"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 w:lineRule="exact"/>
        <w:rPr>
          <w:rFonts w:ascii="MS PGothic" w:cs="MS PGothic" w:eastAsia="MS PGothic" w:hAnsi="MS PGothic"/>
          <w:sz w:val="21"/>
          <w:szCs w:val="21"/>
          <w:color w:val="auto"/>
          <w:highlight w:val="black"/>
        </w:rPr>
      </w:pPr>
    </w:p>
    <w:p>
      <w:pPr>
        <w:ind w:left="4580"/>
        <w:spacing w:after="0"/>
        <w:rPr>
          <w:rFonts w:ascii="MS PGothic" w:cs="MS PGothic" w:eastAsia="MS PGothic" w:hAnsi="MS PGothic"/>
          <w:sz w:val="21"/>
          <w:szCs w:val="21"/>
          <w:color w:val="auto"/>
          <w:highlight w:val="black"/>
        </w:rPr>
      </w:pPr>
      <w:r>
        <w:rPr>
          <w:rFonts w:ascii="Arial" w:cs="Arial" w:eastAsia="Arial" w:hAnsi="Arial"/>
          <w:sz w:val="18"/>
          <w:szCs w:val="18"/>
          <w:b w:val="1"/>
          <w:bCs w:val="1"/>
          <w:color w:val="auto"/>
        </w:rPr>
        <w:t>Commission File No.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128905</wp:posOffset>
            </wp:positionV>
            <wp:extent cx="2014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HAWKINS, INC.</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709" w:right="359" w:bottom="1440" w:gutter="0" w:footer="0" w:header="0"/>
        </w:sectPr>
      </w:pPr>
    </w:p>
    <w:p>
      <w:pPr>
        <w:spacing w:after="0" w:line="41"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41-0771293</w:t>
      </w:r>
    </w:p>
    <w:p>
      <w:pPr>
        <w:spacing w:after="0" w:line="42" w:lineRule="exact"/>
        <w:rPr>
          <w:sz w:val="24"/>
          <w:szCs w:val="24"/>
          <w:color w:val="auto"/>
        </w:rPr>
      </w:pPr>
    </w:p>
    <w:p>
      <w:pPr>
        <w:sectPr>
          <w:pgSz w:w="11900" w:h="16838" w:orient="portrait"/>
          <w:cols w:equalWidth="0" w:num="2">
            <w:col w:w="7540" w:space="720"/>
            <w:col w:w="2960"/>
          </w:cols>
          <w:pgMar w:left="320" w:top="709" w:right="359" w:bottom="1440" w:gutter="0" w:footer="0" w:header="0"/>
          <w:type w:val="continuous"/>
        </w:sectPr>
      </w:pPr>
    </w:p>
    <w:p>
      <w:pPr>
        <w:ind w:left="208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42" w:lineRule="exact"/>
        <w:rPr>
          <w:sz w:val="24"/>
          <w:szCs w:val="24"/>
          <w:color w:val="auto"/>
        </w:rPr>
      </w:pPr>
    </w:p>
    <w:p>
      <w:pPr>
        <w:sectPr>
          <w:pgSz w:w="11900" w:h="16838" w:orient="portrait"/>
          <w:cols w:equalWidth="0" w:num="2">
            <w:col w:w="6800" w:space="720"/>
            <w:col w:w="3700"/>
          </w:cols>
          <w:pgMar w:left="320" w:top="709" w:right="359" w:bottom="1440" w:gutter="0" w:footer="0" w:header="0"/>
          <w:type w:val="continuous"/>
        </w:sectPr>
      </w:pPr>
    </w:p>
    <w:p>
      <w:pPr>
        <w:ind w:left="1560"/>
        <w:spacing w:after="0"/>
        <w:rPr>
          <w:sz w:val="20"/>
          <w:szCs w:val="20"/>
          <w:color w:val="auto"/>
        </w:rPr>
      </w:pPr>
      <w:r>
        <w:rPr>
          <w:rFonts w:ascii="Arial" w:cs="Arial" w:eastAsia="Arial" w:hAnsi="Arial"/>
          <w:sz w:val="14"/>
          <w:szCs w:val="14"/>
          <w:b w:val="1"/>
          <w:bCs w:val="1"/>
          <w:color w:val="auto"/>
        </w:rPr>
        <w:t>2381 Rosegate, Roseville, 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55113</w:t>
      </w:r>
    </w:p>
    <w:p>
      <w:pPr>
        <w:spacing w:after="0" w:line="42" w:lineRule="exact"/>
        <w:rPr>
          <w:sz w:val="24"/>
          <w:szCs w:val="24"/>
          <w:color w:val="auto"/>
        </w:rPr>
      </w:pPr>
    </w:p>
    <w:p>
      <w:pPr>
        <w:sectPr>
          <w:pgSz w:w="11900" w:h="16838" w:orient="portrait"/>
          <w:cols w:equalWidth="0" w:num="2">
            <w:col w:w="7720" w:space="720"/>
            <w:col w:w="2780"/>
          </w:cols>
          <w:pgMar w:left="320" w:top="709" w:right="359" w:bottom="1440" w:gutter="0" w:footer="0" w:header="0"/>
          <w:type w:val="continuous"/>
        </w:sectPr>
      </w:pPr>
    </w:p>
    <w:p>
      <w:pPr>
        <w:ind w:left="15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9" w:lineRule="exact"/>
        <w:rPr>
          <w:sz w:val="24"/>
          <w:szCs w:val="24"/>
          <w:color w:val="auto"/>
        </w:rPr>
      </w:pPr>
    </w:p>
    <w:p>
      <w:pPr>
        <w:sectPr>
          <w:pgSz w:w="11900" w:h="16838" w:orient="portrait"/>
          <w:cols w:equalWidth="0" w:num="2">
            <w:col w:w="7580" w:space="720"/>
            <w:col w:w="2920"/>
          </w:cols>
          <w:pgMar w:left="320" w:top="709" w:right="35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(612) 331-6910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1"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20"/>
          </w:cols>
          <w:pgMar w:left="320" w:top="709" w:right="359" w:bottom="1440" w:gutter="0" w:footer="0" w:header="0"/>
          <w:type w:val="continuous"/>
        </w:sectPr>
      </w:pPr>
    </w:p>
    <w:p>
      <w:pPr>
        <w:spacing w:after="0" w:line="42"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sectPr>
          <w:pgSz w:w="11900" w:h="16838" w:orient="portrait"/>
          <w:cols w:equalWidth="0" w:num="3">
            <w:col w:w="4340" w:space="720"/>
            <w:col w:w="1920" w:space="720"/>
            <w:col w:w="3520"/>
          </w:cols>
          <w:pgMar w:left="320" w:top="709" w:right="35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Common Shares,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HWKN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42" w:lineRule="exact"/>
        <w:rPr>
          <w:sz w:val="24"/>
          <w:szCs w:val="24"/>
          <w:color w:val="auto"/>
        </w:rPr>
      </w:pPr>
    </w:p>
    <w:p>
      <w:pPr>
        <w:sectPr>
          <w:pgSz w:w="11900" w:h="16838" w:orient="portrait"/>
          <w:cols w:equalWidth="0" w:num="3">
            <w:col w:w="4680" w:space="720"/>
            <w:col w:w="2040" w:space="720"/>
            <w:col w:w="3060"/>
          </w:cols>
          <w:pgMar w:left="320" w:top="709" w:right="359" w:bottom="1440" w:gutter="0" w:footer="0" w:header="0"/>
          <w:type w:val="continuous"/>
        </w:sectPr>
      </w:pPr>
    </w:p>
    <w:p>
      <w:pPr>
        <w:jc w:val="center"/>
        <w:ind w:right="-19"/>
        <w:spacing w:after="0"/>
        <w:tabs>
          <w:tab w:leader="none" w:pos="140" w:val="left"/>
        </w:tabs>
        <w:rPr>
          <w:sz w:val="20"/>
          <w:szCs w:val="20"/>
          <w:color w:val="auto"/>
        </w:rPr>
      </w:pPr>
      <w:r>
        <w:rPr>
          <w:rFonts w:ascii="Arial" w:cs="Arial" w:eastAsia="Arial" w:hAnsi="Arial"/>
          <w:sz w:val="14"/>
          <w:szCs w:val="14"/>
          <w:b w:val="1"/>
          <w:bCs w:val="1"/>
          <w:color w:val="auto"/>
        </w:rPr>
        <w:t>Securities registered pursuant to Section 12(g) of the Act:</w:t>
        <w:tab/>
        <w:t>None</w:t>
      </w:r>
    </w:p>
    <w:p>
      <w:pPr>
        <w:sectPr>
          <w:pgSz w:w="11900" w:h="16838" w:orient="portrait"/>
          <w:cols w:equalWidth="0" w:num="1">
            <w:col w:w="11220"/>
          </w:cols>
          <w:pgMar w:left="320" w:top="709" w:right="359" w:bottom="1440" w:gutter="0" w:footer="0" w:header="0"/>
          <w:type w:val="continuous"/>
        </w:sectPr>
      </w:pPr>
    </w:p>
    <w:p>
      <w:pPr>
        <w:spacing w:after="0" w:line="18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5">
            <w:col w:w="8700" w:space="180"/>
            <w:col w:w="260" w:space="80"/>
            <w:col w:w="160" w:space="180"/>
            <w:col w:w="200" w:space="100"/>
            <w:col w:w="1360"/>
          </w:cols>
          <w:pgMar w:left="320" w:top="709" w:right="359" w:bottom="1440" w:gutter="0" w:footer="0" w:header="0"/>
          <w:type w:val="continuous"/>
        </w:sectPr>
      </w:pPr>
    </w:p>
    <w:p>
      <w:pPr>
        <w:spacing w:after="0" w:line="3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5">
            <w:col w:w="8800" w:space="180"/>
            <w:col w:w="260" w:space="80"/>
            <w:col w:w="160" w:space="180"/>
            <w:col w:w="200" w:space="100"/>
            <w:col w:w="1260"/>
          </w:cols>
          <w:pgMar w:left="320" w:top="709" w:right="359" w:bottom="1440" w:gutter="0" w:footer="0" w:header="0"/>
          <w:type w:val="continuous"/>
        </w:sectPr>
      </w:pPr>
    </w:p>
    <w:p>
      <w:pPr>
        <w:ind w:right="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40" w:firstLine="324"/>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709" w:right="359" w:bottom="1440" w:gutter="0" w:footer="0" w:header="0"/>
          <w:type w:val="continuous"/>
        </w:sectPr>
      </w:pPr>
    </w:p>
    <w:p>
      <w:pPr>
        <w:spacing w:after="0" w:line="1" w:lineRule="exact"/>
        <w:rPr>
          <w:sz w:val="24"/>
          <w:szCs w:val="24"/>
          <w:color w:val="auto"/>
        </w:rPr>
      </w:pPr>
    </w:p>
    <w:p>
      <w:pPr>
        <w:ind w:left="2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158" w:lineRule="exact"/>
        <w:rPr>
          <w:sz w:val="24"/>
          <w:szCs w:val="24"/>
          <w:color w:val="auto"/>
        </w:rPr>
      </w:pPr>
    </w:p>
    <w:p>
      <w:pPr>
        <w:sectPr>
          <w:pgSz w:w="11900" w:h="16838" w:orient="portrait"/>
          <w:cols w:equalWidth="0" w:num="2">
            <w:col w:w="9060" w:space="720"/>
            <w:col w:w="1440"/>
          </w:cols>
          <w:pgMar w:left="320" w:top="709" w:right="359" w:bottom="1440" w:gutter="0" w:footer="0" w:header="0"/>
          <w:type w:val="continuous"/>
        </w:sectPr>
      </w:pPr>
    </w:p>
    <w:p>
      <w:pPr>
        <w:ind w:left="38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54" w:lineRule="exact"/>
        <w:rPr>
          <w:sz w:val="24"/>
          <w:szCs w:val="24"/>
          <w:color w:val="auto"/>
        </w:rPr>
      </w:pPr>
    </w:p>
    <w:p>
      <w:pPr>
        <w:sectPr>
          <w:pgSz w:w="11900" w:h="16838" w:orient="portrait"/>
          <w:cols w:equalWidth="0" w:num="2">
            <w:col w:w="8280" w:space="720"/>
            <w:col w:w="2220"/>
          </w:cols>
          <w:pgMar w:left="320" w:top="709" w:right="359" w:bottom="1440" w:gutter="0" w:footer="0" w:header="0"/>
          <w:type w:val="continuous"/>
        </w:sectPr>
      </w:pPr>
    </w:p>
    <w:p>
      <w:pPr>
        <w:ind w:left="90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220"/>
          </w:cols>
          <w:pgMar w:left="320" w:top="709" w:right="359" w:bottom="1440" w:gutter="0" w:footer="0" w:header="0"/>
          <w:type w:val="continuous"/>
        </w:sectPr>
      </w:pPr>
    </w:p>
    <w:p>
      <w:pPr>
        <w:spacing w:after="0" w:line="228" w:lineRule="exact"/>
        <w:rPr>
          <w:sz w:val="24"/>
          <w:szCs w:val="24"/>
          <w:color w:val="auto"/>
        </w:rPr>
      </w:pPr>
    </w:p>
    <w:p>
      <w:pPr>
        <w:ind w:right="320" w:firstLine="32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ind w:righ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 w:lineRule="exact"/>
        <w:rPr>
          <w:sz w:val="24"/>
          <w:szCs w:val="24"/>
          <w:color w:val="auto"/>
        </w:rPr>
      </w:pPr>
    </w:p>
    <w:p>
      <w:pPr>
        <w:ind w:left="340"/>
        <w:spacing w:after="0" w:line="184"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ind w:right="60" w:firstLine="324"/>
        <w:spacing w:after="0" w:line="22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400" w:firstLine="324"/>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4"/>
          <w:szCs w:val="24"/>
          <w:color w:val="auto"/>
        </w:rPr>
      </w:pPr>
    </w:p>
    <w:p>
      <w:pPr>
        <w:ind w:right="20" w:firstLine="324"/>
        <w:spacing w:after="0" w:line="265" w:lineRule="auto"/>
        <w:rPr>
          <w:sz w:val="20"/>
          <w:szCs w:val="20"/>
          <w:color w:val="auto"/>
        </w:rPr>
      </w:pPr>
      <w:r>
        <w:rPr>
          <w:rFonts w:ascii="Arial" w:cs="Arial" w:eastAsia="Arial" w:hAnsi="Arial"/>
          <w:sz w:val="16"/>
          <w:szCs w:val="16"/>
          <w:color w:val="auto"/>
        </w:rPr>
        <w:t>The aggregate market value of voting stock held by non-affiliates of the Registrant on September 28, 2025 (the last business day of the Registrant’s most recently completed second fiscal quarter) was approximately $3,549.6 million based upon the closing sale price for the Registrant’s common shares on that date as reported by The Nasdaq Stock Market LLC, excluding all shares held by officers and directors of the Registrant and by the Trustees of the Registrant’s Employee Stock Ownership Plan and Trust.</w:t>
      </w:r>
    </w:p>
    <w:p>
      <w:pPr>
        <w:spacing w:after="0" w:line="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8, 2026, the Registrant had 20,868,176 shares of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72390</wp:posOffset>
            </wp:positionV>
            <wp:extent cx="2014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Portions of our definitive Proxy Statement for the annual meeting of shareholders to be held on July 29, 2026, are incorporated by reference in Part III of this</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62230</wp:posOffset>
            </wp:positionV>
            <wp:extent cx="6763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27940</wp:posOffset>
            </wp:positionV>
            <wp:extent cx="6763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ectPr>
          <w:pgSz w:w="11900" w:h="16838" w:orient="portrait"/>
          <w:cols w:equalWidth="0" w:num="1">
            <w:col w:w="11220"/>
          </w:cols>
          <w:pgMar w:left="320" w:top="70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“seek,”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Except as required by law, we disclaim any intent or obligation to update any forward-looking statements, whether as a result of new information, future events or otherwise.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2027" means our fiscal year ending March 28, 2027, “fiscal 2026” means our fiscal year ended March 29, 2026, “fiscal 2025” means our fiscal year ended March 30, 2025, and “fiscal 2024” means our fiscal year ended March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w w:val="99"/>
              </w:rPr>
              <w:t>Hawkins, Inc.</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760" w:type="dxa"/>
            <w:vAlign w:val="bottom"/>
            <w:gridSpan w:val="11"/>
          </w:tcPr>
          <w:p>
            <w:pPr>
              <w:jc w:val="center"/>
              <w:ind w:right="3120"/>
              <w:spacing w:after="0"/>
              <w:rPr>
                <w:sz w:val="20"/>
                <w:szCs w:val="20"/>
                <w:color w:val="auto"/>
              </w:rPr>
            </w:pPr>
            <w:r>
              <w:rPr>
                <w:rFonts w:ascii="Arial" w:cs="Arial" w:eastAsia="Arial" w:hAnsi="Arial"/>
                <w:sz w:val="18"/>
                <w:szCs w:val="18"/>
                <w:b w:val="1"/>
                <w:bCs w:val="1"/>
                <w:color w:val="auto"/>
                <w:w w:val="99"/>
              </w:rPr>
              <w:t>Annual Report on Form 10-K</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00" w:type="dxa"/>
            <w:vAlign w:val="bottom"/>
            <w:gridSpan w:val="12"/>
          </w:tcPr>
          <w:p>
            <w:pPr>
              <w:jc w:val="center"/>
              <w:ind w:right="2180"/>
              <w:spacing w:after="0"/>
              <w:rPr>
                <w:sz w:val="20"/>
                <w:szCs w:val="20"/>
                <w:color w:val="auto"/>
              </w:rPr>
            </w:pPr>
            <w:r>
              <w:rPr>
                <w:rFonts w:ascii="Arial" w:cs="Arial" w:eastAsia="Arial" w:hAnsi="Arial"/>
                <w:sz w:val="18"/>
                <w:szCs w:val="18"/>
                <w:b w:val="1"/>
                <w:bCs w:val="1"/>
                <w:color w:val="auto"/>
                <w:w w:val="99"/>
              </w:rPr>
              <w:t>For the Fiscal Year Ended March 29, 2026</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gridSpan w:val="9"/>
            <w:vMerge w:val="restart"/>
          </w:tcPr>
          <w:p>
            <w:pPr>
              <w:jc w:val="center"/>
              <w:ind w:right="368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gridSpan w:val="9"/>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Business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1A.</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Risk Factors</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1B.</w:t>
            </w:r>
          </w:p>
        </w:tc>
        <w:tc>
          <w:tcPr>
            <w:tcW w:w="224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8"/>
              </w:rPr>
              <w:t>Unresolved Staff Comments</w:t>
            </w:r>
          </w:p>
        </w:tc>
        <w:tc>
          <w:tcPr>
            <w:tcW w:w="6700" w:type="dxa"/>
            <w:vAlign w:val="bottom"/>
            <w:gridSpan w:val="12"/>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1C.</w:t>
            </w:r>
          </w:p>
        </w:tc>
        <w:tc>
          <w:tcPr>
            <w:tcW w:w="2240" w:type="dxa"/>
            <w:vAlign w:val="bottom"/>
            <w:gridSpan w:val="12"/>
          </w:tcPr>
          <w:p>
            <w:pPr>
              <w:spacing w:after="0" w:line="189" w:lineRule="exact"/>
              <w:rPr>
                <w:sz w:val="20"/>
                <w:szCs w:val="20"/>
                <w:color w:val="auto"/>
              </w:rPr>
            </w:pPr>
            <w:r>
              <w:rPr>
                <w:rFonts w:ascii="Arial" w:cs="Arial" w:eastAsia="Arial" w:hAnsi="Arial"/>
                <w:sz w:val="18"/>
                <w:szCs w:val="18"/>
                <w:color w:val="0000FF"/>
              </w:rPr>
              <w:t>Cybersecurity</w:t>
            </w:r>
          </w:p>
        </w:tc>
        <w:tc>
          <w:tcPr>
            <w:tcW w:w="6700" w:type="dxa"/>
            <w:vAlign w:val="bottom"/>
            <w:gridSpan w:val="12"/>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2.</w:t>
            </w:r>
          </w:p>
        </w:tc>
        <w:tc>
          <w:tcPr>
            <w:tcW w:w="8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7"/>
              </w:rPr>
              <w:t>Properties</w:t>
            </w:r>
          </w:p>
        </w:tc>
        <w:tc>
          <w:tcPr>
            <w:tcW w:w="8120" w:type="dxa"/>
            <w:vAlign w:val="bottom"/>
            <w:gridSpan w:val="20"/>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3.</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Legal Proceedings</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4.</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29"/>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220" w:type="dxa"/>
            <w:vAlign w:val="bottom"/>
            <w:tcBorders>
              <w:top w:val="single" w:sz="8" w:color="CCEEFF"/>
            </w:tcBorders>
            <w:gridSpan w:val="9"/>
          </w:tcPr>
          <w:p>
            <w:pPr>
              <w:jc w:val="center"/>
              <w:ind w:right="3680"/>
              <w:spacing w:after="0"/>
              <w:rPr>
                <w:sz w:val="20"/>
                <w:szCs w:val="20"/>
                <w:color w:val="auto"/>
              </w:rPr>
            </w:pPr>
            <w:r>
              <w:rPr>
                <w:rFonts w:ascii="Arial" w:cs="Arial" w:eastAsia="Arial" w:hAnsi="Arial"/>
                <w:sz w:val="18"/>
                <w:szCs w:val="18"/>
                <w:b w:val="1"/>
                <w:bCs w:val="1"/>
                <w:color w:val="auto"/>
                <w:w w:val="96"/>
              </w:rPr>
              <w:t>PART II</w:t>
            </w: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360" w:type="dxa"/>
            <w:vAlign w:val="bottom"/>
            <w:tcBorders>
              <w:bottom w:val="single" w:sz="8" w:color="0000FF"/>
            </w:tcBorders>
            <w:gridSpan w:val="23"/>
            <w:shd w:val="clear" w:color="auto" w:fill="CCEEFF"/>
          </w:tcPr>
          <w:p>
            <w:pPr>
              <w:spacing w:after="0" w:line="202" w:lineRule="exact"/>
              <w:rPr>
                <w:sz w:val="20"/>
                <w:szCs w:val="20"/>
                <w:color w:val="auto"/>
              </w:rPr>
            </w:pPr>
            <w:r>
              <w:rPr>
                <w:rFonts w:ascii="Arial" w:cs="Arial" w:eastAsia="Arial" w:hAnsi="Arial"/>
                <w:sz w:val="18"/>
                <w:szCs w:val="18"/>
                <w:color w:val="0000FF"/>
                <w:w w:val="99"/>
              </w:rPr>
              <w:t>Market for the Company’s Common Equity, Related Shareholder Matters, and Issuer Purchases of Equity</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0000FF"/>
            </w:tcBorders>
            <w:gridSpan w:val="3"/>
            <w:shd w:val="clear" w:color="auto" w:fill="CCEEFF"/>
          </w:tcPr>
          <w:p>
            <w:pPr>
              <w:spacing w:after="0" w:line="182" w:lineRule="exact"/>
              <w:rPr>
                <w:sz w:val="20"/>
                <w:szCs w:val="20"/>
                <w:color w:val="auto"/>
              </w:rPr>
            </w:pPr>
            <w:r>
              <w:rPr>
                <w:rFonts w:ascii="Arial" w:cs="Arial" w:eastAsia="Arial" w:hAnsi="Arial"/>
                <w:sz w:val="18"/>
                <w:szCs w:val="18"/>
                <w:color w:val="0000FF"/>
                <w:w w:val="96"/>
              </w:rPr>
              <w:t>Securities</w:t>
            </w:r>
          </w:p>
        </w:tc>
        <w:tc>
          <w:tcPr>
            <w:tcW w:w="620" w:type="dxa"/>
            <w:vAlign w:val="bottom"/>
            <w:tcBorders>
              <w:bottom w:val="single" w:sz="8" w:color="CCEEFF"/>
            </w:tcBorders>
            <w:gridSpan w:val="4"/>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120" w:type="dxa"/>
            <w:vAlign w:val="bottom"/>
            <w:tcBorders>
              <w:bottom w:val="single" w:sz="8" w:color="CCEEFF"/>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8"/>
        </w:trPr>
        <w:tc>
          <w:tcPr>
            <w:tcW w:w="10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6.</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Reserved</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7.</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7A.</w:t>
            </w:r>
          </w:p>
        </w:tc>
        <w:tc>
          <w:tcPr>
            <w:tcW w:w="7060" w:type="dxa"/>
            <w:vAlign w:val="bottom"/>
            <w:gridSpan w:val="20"/>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880" w:type="dxa"/>
            <w:vAlign w:val="bottom"/>
            <w:gridSpan w:val="4"/>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8.</w:t>
            </w:r>
          </w:p>
        </w:tc>
        <w:tc>
          <w:tcPr>
            <w:tcW w:w="37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9"/>
              </w:rPr>
              <w:t>Financial Statements and Supplementary Data</w:t>
            </w:r>
          </w:p>
        </w:tc>
        <w:tc>
          <w:tcPr>
            <w:tcW w:w="5220" w:type="dxa"/>
            <w:vAlign w:val="bottom"/>
            <w:gridSpan w:val="9"/>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9.</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57</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9A.</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Controls and Procedures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57</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9B.</w:t>
            </w:r>
          </w:p>
        </w:tc>
        <w:tc>
          <w:tcPr>
            <w:tcW w:w="1980" w:type="dxa"/>
            <w:vAlign w:val="bottom"/>
            <w:gridSpan w:val="11"/>
          </w:tcPr>
          <w:p>
            <w:pPr>
              <w:spacing w:after="0" w:line="189" w:lineRule="exact"/>
              <w:rPr>
                <w:sz w:val="20"/>
                <w:szCs w:val="20"/>
                <w:color w:val="auto"/>
              </w:rPr>
            </w:pPr>
            <w:r>
              <w:rPr>
                <w:rFonts w:ascii="Arial" w:cs="Arial" w:eastAsia="Arial" w:hAnsi="Arial"/>
                <w:sz w:val="18"/>
                <w:szCs w:val="18"/>
                <w:color w:val="0000FF"/>
              </w:rPr>
              <w:t>Other Information</w:t>
            </w:r>
          </w:p>
        </w:tc>
        <w:tc>
          <w:tcPr>
            <w:tcW w:w="6960" w:type="dxa"/>
            <w:vAlign w:val="bottom"/>
            <w:gridSpan w:val="13"/>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9C.</w:t>
            </w:r>
          </w:p>
        </w:tc>
        <w:tc>
          <w:tcPr>
            <w:tcW w:w="546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3480" w:type="dxa"/>
            <w:vAlign w:val="bottom"/>
            <w:gridSpan w:val="6"/>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30"/>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740" w:type="dxa"/>
            <w:vAlign w:val="bottom"/>
            <w:tcBorders>
              <w:top w:val="single" w:sz="8" w:color="0000FF"/>
            </w:tcBorders>
            <w:gridSpan w:val="3"/>
          </w:tcPr>
          <w:p>
            <w:pPr>
              <w:jc w:val="center"/>
              <w:ind w:right="180"/>
              <w:spacing w:after="0"/>
              <w:rPr>
                <w:sz w:val="20"/>
                <w:szCs w:val="20"/>
                <w:color w:val="auto"/>
              </w:rPr>
            </w:pPr>
            <w:r>
              <w:rPr>
                <w:rFonts w:ascii="Arial" w:cs="Arial" w:eastAsia="Arial" w:hAnsi="Arial"/>
                <w:sz w:val="18"/>
                <w:szCs w:val="18"/>
                <w:b w:val="1"/>
                <w:bCs w:val="1"/>
                <w:color w:val="auto"/>
                <w:w w:val="98"/>
              </w:rPr>
              <w:t>PART III</w:t>
            </w:r>
          </w:p>
        </w:tc>
        <w:tc>
          <w:tcPr>
            <w:tcW w:w="3480" w:type="dxa"/>
            <w:vAlign w:val="bottom"/>
            <w:tcBorders>
              <w:top w:val="single" w:sz="8" w:color="CCEEFF"/>
            </w:tcBorders>
            <w:gridSpan w:val="6"/>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10.</w:t>
            </w:r>
          </w:p>
        </w:tc>
        <w:tc>
          <w:tcPr>
            <w:tcW w:w="454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9"/>
              </w:rPr>
              <w:t>Directors, Executive Officers, and Corporate Governance</w:t>
            </w:r>
          </w:p>
        </w:tc>
        <w:tc>
          <w:tcPr>
            <w:tcW w:w="4400" w:type="dxa"/>
            <w:vAlign w:val="bottom"/>
            <w:gridSpan w:val="8"/>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11.</w:t>
            </w:r>
          </w:p>
        </w:tc>
        <w:tc>
          <w:tcPr>
            <w:tcW w:w="4540" w:type="dxa"/>
            <w:vAlign w:val="bottom"/>
            <w:gridSpan w:val="16"/>
          </w:tcPr>
          <w:p>
            <w:pPr>
              <w:spacing w:after="0" w:line="189" w:lineRule="exact"/>
              <w:rPr>
                <w:sz w:val="20"/>
                <w:szCs w:val="20"/>
                <w:color w:val="auto"/>
              </w:rPr>
            </w:pPr>
            <w:r>
              <w:rPr>
                <w:rFonts w:ascii="Arial" w:cs="Arial" w:eastAsia="Arial" w:hAnsi="Arial"/>
                <w:sz w:val="18"/>
                <w:szCs w:val="18"/>
                <w:color w:val="0000FF"/>
              </w:rPr>
              <w:t>Executive Compensation</w:t>
            </w:r>
          </w:p>
        </w:tc>
        <w:tc>
          <w:tcPr>
            <w:tcW w:w="4400" w:type="dxa"/>
            <w:vAlign w:val="bottom"/>
            <w:gridSpan w:val="8"/>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2"/>
            <w:shd w:val="clear" w:color="auto" w:fill="CCEEFF"/>
          </w:tcPr>
          <w:p>
            <w:pPr>
              <w:spacing w:after="0" w:line="182" w:lineRule="exact"/>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92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CCEEFF"/>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8"/>
        </w:trPr>
        <w:tc>
          <w:tcPr>
            <w:tcW w:w="10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13.</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14.</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30"/>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220" w:type="dxa"/>
            <w:vAlign w:val="bottom"/>
            <w:tcBorders>
              <w:top w:val="single" w:sz="8" w:color="CCEEFF"/>
            </w:tcBorders>
            <w:gridSpan w:val="9"/>
          </w:tcPr>
          <w:p>
            <w:pPr>
              <w:jc w:val="center"/>
              <w:ind w:right="3680"/>
              <w:spacing w:after="0"/>
              <w:rPr>
                <w:sz w:val="20"/>
                <w:szCs w:val="20"/>
                <w:color w:val="auto"/>
              </w:rPr>
            </w:pPr>
            <w:r>
              <w:rPr>
                <w:rFonts w:ascii="Arial" w:cs="Arial" w:eastAsia="Arial" w:hAnsi="Arial"/>
                <w:sz w:val="18"/>
                <w:szCs w:val="18"/>
                <w:b w:val="1"/>
                <w:bCs w:val="1"/>
                <w:color w:val="auto"/>
                <w:w w:val="98"/>
              </w:rPr>
              <w:t>PART IV</w:t>
            </w: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15.</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16.</w:t>
            </w:r>
          </w:p>
        </w:tc>
        <w:tc>
          <w:tcPr>
            <w:tcW w:w="1660" w:type="dxa"/>
            <w:vAlign w:val="bottom"/>
            <w:gridSpan w:val="9"/>
          </w:tcPr>
          <w:p>
            <w:pPr>
              <w:spacing w:after="0" w:line="189" w:lineRule="exact"/>
              <w:rPr>
                <w:sz w:val="20"/>
                <w:szCs w:val="20"/>
                <w:color w:val="auto"/>
              </w:rPr>
            </w:pPr>
            <w:r>
              <w:rPr>
                <w:rFonts w:ascii="Arial" w:cs="Arial" w:eastAsia="Arial" w:hAnsi="Arial"/>
                <w:sz w:val="18"/>
                <w:szCs w:val="18"/>
                <w:color w:val="0000FF"/>
                <w:w w:val="98"/>
              </w:rPr>
              <w:t>Form 10-K Summary</w:t>
            </w:r>
          </w:p>
        </w:tc>
        <w:tc>
          <w:tcPr>
            <w:tcW w:w="1840" w:type="dxa"/>
            <w:vAlign w:val="bottom"/>
            <w:gridSpan w:val="5"/>
          </w:tcPr>
          <w:p>
            <w:pPr>
              <w:spacing w:after="0"/>
              <w:rPr>
                <w:sz w:val="16"/>
                <w:szCs w:val="16"/>
                <w:color w:val="auto"/>
              </w:rPr>
            </w:pPr>
          </w:p>
        </w:tc>
        <w:tc>
          <w:tcPr>
            <w:tcW w:w="5440" w:type="dxa"/>
            <w:vAlign w:val="bottom"/>
            <w:gridSpan w:val="10"/>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93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leading water treatment and specialty ingredients company that formulates, manufactures, distributes, and blends products for our Water Treatment, Food and Health Sciences, and Industrial Solutions customers. We believe that we create value for our customers through superb service and support, quality products, personalized applications and trustworthy, creative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business in three segments: Water Treatment, Food and Health Sciences, and Industrial Solutions.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filtration media and systems,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solutions for potable water, municipal and industrial wastewater, industrial process water, mainly non-residential swimming pool water and agricultural water. This group has the resources and flexibility to treat systems ranging in size from a single small well to a multi-million-gallon-per-day facility.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In addition to meeting customers' chemistry needs, our employees sell and service equipment, including tanks, valves, and pumps, and offer a large variety of filtration media and equipment to treat water for the short-term through rental of filtration units and the long-term with ability to design, engineer, and build full-scale filtration systems capabilities.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Water Treatment Group operates out of 53 warehouses in 28 states, primarily located in the eastern two-thirds of the United States, supplying products and services to customers across that footprint. We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 and pools.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Our Food and Health Sciences Group specializes in processing and formulation solutions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 distribution to manufacturers in the nutrition, food, pharmaceutical, and agricultural markets. This group offers a diverse product portfolio including base chemistry, acid based reactions, minerals, vitamins and amino acids, excipients, botanicals and herbs, sweeteners and enzymes, fertilizers, and food-grade and pharmaceutical salts and ingredients.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Food and Health Sciences Group relies on a specially trained sales staff that works directly with customers on their specific needs. Our group’s extensive product portfolio, combined with value-added services, including product formulation, sourcing, distribution, processing and blending, positions this segment as a one-stop ingredient solutions provider to its customers. This group also follows rigorous quality control and compliance processes to provide reliable, high-quality products to its customers. They operate primarily out of facilities in California, New York, Minnesota, and Illinois, and their products are sold nationally, and in certain cases, internationally. Agricultural sales within this group have seasonality based on planting seasons.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Our Industrial Solutions Group specializes in providing industrial chemicals, products 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such as industrial manufacturing, chemical processing, electronics, energy, plating, and surface finishing. This group’s principal products are acids and alkalis. This segment receives, stores and distributes various chemicals in bulk quantities, including liquid caustic soda, sulfuric acid, hydrochloric acid, urea, phosphoric acid, aqua ammonia and potassium hydroxide. They perform customer blending of chemicals according to customer formulas and specifications and repackage bulk industrial chemicals to sell in smaller quantities to our customers. The Industrial Solutions group relies on a specially trained sales staff that works directly with customers on their specific needs. This group conducts its business primarily through manufacturing locations and terminal operations.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three groups provide significant synergies to one another because certain raw materials used in each segment are similar, creating opportunities for buying power among two or more groups and competitive cost positions. In addition, the segments share some manufacturing facilities and resources, which leverage fixed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nutrition ingredients from a wide array of domestic and international vendors. We typically have distributorship agreements or supply contracts with our suppliers that are periodically renewed. We believe that most of the products we purchase can be obtained from alternative sources should existing relationships be terminated. Our operations are substantially dependent upon the availability of our raw materials. While we believe that we have adequate sources of supply for our raw materials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the corresponding products for our customers.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continue to pursue, patents covering our products. We have also obtained trademarks for certain of our products to distinguish them from our competitors’ products. We regard many of the formulas, information and processes that we generate and use in the conduct of our business as proprietary and protectable under applicable copyright, patent, trademark, trade secret and unfair competition laws.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In fiscal 2026, 2025, and 2024, none of our customers accounted for 10% or more of our total sales.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operate in a competitive industry and compete with many producers, distributors and sales agents offering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to substantially all of the products we offer. Many of our competitors are larger than we are and may have greater financial resources, although no one competitor is dominant in all of the markets we serve. We compete by offering quality products with outstanding customer service at competitive prices coupled with value-added services or product formulation where needed. Because of our long-standing relationships with many of our suppliers, we are often able to leverage those relationships to obtain products when supplies are limited or to obtain competitive pricing.</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Due to the nature of our operations, which includes purchases of large quantities of bulk chemicals, the timing of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can result in significant changes in working capital and the resulting operating cash flow. Historically, our cash requirements for working capital increase during our first fiscal quarter.</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Regulatory Matters. </w:t>
      </w:r>
      <w:r>
        <w:rPr>
          <w:rFonts w:ascii="Arial" w:cs="Arial" w:eastAsia="Arial" w:hAnsi="Arial"/>
          <w:sz w:val="18"/>
          <w:szCs w:val="18"/>
          <w:color w:val="auto"/>
        </w:rPr>
        <w:t>We are subject to numerous federal, state and local environmental, health and safety laws and regulations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in which we operate, including laws and regulations relating to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 addition, we operate a fleet of approximately 400 commercial vehicles with power units,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manufacture, packaging, labeling, advertising, promotion, distribution and sale of our agricultural, food, pharmaceutical and health and nutrition products are subject to regulation by numerous national and local governmental agencies in the United States and other countries. The primary regulatory bodies in the United States are the Food and Drug Administration (the “FDA”), the Environmental Protection Agency, the United States Department of Agriculture and the Federal Trade Commission, and we are also subject to similar regulators in other countries. 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products, with requirements for quality control, design and construction of manufacturing plants, testing of ingredients and final products, record keeping, and complaints processes.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Further information related to government regulation applicable to our business is included in this Annual Report on Form 10-K, in Part 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both"/>
        <w:ind w:right="20"/>
        <w:spacing w:after="0" w:line="287" w:lineRule="auto"/>
        <w:rPr>
          <w:sz w:val="20"/>
          <w:szCs w:val="20"/>
          <w:color w:val="auto"/>
        </w:rPr>
      </w:pPr>
      <w:r>
        <w:rPr>
          <w:rFonts w:ascii="Arial" w:cs="Arial" w:eastAsia="Arial" w:hAnsi="Arial"/>
          <w:sz w:val="18"/>
          <w:szCs w:val="18"/>
          <w:i w:val="1"/>
          <w:iCs w:val="1"/>
          <w:color w:val="auto"/>
        </w:rPr>
        <w:t xml:space="preserve">Human Capital. </w:t>
      </w:r>
      <w:r>
        <w:rPr>
          <w:rFonts w:ascii="Arial" w:cs="Arial" w:eastAsia="Arial" w:hAnsi="Arial"/>
          <w:sz w:val="18"/>
          <w:szCs w:val="18"/>
          <w:color w:val="auto"/>
        </w:rPr>
        <w:t>Our team is a key to our success and we are committed to creating a workplace that attracts top talent, develops leaders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drives performance on behalf of our customers and shareholders.</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strive to recruit the best people for the job regardless of race, color, nationality, gender, age, disability, sexual orientation or any other status protected by law. It is our policy to comply fully with all applicable laws relating to discrimination in the workplace and we are committed to advancing an inclusive, collaborative and respectful culture.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health and safety of our employees is our highest priority. We work to ensure our employees have a thorough understanding of health and safety precautions that need to be taken in all business functions. Specific safety programs include process controls, safety training, safety committees, safety audits, incident investigation and improvement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strive to provide employees with competitive wages commensurate with their skill levels, experience, knowledge and the regional market. Full-time employees are eligible for health, dental and vision insurance, paid and unpaid leaves, 401(K) plan, retirement plans, life and disability/accident coverage and our employee assistance program.</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March 29, 2026, we had approximately 1,200 employees across the United States, substantially all of which were full-time employees. Approximately 45% of our employees were female or racially and ethnically diverse, and approximately 8% were covered by a collective bargaining agreement.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Available Information. </w:t>
      </w:r>
      <w:r>
        <w:rPr>
          <w:rFonts w:ascii="Arial" w:cs="Arial" w:eastAsia="Arial" w:hAnsi="Arial"/>
          <w:sz w:val="18"/>
          <w:szCs w:val="18"/>
          <w:color w:val="auto"/>
        </w:rPr>
        <w:t>Our Internet address is www.hawkinsinc.com. We have made available, free of charge, our Annual Reports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Quarterly Reports on Form 10-Q, Current Reports on Form 8-K, and, if applicable, amendments to those reports, as soon as reasonably practicable after we electronically file these materials with, or furnish them to, the Securities and Exchange Commission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 The SEC also maintains an internet site that contains reports, proxy and information statements, and other information regarding our company at http://www.sec.gov.</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 and Key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current executive officers and key employees, their ages and offices held, are set forth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Name</w:t>
            </w:r>
          </w:p>
        </w:tc>
        <w:tc>
          <w:tcPr>
            <w:tcW w:w="2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Age</w:t>
            </w: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Office</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P. Oldenkamp</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Drew M. Grahek</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 Operations</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A. Jones</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Food and Health Sciences</w:t>
            </w:r>
          </w:p>
        </w:tc>
      </w:tr>
      <w:tr>
        <w:trPr>
          <w:trHeight w:val="229"/>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Douglas A. Lange</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 Water Treatment</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Louismet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General Counsel and Secretary</w:t>
            </w:r>
          </w:p>
        </w:tc>
      </w:t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David J. Mangine</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 Industrial Solutions</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Shirley A. Rozeboom</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64</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Stauber</w:t>
            </w: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Patrick H. Hawkins </w:t>
      </w:r>
      <w:r>
        <w:rPr>
          <w:rFonts w:ascii="Arial" w:cs="Arial" w:eastAsia="Arial" w:hAnsi="Arial"/>
          <w:sz w:val="18"/>
          <w:szCs w:val="18"/>
          <w:color w:val="auto"/>
        </w:rPr>
        <w:t>has been our Chief Executive Officer and President and member of our board since 2011. Mr. Hawkins has held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of President since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Jeffrey P. Oldenkamp </w:t>
      </w:r>
      <w:r>
        <w:rPr>
          <w:rFonts w:ascii="Arial" w:cs="Arial" w:eastAsia="Arial" w:hAnsi="Arial"/>
          <w:sz w:val="18"/>
          <w:szCs w:val="18"/>
          <w:color w:val="auto"/>
        </w:rPr>
        <w:t>has been our Executive Vice President, Chief Financial Officer and Treasurer since October 2021. Mr. Oldenkamp</w:t>
      </w:r>
      <w:r>
        <w:rPr>
          <w:rFonts w:ascii="Arial" w:cs="Arial" w:eastAsia="Arial" w:hAnsi="Arial"/>
          <w:sz w:val="18"/>
          <w:szCs w:val="18"/>
          <w:i w:val="1"/>
          <w:iCs w:val="1"/>
          <w:color w:val="auto"/>
        </w:rPr>
        <w:t xml:space="preserve"> </w:t>
      </w:r>
      <w:r>
        <w:rPr>
          <w:rFonts w:ascii="Arial" w:cs="Arial" w:eastAsia="Arial" w:hAnsi="Arial"/>
          <w:sz w:val="18"/>
          <w:szCs w:val="18"/>
          <w:color w:val="auto"/>
        </w:rPr>
        <w:t>joined Hawkins in May 2017 and assumed the role of Chief Financial Officer, Vice President and Treasurer in June 2017. Prior to joining Hawkins, Mr. Oldenkamp was with MTS Systems Corporation, a supplier of high-performance test systems and sensors, where he served as Chief Financial Officer from 2015 to May 2017 and as Vice President of Finance for the MTS Test business from 2014 to 2015, and with Nilfisk-Advance, Inc., a global manufacturer of professional cleaning equipment, where he served as Americas Operations Chief Financial Officer and Vice President from 2012 to 2014.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 w:name="page7"/>
    <w:bookmarkEnd w:id="6"/>
    <w:p>
      <w:pPr>
        <w:jc w:val="both"/>
        <w:spacing w:after="0" w:line="259" w:lineRule="auto"/>
        <w:rPr>
          <w:sz w:val="20"/>
          <w:szCs w:val="20"/>
          <w:color w:val="auto"/>
        </w:rPr>
      </w:pPr>
      <w:r>
        <w:rPr>
          <w:rFonts w:ascii="Arial" w:cs="Arial" w:eastAsia="Arial" w:hAnsi="Arial"/>
          <w:sz w:val="18"/>
          <w:szCs w:val="18"/>
          <w:i w:val="1"/>
          <w:iCs w:val="1"/>
          <w:color w:val="auto"/>
        </w:rPr>
        <w:t xml:space="preserve">Drew M. Grahek </w:t>
      </w:r>
      <w:r>
        <w:rPr>
          <w:rFonts w:ascii="Arial" w:cs="Arial" w:eastAsia="Arial" w:hAnsi="Arial"/>
          <w:sz w:val="18"/>
          <w:szCs w:val="18"/>
          <w:color w:val="auto"/>
        </w:rPr>
        <w:t>has been our Vice President - Operations since September 2018. Prior to joining Hawkins, Mr. Grahek was Adjunct Faculty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University of Minnesota College of Continuing Education and a Business Administrator in the Archdiocese of St. Paul and Minneapolis from June 2017 to June 2018; Director of Service Operations and Supply Chain with Ulta Beauty, Inc. from April 2016 to June 2017; and Director of Stores with Field and Stream Outdoor Stores, a division of Dick’s Sporting Goods, Inc. from July 2015 to April 2016. Previously, he spent a total of 23 years at Target Corporation in a variety of operations, merchandising and property management positions.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Greg A. Jones </w:t>
      </w:r>
      <w:r>
        <w:rPr>
          <w:rFonts w:ascii="Arial" w:cs="Arial" w:eastAsia="Arial" w:hAnsi="Arial"/>
          <w:sz w:val="18"/>
          <w:szCs w:val="18"/>
          <w:color w:val="auto"/>
        </w:rPr>
        <w:t>has been our Vice President - Food &amp; Health Sciences since April 2025. Prior to attaining this position, Mr. Jones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Vice President of Business since April 2024. Prior to joining Hawkins, Mr. Jones was a Global General Manager and Vice President for Kerry Taste &amp; Nutrition, a global manufacturer of specialized food ingredients, from 2019-2024; and with Winpak, a global manufacturer of high barrier packaging and equipment, where he served as U.S. Director of Sales from 2017-2019 and U.S. Manager of sales from 2010-2017.</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Douglas A. Lange </w:t>
      </w:r>
      <w:r>
        <w:rPr>
          <w:rFonts w:ascii="Arial" w:cs="Arial" w:eastAsia="Arial" w:hAnsi="Arial"/>
          <w:sz w:val="18"/>
          <w:szCs w:val="18"/>
          <w:color w:val="auto"/>
        </w:rPr>
        <w:t>has been our Vice President - Water Treatment since June 2020. Prior to attaining this position, Mr. Lange served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General Manager and Product Development Manager for Water Treatment after joining the company in January 2019. Prior to joining the Company, Mr. Lange was with H.B. Fuller Company, a global supplier of special adhesives, where he served as Global Marketing Manager and Product Manager for specialty markets in electronics and wood products from 2011 to January 2019. Mr. Lange served in various roles in the specialty adhesives market for a total of 21 years prior to joining the Company.</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Daniel A. Louismet </w:t>
      </w:r>
      <w:r>
        <w:rPr>
          <w:rFonts w:ascii="Arial" w:cs="Arial" w:eastAsia="Arial" w:hAnsi="Arial"/>
          <w:sz w:val="18"/>
          <w:szCs w:val="18"/>
          <w:color w:val="auto"/>
        </w:rPr>
        <w:t>has served as our Interim General Counsel since December 2025 and had previously served as our Associate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since September 2024. Prior to joining Hawkins, Mr. Louismet founded Minnesota Dealer Law through which he counseled franchised new vehicle dealerships from November 2023 to October 2024. Mr. Louismet served as General Counsel of the Minnesota Automobile Dealers Association from 2018 to October 2023 and as Associate General Counsel from 2015 to 2018. Previously, he was an attorney at Rice, Michels &amp; Walther, LLP from 2013 to 2015. He is a member of the Minnesota Bar.</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David J. Mangine </w:t>
      </w:r>
      <w:r>
        <w:rPr>
          <w:rFonts w:ascii="Arial" w:cs="Arial" w:eastAsia="Arial" w:hAnsi="Arial"/>
          <w:sz w:val="18"/>
          <w:szCs w:val="18"/>
          <w:color w:val="auto"/>
        </w:rPr>
        <w:t>has been our Vice President - Industrial Solutions since 2021. Prior to attaining this position, Mr. Mangine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Sales Manager from 2011 to 2021, after joining Hawkins in 2000 as an Account Manager.</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Shirley A. Rozeboom </w:t>
      </w:r>
      <w:r>
        <w:rPr>
          <w:rFonts w:ascii="Arial" w:cs="Arial" w:eastAsia="Arial" w:hAnsi="Arial"/>
          <w:sz w:val="18"/>
          <w:szCs w:val="18"/>
          <w:color w:val="auto"/>
        </w:rPr>
        <w:t>has been our Vice President - Stauber since 2025. Prior to attaining this position, Ms. Rozeboom held the 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Health and Nutrition from 2019 to 2025, Senior Vice President of Sales for Stauber from 2012 to 2019, Director of Sales from 2008 to 2012 and Account Executive from 2000 to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the following material factors regarding risks relating to an investment in our securities and when reading the information, including the financial information, contained in this Annual Report on Form 10-K. Shareholders are cautioned that these and other factors may affect future performance and cause actual results to differ materially from those that may be anticipated.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AND REPUTATIONAL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timeliness of delivery,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from,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businesses expose us to potential product liability claims and recalls, which could adversely affect our financial condition and performance.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repackaging, blending, mixing and distribution of products by us, including chemical products and products used in food or food ingredients or with medical, pharmaceutical, agricultural or dietary supplement applications, involve an inherent risk of exposure to product liability claims, product recalls, product seizures and related adverse publicity, including, without limitation, claims for exposure to our products, spills or release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21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Changes in our customers’ needs or failure of our products to meet customers’ requirements could adversely affect our sales and profitability.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are used for a broad range of applications by our customers. Changes in our customers’ product needs or processes, or reductions in demand for their end products, may enable or require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 There can be no assurance that we will be able to develop any new products in a timely or cost-effective manner.</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requirements, comply with applicable laws or regulations, perform in a manner consistent with the customers’ expectations, or have the required useful life,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 Reductions in demand for our products could adversely affect our sales and financial results and result in facility closures.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 w:name="page9"/>
    <w:bookmarkEnd w:id="8"/>
    <w:p>
      <w:pPr>
        <w:jc w:val="both"/>
        <w:spacing w:after="0" w:line="294" w:lineRule="auto"/>
        <w:rPr>
          <w:sz w:val="20"/>
          <w:szCs w:val="20"/>
          <w:color w:val="auto"/>
        </w:rPr>
      </w:pPr>
      <w:r>
        <w:rPr>
          <w:rFonts w:ascii="Arial" w:cs="Arial" w:eastAsia="Arial" w:hAnsi="Arial"/>
          <w:sz w:val="18"/>
          <w:szCs w:val="18"/>
          <w:b w:val="1"/>
          <w:bCs w:val="1"/>
          <w:i w:val="1"/>
          <w:iCs w:val="1"/>
          <w:color w:val="auto"/>
        </w:rPr>
        <w:t>Adverse publicity or negative public perception regarding particular ingredients or products could adversely affect the financial performance of those portions of our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Purchasing decisions made by consumers of products that contain our ingredients may be affected by adverse publicity or negative public perception regarding particular ingredients or products, such as fluoride, other chemicals used in food, or industries in general, such as the dietary supplement industry. This negative public perception may include publicity regarding the risks, efficacy, legality or quality of particular ingredients or products in general or of other companies or our products or ingredients specifically. Negative public perception may also arise from regulatory investigations, regardless of whether those investigations involve us, or negative statements made to the public. We are highly dependent upon consumers’ perception of the safety and quality of products that contain our ingredients as well as similar products distributed by other companies. Thus, the mere assertion that such products may be harmful could have a material adverse effect on us, regardless of whether these reports are scientifically supported. Publicity related to dietary supplements or food ingredients may also result in increased regulatory scrutiny of our industry. Adverse publicity may have a material adverse effect on our business, financial condition,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technology system failures, network disruptions and breaches of data security due to internal or external factors including phishing or cyber-attacks could disrupt our operations by causing delays or cancellation of customer orders, impede the manufacture or shipment of products or cause standard business processes to become ineffective, resulting in the unintentional disclosure of information, damage to our reputation, additional expenses or loss of sales. While we have taken steps to address these concerns by implementing network security and internal control measures, including employee training, comprehensive monitoring of our networks and systems, maintenance of backup and protective systems and disaster recovery and incident response plans, our employees, systems, networks, products, facilities and services remain vulnerable to phishing attacks and cyber-assault, and, as such, there can be no assurance that a system failure, network disruption or data security breach will not have a material adverse effect on our business, financial condition, operating results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INDUSTRY</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experience regular and recurring fluctuations in the pricing of our raw materials. Those fluctuations can be significant and occur rapidly. The cyclicality of commodity markets, such as the market for caustic soda, primarily results from changes in the balance between supply and demand and the level of general economic activity. In addition, tariffs imposed by the United States or other countries could substantially impact the price or supply of raw materials. These fluctuations may negatively impact the margins we can realize.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prices we pay for our principal chemical raw materials generally lag the market prices of the underlying raw material.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dependent upon the availability of our raw materials. In the event that raw materials are in short supply or unavailable, raw material suppliers may extend lead times, delay shipments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9" w:name="page10"/>
    <w:bookmarkEnd w:id="9"/>
    <w:p>
      <w:pPr>
        <w:jc w:val="both"/>
        <w:spacing w:after="0" w:line="294"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whether caused by inflation, monetary policy, import or export restrictions or delays, tariffs, or otherwise,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Downturns in these industries could adversely affect our sales and our financial results by affecting demand for and pricing of our products.</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derailments,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or the absence of personnel due to pandemics or other disasters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land use or other regulatory actions that could limit our ability to grow or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problems at any of our facilities could result in significant unexpected costs.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federal, state and local environmental regulations regarding the ownership of real property and the operations conducted on real property. Under various federal, state and local laws, ordinances and regulations, we may own or operate real property or may have arranged for the disposal or treatment of hazardous or toxic substances at a property and, therefore, may become liable for the costs of removal or remediation of certain hazardous substances released on or in our property or disposed of by us, as well as certain other potential costs which could relate to hazardous or toxic substances (including governmental fines and claims for injuries to persons and property). Such liability may be imposed whether or not we knew of, or were responsible for, the presence of these hazardous or toxic substances. Further, future changes in environmental laws or regulations may require additional investment in capital equipment or the implementation of additional compliance programs in the future. The cost of investigation, remediation or removal of such substances may be substantial.</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conduct of our operations, we have handled and do handle materials that are considered hazardous, toxic or volatile under federal, state and local laws. The potential for the accidental release of such products cannot be completely eliminated. In addition, we operate or own facilities located on or near real property that was formerly owned and operated by others. These properties may have been used in ways that involved hazardous materials. Contaminants may migrate from, within or through any such property, which may give rise to claims against us. Third parties who are responsible for contamination may not have funds, or may not make funds available when needed, to pay remediation costs imposed upon us jointly with them under environmental laws and regulations.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Food and Health Sciences Group are subject to seasonality and weather conditions, which could adversely affect our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segment has historically experienced higher sales during April to September, primarily due to a seasonal increase in chemicals used by municipal water treatment facilities and pools. Our agricultural product sales within our Food and Health Sciences Group are also seasonal, primarily corresponding with the planting season. Demand in both of these areas is also affected by weather conditions, as either higher or lower than normal precipitation or temperatures may affect water usage and the timing and the amount of consumption of our products. In addition, demand for our agricultural products is also impacted by crop prices. We cannot assure you that seasonality or fluctuating weather conditions or crop prices will not have a material adverse effect on our results of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Disruptions within our supply chain have negatively impacted, and could continue to negatively impact, our production, financial condition and results of operations.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been, and could continue to be, adversely affected by disruptions within our supply chain and transportation network. The raw materials we need are transported by truck, rail, or barge or ship by third-party providers. The costs of transporting our products or necessary raw materials could be negatively affected by factors outside of our control, including rail service interruptions or rate or fuel surcharge increases, extreme weather events, tariffs, charges placed on incoming vessels or railcars, rising fuel costs and capacity constraints.</w:t>
      </w:r>
    </w:p>
    <w:p>
      <w:pPr>
        <w:jc w:val="both"/>
        <w:spacing w:after="0" w:line="226" w:lineRule="auto"/>
        <w:rPr>
          <w:sz w:val="20"/>
          <w:szCs w:val="20"/>
          <w:color w:val="auto"/>
        </w:rPr>
      </w:pPr>
      <w:r>
        <w:rPr>
          <w:rFonts w:ascii="Arial" w:cs="Arial" w:eastAsia="Arial" w:hAnsi="Arial"/>
          <w:sz w:val="18"/>
          <w:szCs w:val="18"/>
          <w:color w:val="auto"/>
        </w:rPr>
        <w:t>Unprecedented congestion in ocean shipping has adversely impacted the reliability of our imported raw materials, and transport driver shortages have caused extended lead times for domestic shipments. In addition, rail shipments can be unreliable, with significant delays 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service and increased costs. The impacts of high-profile derailments could further degrade service levels and cause railroads to increase costs, especially for shipments of our hazardous products. Significant delays or increased costs relating to transportation could materially affect our financial condition and results of operations.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Similar supply chain issues have impacted and could continue to impact both our suppliers and our customers. The supply of our necessary raw materials could be interrupted due to shortages of raw materials, effects of economic, political or financial market conditions on a supplier's operations, labor disputes or weather conditions affecting products or shipments, transportation disruptions, natural disasters, outbreaks of disease, information system disruptions or other reasons beyond our control. Similar disruptions at our customers could reduce demand for our products, reducing our sales and profitability. Product shortages or delays in deliveries, along with other factors such as price inflation and higher transportation and fuel costs, have also resulted in price increases from our suppliers. We may be unable to pass these price increases on to our customers, which could erode our profit margins. These supply chain constraints, increased product costs and inflationary pressures could continue or escalate in the future, which would have an adverse impact on our business and results of operations.</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or at economically attractive rates. Disruptions in transportation are common, are often out of our control, and can happen suddenly and without warning. Bulk chlorine, a critical product we repackage and use to make bleach, can only be feasibly shipped to us by rail. Rail companies, however, have been imposing increasing limitations on shipments of toxic inhalation hazards like chlorine. These limitations include increased charges and insurance requirements and rail tariffs that transfer liability for shipments in transit to the rail shipper. Any of these limitations may increase our costs or negatively impact our ability to receive products, such as chlorine, by rail. Other rail limitations, such as limitations in rail capacity, availability of railcars, workforce shortages, threats of strikes, derailments, embargoes and adverse weather conditions have disrupted or delayed rail shipments in the past and could do so in the future. Barge shipments are delayed or impossible under certain circumstances, including during times of high or low water levels, when waterways are frozen and when locks and dams are inoperable. The availability and reliability of truck transportation have been negatively impacted by a number of factors, including limited availability of qualified drivers and equipment, limitations on drivers’ hours of service and failures of critical infrastructure, such as bridges and rail lines.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1" w:name="page12"/>
    <w:bookmarkEnd w:id="11"/>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dispositions or integrate acquisitions into our business, which could result in unanticipated expenses and losses.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In addition, we may seek to divest of businesses that are underperforming or not core to our future business. The expense incurred in consummating transactions, the time it takes to integrate an acquisition or our failure to integrate businesses successfully could result in unanticipated expenses and losses. Furthermore, we may not be able to realize the anticipated benefits from acquisitions.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Flooding of the Mississippi River has temporarily shifted the Company’s terminal operations out of its buildings four times since the spring of 2010. We can give no assurance that flooding or other natural disasters will not recur or that there will not be material damage or interruption to our operations in the future from such disasters.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Chemical-related assets may be at greater risk of future terrorist attacks than other possible targets in the United States. With the expiration of the federal law that imposed site security requirements, various states have started to explore their own security requirements, which may not be uniform and compliance with such varied regulations may increase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or via certain modes of transportation could adversely affect the efficiency of our logistical operations. Broader restrictions on hazardous material movements could lead to additional investment and could change where and what products we provide.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wars, global health developments and pandemics,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businesses could experience substantial effects from tariffs or changes in international trade policies that could adversely affect our results of operations.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or increased tariffs or other trade barriers imposed by governments, including the United States, could dramatically increase costs and delivery times within our supply chain. Certain of our business lines, such as our health and nutrition products, are dependent upon the import of key raw materials from a wide variety of international sources. In addition, many domestic suppliers rely on imported raw materials or parts for their production. Tariffs or other trade barriers could adversely affect our ability to source and import raw materials effectively, the cost of import and domestic products and our relative position compared to competitors that may not be adversely impacted to the same extent, whether due to exclusive domestic sources or alignment with favorable jurisdictions. Our domestic suppliers, who may not be directly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impacted by tariffs or other trade barriers, may also opportunistically increase prices or experience shortages in supply as competitors seek to switch to domestic suppliers. Additionally, uncertainty inspired by the threat of changes in international trade policy could delay or reduce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demand for our products. We are unable to accurately predict the duration and extent to which tariffs may impact our businesses.</w:t>
      </w:r>
    </w:p>
    <w:p>
      <w:pPr>
        <w:sectPr>
          <w:pgSz w:w="11900" w:h="16838" w:orient="portrait"/>
          <w:cols w:equalWidth="0" w:num="1">
            <w:col w:w="11240"/>
          </w:cols>
          <w:pgMar w:left="320" w:top="9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the land where our three main terminals are located and where another significant manufacturing plant is located. These leases, including all renewal periods, have expiration dates from 2029 to 2044, one of which renews annually.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federal, state and local environmental, health, safety and land use laws and regulations in the jurisdictions in which we operate, including the management, storage, transportation and disposal of chemicals and wastes; product regulation; air water and soil contamination; land use, fire code and zoning;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and restrictions on the locations and operations of chemical facilities. These concerns have led to, and could continue to result in, more stringent regulatory intervention by governmental authorities. In addition, these concerns could influence public perceptions, impact the commercial viability of the products we sell and increase the costs to comply with increasingly complex regulations, which could have a negative impact on our business, financial condition and results of operations.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operate a fleet of approximately 400 commercial vehicles with power units, primarily in our Water Treatment segment, which are highly regulated, including by the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hazardous materials,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8"/>
          <w:szCs w:val="18"/>
          <w:b w:val="1"/>
          <w:bCs w:val="1"/>
          <w:i w:val="1"/>
          <w:iCs w:val="1"/>
          <w:color w:val="auto"/>
        </w:rPr>
        <w:t>Many of our products, particularly our food, pharmaceutical and health and nutrition products are subject to government regulation, both in the United States and abroad, which could increase our costs significantly and limit or prevent the sale of such products.</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manufacture, packaging, labeling, advertising, promotion, distribution and sale of many of our products, but our food, pharmaceutical, pesticide and health and nutrition products in particular, are subject to regulation by numerous national and local governmental agencies in the United States and other countries. The primary regulatory bodies in the United States are the Food and Drug Administration (the “FDA”), the Environmental Protection Agency, the United States Department of Agriculture and the Federal Trade Commission, and we are also subject to similar regulators in other countries. Recently, various of these regulatory bodies have announced significant changes to regulations, including changes in enforcement activities, as well as statements about attempts to prohibit the use of certain chemicals in food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drinking water, such as fluoride. Failure to comply with these requirements may result in various types of penalties or fines. These include injunctions, product withdrawals, recalls, product seizures, fines and criminal prosecutions. Individual states also regulate our</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which may include one or more of the following:</w:t>
      </w:r>
    </w:p>
    <w:p>
      <w:pPr>
        <w:spacing w:after="0" w:line="221"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stopping the sale of products,</w:t>
      </w:r>
    </w:p>
    <w:p>
      <w:pPr>
        <w:spacing w:after="0" w:line="2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reducing the markets or marketability of products,</w:t>
      </w:r>
    </w:p>
    <w:p>
      <w:pPr>
        <w:spacing w:after="0" w:line="9"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the FDA’s current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products,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these areas. There can be no assurance that the regulatory environment in which we operate will not change or that such regulatory environment, or any specific action taken against us, will not result in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lines of commercial insurance, such as property, general liability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food or health and nutrition products industries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covenants under our credit facility may have a material adverse effect.</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party to a second amended and restated credit agreement, as amended (the “Credit Agreement”), with U.S. Bank National Association ("U.S. Bank") and other lenders (collectively, the “Lenders”), which includes secured revolving credit facilities (the “Revolving Loan Facility”) totaling $400.0 million. At March 29, 2026, we had $244 million outstanding under the Revolving Loan Facility.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make payments on the Revolving Loan Facility from time to time. If we are unable to generate sufficient cash flow or otherwise obtain funds necessary to make payments on our credit facilities, we could be in default when the facilities become due in 2030. We are also required to comply with several financial covenants under the Credit Agreement. Our ability to comply with these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any resulting impairment charge in the future could have a material adverse effect on our financial condition and consolidated results of operations.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Hawkins is committed to maintaining robust cybersecurity practices to safeguard our operations, data, and stakeholders' interests. We monitor our cybersecurity landscape and adapt our strategies and governance practices to mitigate risks in this rapidly evolving area.</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acknowledges that cybersecurity threats present a risk of material adverse impacts on our operations, reputation, and financial condition. Cybersecurity threats are continuously evolving, becoming more sophisticated, and increasing in frequency. For Hawkins, these threats can potentially lead to data breaches, theft of intellectual property, operational disruptions, damage to persons and property, and financial losses. We have a comprehensive cybersecurity risk management strategy designed to promptly identify, assess, and mitigate the risk of occurrence and impact from cybersecurity threats. Despite our efforts, it is not possible to completely identify, prevent or mitigate the impacts of cybersecurity threats.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Board of Directors is primarily responsible for oversight of risks from cybersecurity threats. Our audit committee is specifically responsible for oversight of cybersecurity risks within the Board of Directors. The audit committee is informed of our cybersecurity risk management practices at regularly scheduled meetings, including:</w:t>
      </w:r>
    </w:p>
    <w:p>
      <w:pPr>
        <w:spacing w:after="0" w:line="9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cybersecurity policies and strategies.</w:t>
      </w:r>
    </w:p>
    <w:p>
      <w:pPr>
        <w:spacing w:after="0" w:line="15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Incident response and recovery plans.</w:t>
      </w:r>
    </w:p>
    <w:p>
      <w:pPr>
        <w:spacing w:after="0" w:line="15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training and awareness programs.</w:t>
      </w:r>
    </w:p>
    <w:p>
      <w:pPr>
        <w:spacing w:after="0" w:line="144"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audits and engagement with external cybersecurity experts and advisors on an as-needed basis.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Chief Information Officer ("CIO") is responsible for implementing our cybersecurity strategy, developing policies and procedures, and ensuring that appropriate resources are allocated to cybersecurity initiatives. Our CIO has over 25 years of experience in the information technology field, including consulting on cybersecurity risks and mitigation in a variety of industries. He is a member of the local Infragard chapter and a regular speaker on cybersecurity topics at the Chlorine Institute. Additionally, the senior security and network engineering team has decades of experience in network and application security. The CIO is continually informed about the latest threats and developments in cybersecurity, including potential threats and innovative risk management techniques. This ongoing knowledge acquisition is important for the effective prevention, detection, mitigation, and remediation of cybersecurity incidents. The CIO implements and oversees processes based on the National Institute of Standards and Technology ("NIST") cybersecurity framework and is responsible for the regular monitoring of our information systems. This includes the deployment of advanced security measures and regular system audits to identify potential vulnerabilities. Management reports at least twice yearly to the audit committee on the status of our cybersecurity efforts, including assessments of significant risks identified and actions designed to mitigate such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cybersecurity risk management strategy is a separate component of our overall risk management process and is designed to protect our assets, including information technology systems, data, and operations, from cybersecurity threats. This involves:</w:t>
      </w:r>
    </w:p>
    <w:p>
      <w:pPr>
        <w:spacing w:after="0" w:line="85"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Continuous monitoring and assessment of our cybersecurity posture.</w:t>
      </w:r>
    </w:p>
    <w:p>
      <w:pPr>
        <w:spacing w:after="0" w:line="15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Implementation of security measures such as firewalls, intrusion detection systems, and encryption.</w:t>
      </w:r>
    </w:p>
    <w:p>
      <w:pPr>
        <w:spacing w:after="0" w:line="144"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cybersecurity training and testing of our employees.</w:t>
      </w:r>
    </w:p>
    <w:p>
      <w:pPr>
        <w:spacing w:after="0" w:line="15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Regular cybersecurity assessments and penetration testing.</w:t>
      </w:r>
    </w:p>
    <w:p>
      <w:pPr>
        <w:spacing w:after="0" w:line="15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Vendor risk management to ensure third-party compliance with our cybersecurity standards.</w:t>
      </w:r>
    </w:p>
    <w:p>
      <w:pPr>
        <w:spacing w:after="0" w:line="104"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We use third</w:t>
      </w:r>
      <w:r>
        <w:rPr>
          <w:rFonts w:ascii="MS PGothic" w:cs="MS PGothic" w:eastAsia="MS PGothic" w:hAnsi="MS PGothic"/>
          <w:sz w:val="18"/>
          <w:szCs w:val="18"/>
          <w:color w:val="auto"/>
        </w:rPr>
        <w:t>‑</w:t>
      </w:r>
      <w:r>
        <w:rPr>
          <w:rFonts w:ascii="Arial" w:cs="Arial" w:eastAsia="Arial" w:hAnsi="Arial"/>
          <w:sz w:val="18"/>
          <w:szCs w:val="18"/>
          <w:color w:val="auto"/>
        </w:rPr>
        <w:t>party cybersecurity consultants for penetration testing and to supplement our internal resources and expertise. Management oversees these consultants through the use of due diligence before engagement, contractual security requirements, reviews of findings and recommendations, and follow</w:t>
      </w:r>
      <w:r>
        <w:rPr>
          <w:rFonts w:ascii="MS PGothic" w:cs="MS PGothic" w:eastAsia="MS PGothic" w:hAnsi="MS PGothic"/>
          <w:sz w:val="18"/>
          <w:szCs w:val="18"/>
          <w:color w:val="auto"/>
        </w:rPr>
        <w:t>‑</w:t>
      </w:r>
      <w:r>
        <w:rPr>
          <w:rFonts w:ascii="Arial" w:cs="Arial" w:eastAsia="Arial" w:hAnsi="Arial"/>
          <w:sz w:val="18"/>
          <w:szCs w:val="18"/>
          <w:color w:val="auto"/>
        </w:rPr>
        <w:t>ups on remediation efforts. Management remains responsible for overseeing cybersecurity risk management.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We also maintain an incident response plan ("IRP") that outlines procedures for responding to cybersecurity incidents, minimizing their impact, and communicating with relevant stakeholders, including regulators, customers, and employees. During a cyber incident, our CIO and network security team assess the severity of the incident and notify key management and (if deemed necessary) our audit committee as promptly as practicable. Our incident plan is reviewed annually and updated as appropriate to address evolving threats and our business conditions.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experience cybersecurity threats and attempted breaches of our systems and network. We classify and track these events based on significance and implement remediation actions that we consider appropriate to address the risks relating to such incidents. We have not experienced any cybersecurity incident, and the risks presented by cybersecurity threats have not materially affected, and are not reasonably likely to materially affect our business strategy, results of operations or financial condition. However, even well-designed and implemented cybersecurity programs cannot completely eliminate cybersecurity threats, and we cannot guarantee that such events or material impacts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facilities material to our operations consist of our locations described below. In addition to the facilities listed below, our Water Treatment segment operates out of additional warehouse locations, the majority of which are owned by us. We believe that our facilities are adequate and suitable for the purposes they serve. Unless noted, each facility listed below is owned by us and is primarily used as office and warehouse space. We believe that we carry customary levels of insurance covering the replacement of damaged property.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 w:type="dxa"/>
            <w:vAlign w:val="bottom"/>
          </w:tcPr>
          <w:p>
            <w:pPr>
              <w:spacing w:after="0"/>
              <w:rPr>
                <w:sz w:val="20"/>
                <w:szCs w:val="20"/>
                <w:color w:val="auto"/>
              </w:rPr>
            </w:pPr>
          </w:p>
        </w:tc>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Location</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Rail/Barge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Approx.</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1780" w:type="dxa"/>
            <w:vAlign w:val="bottom"/>
            <w:gridSpan w:val="2"/>
          </w:tcPr>
          <w:p>
            <w:pPr>
              <w:jc w:val="center"/>
              <w:ind w:right="400"/>
              <w:spacing w:after="0" w:line="189" w:lineRule="exact"/>
              <w:rPr>
                <w:sz w:val="20"/>
                <w:szCs w:val="20"/>
                <w:color w:val="auto"/>
              </w:rPr>
            </w:pPr>
            <w:r>
              <w:rPr>
                <w:rFonts w:ascii="Arial" w:cs="Arial" w:eastAsia="Arial" w:hAnsi="Arial"/>
                <w:sz w:val="18"/>
                <w:szCs w:val="18"/>
                <w:b w:val="1"/>
                <w:bCs w:val="1"/>
                <w:color w:val="auto"/>
                <w:w w:val="98"/>
              </w:rPr>
              <w:t>Access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223"/>
        </w:trPr>
        <w:tc>
          <w:tcPr>
            <w:tcW w:w="340" w:type="dxa"/>
            <w:vAlign w:val="bottom"/>
            <w:tcBorders>
              <w:top w:val="single" w:sz="8" w:color="CCEEFF"/>
            </w:tcBorders>
            <w:shd w:val="clear" w:color="auto" w:fill="CCEEFF"/>
          </w:tcPr>
          <w:p>
            <w:pPr>
              <w:spacing w:after="0"/>
              <w:rPr>
                <w:sz w:val="19"/>
                <w:szCs w:val="19"/>
                <w:color w:val="auto"/>
              </w:rPr>
            </w:pPr>
          </w:p>
        </w:tc>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Headquarters</w:t>
            </w: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Roseville, MN</w:t>
            </w:r>
          </w:p>
        </w:tc>
        <w:tc>
          <w:tcPr>
            <w:tcW w:w="3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50,000</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440" w:type="dxa"/>
            <w:vAlign w:val="bottom"/>
          </w:tcPr>
          <w:p>
            <w:pPr>
              <w:ind w:left="20"/>
              <w:spacing w:after="0" w:line="176" w:lineRule="exact"/>
              <w:rPr>
                <w:sz w:val="20"/>
                <w:szCs w:val="20"/>
                <w:color w:val="auto"/>
              </w:rPr>
            </w:pPr>
            <w:r>
              <w:rPr>
                <w:rFonts w:ascii="Arial" w:cs="Arial" w:eastAsia="Arial" w:hAnsi="Arial"/>
                <w:sz w:val="18"/>
                <w:szCs w:val="18"/>
                <w:color w:val="auto"/>
              </w:rPr>
              <w:t>Water Treatment, Food and Health Sciences, and</w:t>
            </w:r>
          </w:p>
        </w:tc>
        <w:tc>
          <w:tcPr>
            <w:tcW w:w="29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rPr>
              <w:t>Minneapolis, MN (1)</w:t>
            </w:r>
          </w:p>
        </w:tc>
        <w:tc>
          <w:tcPr>
            <w:tcW w:w="178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Industrial Solutions</w:t>
            </w:r>
          </w:p>
        </w:tc>
        <w:tc>
          <w:tcPr>
            <w:tcW w:w="2900" w:type="dxa"/>
            <w:vAlign w:val="bottom"/>
            <w:gridSpan w:val="2"/>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St. Paul, MN (1) (2) (3)</w:t>
            </w:r>
          </w:p>
        </w:tc>
        <w:tc>
          <w:tcPr>
            <w:tcW w:w="17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Rail/Barge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59,000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Camanche, IA (1) (3)</w:t>
            </w: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Rail/Barge</w:t>
            </w: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95,000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Memphis, TN (1) (3)</w:t>
            </w:r>
          </w:p>
        </w:tc>
        <w:tc>
          <w:tcPr>
            <w:tcW w:w="17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Rail/Barge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41,000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Water Treatment</w:t>
            </w:r>
          </w:p>
        </w:tc>
        <w:tc>
          <w:tcPr>
            <w:tcW w:w="2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Apopka, FL (1)</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32,000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8"/>
              </w:rPr>
              <w:t>Camby, IN (1)</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41,000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Fairborn, OH (1) (3)</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Fayetteville, TN (1)</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54,000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Rockford, IL (1)</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95,000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Sulphur, LA (1)</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30,000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Food and Health Sciences and Industrial Solutions</w:t>
            </w:r>
          </w:p>
        </w:tc>
        <w:tc>
          <w:tcPr>
            <w:tcW w:w="29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Centralia, IL (1)</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rPr>
              <w:t>121,000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Dupo, IL (1) (3) (4)</w:t>
            </w:r>
          </w:p>
        </w:tc>
        <w:tc>
          <w:tcPr>
            <w:tcW w:w="17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64,000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St. Paul, MN (1) (2)</w:t>
            </w: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Rail/Barge</w:t>
            </w: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32,000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Rosemount, MN (1)</w:t>
            </w:r>
          </w:p>
        </w:tc>
        <w:tc>
          <w:tcPr>
            <w:tcW w:w="17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Food and Health Sciences</w:t>
            </w:r>
          </w:p>
        </w:tc>
        <w:tc>
          <w:tcPr>
            <w:tcW w:w="29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Fullerton, CA (5)</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56,000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Florida, NY (6)</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107,000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20" w:hanging="329"/>
        <w:spacing w:after="0" w:line="287" w:lineRule="auto"/>
        <w:tabs>
          <w:tab w:leader="none" w:pos="59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is a manufacturing and/or distribution facility owned by the Company. This facility includes outside storage tanks for the storage of liquid bulk chemicals, as well as smaller tanks for storing and mixing chemicals.</w:t>
      </w:r>
    </w:p>
    <w:p>
      <w:pPr>
        <w:spacing w:after="0" w:line="31" w:lineRule="exact"/>
        <w:rPr>
          <w:rFonts w:ascii="Arial" w:cs="Arial" w:eastAsia="Arial" w:hAnsi="Arial"/>
          <w:sz w:val="18"/>
          <w:szCs w:val="18"/>
          <w:color w:val="auto"/>
        </w:rPr>
      </w:pPr>
    </w:p>
    <w:p>
      <w:pPr>
        <w:ind w:left="580" w:right="20" w:hanging="329"/>
        <w:spacing w:after="0" w:line="287" w:lineRule="auto"/>
        <w:tabs>
          <w:tab w:leader="none" w:pos="59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land for these facilities is leased from the Port Authority of the City of St. Paul, Minnesota. One of the applicable leases runs through July 2029 and two run through 2044, including all available lease extensions.</w:t>
      </w:r>
    </w:p>
    <w:p>
      <w:pPr>
        <w:spacing w:after="0" w:line="31" w:lineRule="exact"/>
        <w:rPr>
          <w:rFonts w:ascii="Arial" w:cs="Arial" w:eastAsia="Arial" w:hAnsi="Arial"/>
          <w:sz w:val="18"/>
          <w:szCs w:val="18"/>
          <w:color w:val="auto"/>
        </w:rPr>
      </w:pPr>
    </w:p>
    <w:p>
      <w:pPr>
        <w:ind w:left="600" w:hanging="349"/>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is a manufacturing facility that manufactures bleach.</w:t>
      </w:r>
    </w:p>
    <w:p>
      <w:pPr>
        <w:spacing w:after="0" w:line="90" w:lineRule="exact"/>
        <w:rPr>
          <w:rFonts w:ascii="Arial" w:cs="Arial" w:eastAsia="Arial" w:hAnsi="Arial"/>
          <w:sz w:val="18"/>
          <w:szCs w:val="18"/>
          <w:color w:val="auto"/>
        </w:rPr>
      </w:pPr>
    </w:p>
    <w:p>
      <w:pPr>
        <w:ind w:left="600" w:hanging="349"/>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land for this facility is leased from a third party, with automatic one-year renewal periods.</w:t>
      </w:r>
    </w:p>
    <w:p>
      <w:pPr>
        <w:spacing w:after="0" w:line="103" w:lineRule="exact"/>
        <w:rPr>
          <w:rFonts w:ascii="Arial" w:cs="Arial" w:eastAsia="Arial" w:hAnsi="Arial"/>
          <w:sz w:val="18"/>
          <w:szCs w:val="18"/>
          <w:color w:val="auto"/>
        </w:rPr>
      </w:pPr>
    </w:p>
    <w:p>
      <w:pPr>
        <w:ind w:left="600" w:hanging="349"/>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2031.</w:t>
      </w:r>
    </w:p>
    <w:p>
      <w:pPr>
        <w:spacing w:after="0" w:line="103" w:lineRule="exact"/>
        <w:rPr>
          <w:rFonts w:ascii="Arial" w:cs="Arial" w:eastAsia="Arial" w:hAnsi="Arial"/>
          <w:sz w:val="18"/>
          <w:szCs w:val="18"/>
          <w:color w:val="auto"/>
        </w:rPr>
      </w:pPr>
    </w:p>
    <w:p>
      <w:pPr>
        <w:ind w:left="580" w:hanging="329"/>
        <w:spacing w:after="0" w:line="287" w:lineRule="auto"/>
        <w:tabs>
          <w:tab w:leader="none" w:pos="59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is comprised of (i) a 79,000 square foot manufacturing plant which sits on approximately 16 acres and (ii) a leased 28,000 square foot warehouse located in close proximity that is leased until December 2028.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300" w:hanging="1295"/>
        <w:spacing w:after="0" w:line="29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shares are listed on the Nasdaq Global Select Market under the symbol “HWKN.” As of May 8, 2026, shares of our common shares were held by approximately 311 shareholders of record.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authorized the repurchase of up to 2.6 million shares of our outstanding common stock, initially approved on May 29, 2014 and subsequently amended from time to time. The shares may be purchased on the open market or in privately negotiated transactions subject to applicable securities laws and regulations. We did not repurchase any shares of our common stock during the three or twelve months ended March 29, 2026. As of March 29, 2026, 731,544 shares remained available to be purchased under the share repurchase program.</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and each of those indices on March 28, 2021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38100</wp:posOffset>
            </wp:positionV>
            <wp:extent cx="5254625" cy="3711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5462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2026, 2025, and 2024. This discussion should be read in conjunction with the Consolidated Financial Statements and Notes to Consolidated Financial Statements included in Item 8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derive substantially all of our revenues from the sale of water treatment, specialty ingredients, and chemistry products to our customers in a wide variety of industries. We believe that we create value for our customers through superb service and support, quality products, personalized applications and trustworthy, creative employees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fiscal 2026 include:</w:t>
      </w:r>
    </w:p>
    <w:p>
      <w:pPr>
        <w:spacing w:after="0" w:line="252" w:lineRule="exact"/>
        <w:rPr>
          <w:sz w:val="20"/>
          <w:szCs w:val="20"/>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$1,083.7 million, an increase of $109.3 million, or 11% from fiscal 2025;</w:t>
      </w:r>
    </w:p>
    <w:p>
      <w:pPr>
        <w:spacing w:after="0" w:line="171"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of $245.1 million, an increase of $19.5 million, or 9% from fiscal 2025;</w:t>
      </w:r>
    </w:p>
    <w:p>
      <w:pPr>
        <w:spacing w:after="0" w:line="171"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cash flow of $144.3 million, an increase of $33.2 million, or 30% from fiscal 2025; and</w:t>
      </w:r>
    </w:p>
    <w:p>
      <w:pPr>
        <w:spacing w:after="0" w:line="171"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(EPS) of $3.91, a decrease of $0.12, or 3%, from fiscal 2025;</w:t>
      </w:r>
    </w:p>
    <w:p>
      <w:pPr>
        <w:spacing w:after="0" w:line="171" w:lineRule="exact"/>
        <w:rPr>
          <w:rFonts w:ascii="Arial" w:cs="Arial" w:eastAsia="Arial" w:hAnsi="Arial"/>
          <w:sz w:val="18"/>
          <w:szCs w:val="18"/>
          <w:color w:val="auto"/>
        </w:rPr>
      </w:pPr>
    </w:p>
    <w:p>
      <w:pPr>
        <w:ind w:left="620" w:hanging="36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 forma diluted EPS of $3.95, an increase of $0.32, or 9%, from fiscal 2025.</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as raw material prices rise and fall, particularly in our Water Treatment and Industrial Solutions segments. The costs for certain of our raw materials can rise or fall rapidly, causing fluctuations in gross profit as a percentage of sales.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consolidated statements of income. The LIFO inventory valuation method and the resulting cost of sales are consistent with our business practices of pricing to current chemical raw material prices.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Water Treatment and Industrial Solutions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Factors Affecting Comparability of Results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completed the following acquisitions in fiscal 2026. The results of operations since the date of each acquisition and the assets, including goodwill associated with these acquisitions, are included in our Water Treatment segment with the exception of the MakWood lactate business, which is included in our Food &amp; Health Sciences segment. Certain acquisitions discussed below are not included in Note 2 to our Consolidated Financial Statements as they were not deemed to be material enough to warrant disclosure.</w:t>
      </w:r>
    </w:p>
    <w:p>
      <w:pPr>
        <w:spacing w:after="0" w:line="62" w:lineRule="exact"/>
        <w:rPr>
          <w:sz w:val="20"/>
          <w:szCs w:val="20"/>
          <w:color w:val="auto"/>
        </w:rPr>
      </w:pPr>
    </w:p>
    <w:p>
      <w:pPr>
        <w:ind w:left="660" w:right="200" w:hanging="328"/>
        <w:spacing w:after="0" w:line="268"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3, 2025, we acquired substantially all the assets and assumed certain liabilities of Redbird Chemical, Inc. (“Redbird”) for $4.6 million. Redbird distributed chemicals to its customers in eastern Texas within both the water treatment and industrial markets.</w:t>
      </w:r>
    </w:p>
    <w:p>
      <w:pPr>
        <w:spacing w:after="0" w:line="62" w:lineRule="exact"/>
        <w:rPr>
          <w:rFonts w:ascii="Arial" w:cs="Arial" w:eastAsia="Arial" w:hAnsi="Arial"/>
          <w:sz w:val="18"/>
          <w:szCs w:val="18"/>
          <w:color w:val="auto"/>
        </w:rPr>
      </w:pPr>
    </w:p>
    <w:p>
      <w:pPr>
        <w:ind w:left="660" w:right="660" w:hanging="328"/>
        <w:spacing w:after="0" w:line="318" w:lineRule="auto"/>
        <w:tabs>
          <w:tab w:leader="none" w:pos="628"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August 29, 2025, we acquired substantially all the assets and assumed certain liabilities of StillWaters Technology, Inc. ("StillWaters") for $4.3 million. StillWaters distributed water treatment chemicals and equipment for its customers in Alabama.</w:t>
      </w:r>
    </w:p>
    <w:p>
      <w:pPr>
        <w:spacing w:after="0" w:line="21" w:lineRule="exact"/>
        <w:rPr>
          <w:rFonts w:ascii="Arial" w:cs="Arial" w:eastAsia="Arial" w:hAnsi="Arial"/>
          <w:sz w:val="17"/>
          <w:szCs w:val="17"/>
          <w:color w:val="auto"/>
        </w:rPr>
      </w:pPr>
    </w:p>
    <w:p>
      <w:pPr>
        <w:ind w:left="660" w:right="80" w:hanging="328"/>
        <w:spacing w:after="0" w:line="262"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2, 2025, we acquired the lactate business of MakWood, Inc. for $1.9 million. We had previously been party to a Distribution Agreement with MakWood for certain lactate products under the Mak Lak trade name. This acquisition agreement terminated the Distribution Agreement, and resulted in our acquisition of the lactate distribution business, including the customer list and associated brand name.</w:t>
      </w:r>
    </w:p>
    <w:p>
      <w:pPr>
        <w:spacing w:after="0" w:line="68" w:lineRule="exact"/>
        <w:rPr>
          <w:rFonts w:ascii="Arial" w:cs="Arial" w:eastAsia="Arial" w:hAnsi="Arial"/>
          <w:sz w:val="18"/>
          <w:szCs w:val="18"/>
          <w:color w:val="auto"/>
        </w:rPr>
      </w:pPr>
    </w:p>
    <w:p>
      <w:pPr>
        <w:ind w:left="660" w:hanging="328"/>
        <w:spacing w:after="0" w:line="268"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1, 2025, we acquired substantially all the assets and assumed certain liabilities of PhillTech, LLC ("PhillTech") for $5.0 million. Located in Courtland, AL, PhillTech manufactured and distributed coagulants and corrosion control products for its water treatment customers.</w:t>
      </w:r>
    </w:p>
    <w:p>
      <w:pPr>
        <w:spacing w:after="0" w:line="62" w:lineRule="exact"/>
        <w:rPr>
          <w:rFonts w:ascii="Arial" w:cs="Arial" w:eastAsia="Arial" w:hAnsi="Arial"/>
          <w:sz w:val="18"/>
          <w:szCs w:val="18"/>
          <w:color w:val="auto"/>
        </w:rPr>
      </w:pPr>
    </w:p>
    <w:p>
      <w:pPr>
        <w:ind w:left="660" w:right="460" w:hanging="328"/>
        <w:spacing w:after="0" w:line="268"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June 13, 2025, we acquired substantially all the assets and assumed certain liabilities of Hendrickson Enterprises, LLC and Polymer Technologies, LLC (collectively, "Hendrickson") for approximately $1.5 million. Hendrickson distributed water treatment chemicals and equipment to its customers via direct shipments from suppliers.</w:t>
      </w:r>
    </w:p>
    <w:p>
      <w:pPr>
        <w:spacing w:after="0" w:line="62" w:lineRule="exact"/>
        <w:rPr>
          <w:rFonts w:ascii="Arial" w:cs="Arial" w:eastAsia="Arial" w:hAnsi="Arial"/>
          <w:sz w:val="18"/>
          <w:szCs w:val="18"/>
          <w:color w:val="auto"/>
        </w:rPr>
      </w:pPr>
    </w:p>
    <w:p>
      <w:pPr>
        <w:ind w:left="660" w:right="20" w:hanging="328"/>
        <w:spacing w:after="0" w:line="262"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25, 2025, we acquired substantially all of the assets and assumed certain liabilities of WaterSurplus, Inc. ("WaterSurplus") and related entities for approximately $149.9 million paid at closing, with an additional amount payable as an earnout of up to $53.7 million based on cumulative gross profit for the first five years. WaterSurplus is located in Rockford, IL and delivers sustainable water treatment solutions to customers throughout the United States.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aggregate annual revenue of these six businesses acquired in fiscal 2026 totaled approximately $48 million, as determined using the applicable twelve-month period preceding each respective acquisition date.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Reporting Segments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beginning with the first quarter of fiscal 2026, we realigned our reporting segments to better reflect how we manage 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Segment Reporting: Water Treatment, Food and Health Sciences, and Industrial Solutions. These segments are defined primarily by product and type of customer. Information presented in this annual report has been recast to align with the new segments. Additional information regarding these new segments is set forth in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for fiscal 2026 and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80" w:type="dxa"/>
            <w:vAlign w:val="bottom"/>
          </w:tcPr>
          <w:p>
            <w:pPr>
              <w:spacing w:after="0"/>
              <w:rPr>
                <w:sz w:val="20"/>
                <w:szCs w:val="20"/>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Fiscal 2026</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Fiscal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11.7 %</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r>
      <w:tr>
        <w:trPr>
          <w:trHeight w:val="20"/>
        </w:trPr>
        <w:tc>
          <w:tcPr>
            <w:tcW w:w="7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Compared to Fiscal 2025</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were $1,083.7 million for fiscal 2026, an increase of $109.3 million, or 11%, from sales of $974.4 million for fiscal 2025. The year-over-year increase was driven by sales growth in our Water Treatment and Industrial Solutions segments, which grew 22% and 7%, respectively , while sales in our Food and Health Sciences segment declined slightly.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$96.8 million, or 22%, to $543.3 million for fiscal 2026,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$446.5 million for fiscal 2025. Sales of bulk commodity products in the Water Treatment segment were approximately 9% of sales dollars in both fiscal 2026 and fiscal 2025. Sales increased as a result of $83.3 million of added sales from acquired businesses as well as increased sales volumes and pricing on certain of our products in our legacy business.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Food and Health Sciences segment sales decreased $1.9 million, or 1%, to $320.7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2026, as compared to $322.6 million for fiscal 2025. Sales of our agricultural products increased $6.8 million, which was more than offset by declines in some of our other product lines resulting from lower selling prices, primarily driven by competitive pricing pressures.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Industrial Solutions segment sales increased $14.3 million, or 7%, to $219.7 million for fiscal 2026,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$205.4 million for fiscal 2025. Sales of bulk commodity products in the Industrial Solutions segment were approximately 21% of sales dollars in fiscal 2026 and 23% of sales dollars in fiscal 2025. Sales increased primarily as a result of increased sales volumes of certain of our manufactured, blended and repackaged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$19.5 million, or 9%, to $245.1 million, or 23% of sales, for fiscal 2026, from $225.5 million, or 23% of sales, for fiscal 2025. During fiscal 2026, the LIFO reserve increased, and gross profits decreased, by $1.5 million, primarily due to rising raw material costs. In fiscal 2025, the LIFO reserve decreased, and gross profits increased, by $1.6 million, primarily due to lower prices year-over-year on certain products. Gross profit increased due to increased sales volumes, partially offset by the unfavorable year-over-year impact of the increased LIFO reserve.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$23.1 million, or 19%, to $145.0 million, or 27%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2026, from $121.8 million, or 27% of sales, for fiscal 2025. Gross profit increased primarily as a result of the addition of sales from our acquired businesses.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Gross profit for our Food and Health Sciences segment decreased $4.6 million, or 6%, to $67.3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21% of sales, for fiscal 2026, from $71.9 million, or 22% of sales, for fiscal 2025. Gross profit decreased as a result of lower selling prices, primarily as a result of competitive pricing pressures.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Gross profit for the Industrial Solutions segment increased $1.0 million, or 3%, to $32.8 million, or 15%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fiscal 2026, from $31.8 million, or 15% of sales, for fiscal 2025. Gross profit increased as a result of the increase in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SG&amp;A expenses increased $17.4 million, or 16% to $123.8 million, or 11% of sales, for fiscal 2026, from $106.4 million, or 11% of sales, for fiscal 2025. Expenses increased largely due to $19.3 million in added costs from the acquired business in our Water Treatment segment, including amortization of intangibles of $8.9 million, as well as increased variable costs. This was partially offset by a reduction of $8.1 million to the Water Solutions earnout.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income increased $2.1 million, or 2%, to $121.3 million, or 11% of sales, for fiscal 2026, as compared to $119.2 million, or 12% of sales, for fiscal 2025, due to the combined impact of the factors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was $ 13.5 million for fiscal 2026, an increase of $8.1 million from interest expense of $5.4 million for fiscal 2025. Interest expense increased due to higher outstanding borrowings in the current year, primarily to fund current year acquisitions.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tax rate was approximately 25% for fiscal 2026 and 26% for fiscal 2025. The current year decrease in the effective tax rate was primarily driven by favorable tax provision adjustments recorded. The effective tax rate is impacted by projected levels of annual taxable income, permanent items, and state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Compared to Fiscal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were $974.4 million for fiscal 2025, an increase of $55.2 million, or 6%, from sales of $919.2 million for fiscal 2024. The year-over-year increase was driven by sales growth in our Water Treatment segment, while sales in our Food and Health Sciences and Industrial Solutions segments declined year over year.</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$83.2 million, or 23%, to $446.5 million for fiscal 2025,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$363.3 million for fiscal 2024. Sales of bulk commodity products in the Water Treatment segment were approximately 9% of sales dollars in both fiscal 2025 and fiscal 2024. Sales increased as a result of $72.1 million of added sales from acquired businesses as well as increased sales volumes in our legacy business.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Food and Health Sciences segment sales decreased $12.0 million, or 4%, to $322.6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2025, as compared to $334.6 million for fiscal 2024. Sales of our Food products decreased $11.1 million due to decreased selling prices driven by competitive pricing pressures.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Industrial Solutions segment sales decreased $15.9 million, or 7%, to $205.4 million for fiscal 2025,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$221.3 million for fiscal 2024. Sales decreased primarily as a result of decreased selling prices.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$31.9 million, or 16%, to $225.5 million, or 23% of sales, for fiscal 2025, from $193.6 million, or 21% of sales, for fiscal 2024. During fiscal 2025, the LIFO reserve decreased, and gross profits increased, by $1.6 million, primarily due to lower prices year-over-year on certain products. In fiscal 2024, the LIFO reserve decreased, and gross profits increased, by $15.4 million. Included as a reduction to gross profit in the prior year was a $7.7 million charge to operating expense for an environmental liability related to perchlorinated biphenyls (PCBs) discovered in the soil at our Rosemount, MN, facility.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$22.8 million, or 23%, to $121.8 million, or 27%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2025, from $99.1 million, or 27% of sales, for fiscal 2024. Gross profit increased as a result of increased sales.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4" w:name="page25"/>
    <w:bookmarkEnd w:id="24"/>
    <w:p>
      <w:pPr>
        <w:jc w:val="both"/>
        <w:spacing w:after="0" w:line="268" w:lineRule="auto"/>
        <w:rPr>
          <w:sz w:val="20"/>
          <w:szCs w:val="20"/>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Gross profit for our Food and Health Sciences segment increased $4.0 million, or 6%, to $ 71.9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22% of sales, for fiscal 2025, from $67.9 million, or 20% of sales, for fiscal 2024. Gross profit increased as a result of the $3.3 million environmental liability recorded in fiscal 2024.</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Gross profit for the Industrial Solutions segment increased $5.1 million, or 19%, to $31.8 million, or 15%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fiscal 2025, from $26.7 million, or 12% of sales, for fiscal 2024. Gross profit increased as a result of the $4.4 million environmental liability recorded in fiscal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SG&amp;A expenses increased $16.8 million, or 19% to $106.4 million, or 11% of sales, for fiscal 2025, from $89.6 million, or 10% of sales, for fiscal 2024. Expenses increased largely due to $10.4 million in added costs from the acquired business in our Water Treatment segment, including amortization of intangibles of $4.2 million, as well as increased variable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income increased $15.2 million, or 15%, to $119.2 million, or 12% of sales, for fiscal 2025, as compared to $104.0 million, or 11% of sales, for fiscal 2024, due to the combined impact of the factors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was $ 5.4 million for fiscal 2025, an increase of $1.2 million from interest expense of $4.3 million for fiscal 2024. Interest expense increased due to higher outstanding borrowings in fiscal 2025, primarily to fund acquisitions.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effective tax rate was approximately 26% for both fiscal 2025 and fiscal 2024. The effective tax rate is impacted by projected levels of annual taxable income, permanent items, and state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fiscal quarters is shown below. No changes have been made to previously reported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(In thousands, except per share data)</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2026</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14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Fourth</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1,083,696</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245,055</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31,029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123,762</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121,293</w:t>
            </w:r>
          </w:p>
        </w:tc>
        <w:tc>
          <w:tcPr>
            <w:tcW w:w="0" w:type="dxa"/>
            <w:vAlign w:val="bottom"/>
          </w:tcPr>
          <w:p>
            <w:pPr>
              <w:spacing w:after="0"/>
              <w:rPr>
                <w:sz w:val="1"/>
                <w:szCs w:val="1"/>
                <w:color w:val="auto"/>
              </w:rPr>
            </w:pPr>
          </w:p>
        </w:tc>
      </w:tr>
      <w:tr>
        <w:trPr>
          <w:trHeight w:val="25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81,548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0.69</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0.75</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2025</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14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Fourth</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255,879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974,431</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225,538</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24,864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106,364</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119,174</w:t>
            </w:r>
          </w:p>
        </w:tc>
        <w:tc>
          <w:tcPr>
            <w:tcW w:w="0" w:type="dxa"/>
            <w:vAlign w:val="bottom"/>
          </w:tcPr>
          <w:p>
            <w:pPr>
              <w:spacing w:after="0"/>
              <w:rPr>
                <w:sz w:val="1"/>
                <w:szCs w:val="1"/>
                <w:color w:val="auto"/>
              </w:rPr>
            </w:pPr>
          </w:p>
        </w:tc>
      </w:tr>
      <w:tr>
        <w:trPr>
          <w:trHeight w:val="25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0.72</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0.79</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may not equal the face of the Consolidated Statements of Income due to rounding.</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in fiscal 2026 was $144.3 million compared to $111.1 million in fiscal 2025. The increase in cash provided by operating activities in fiscal 2026 as compared to fiscal 2025 was primarily driven by favorable year-over-year changes in inventories and trade receivables compared to the same period a year ago. Due to the nature of our operations, which includes purchases of large quantities of bulk chemicals, the timing of purchases can result in significant changes in working capital investment and resulting cash flow.</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was $224.1 million in fiscal 2026 compared to $ 128.0 million in fiscal 2025. Capital expenditures for property, plant and equipment were $58.2 million in fiscal 2026 and $41.1 million in fiscal 2025. The increase in capital expenditures was primarily driven by real estate purchases and expansion of existing facilities. In fiscal 2026, we incurred acquisition spending of $ 167.1 million, including the acquisition of WaterSurplus for $149.9 million paid at closing, compared to $87.4 million of acquisition spending in fiscal 2025.</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financing activities was $78.6 million in fiscal 2026 compared to $14.8 million in fiscal 2025. Cash provided by financing activities included net debt borrowings of $95.0 million in fiscal 2026 and net debt borrowings of $50.0 million in fiscal 2025. We paid out cash dividends of $15.7 million in fiscal 2026 and $14.6 million in fiscal 2025. In fiscal 2026, we did not repurchase shares under our board-authorized share repurchase program, and in fiscal 2025, we used $20.7 million to repurchase shares under the program.</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 was $ 3.9 million at March 29, 2026, a decrease of $ 1.2 million as compared with March 30, 2025. Cash flows generated by operations during fiscal 2026 were offset by the cash expended for acquisitions, capital expenditures, repayments of debt, and dividend payments in fiscal 2026. We intentionally maintain a relatively low level of cash and use excess cash to reduce outstanding debt, which we believe represents a more efficient use of capital by lowering interest expense, improving cash flow, and strengthening our balance sheet, while continuing to maintain sufficient liquidity to meet our operational and contractual needs.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to increase the permitted qualified receivables transactions to $10.0 million from $5.0 million, as defined in the Credit Agreement. The Revolving Loan Facility includes a $10.0 million letter of credit subfacility and $25.0 million swingline subfacility. The Revolving Loan Facility has a five-year maturity date, maturing on April 25, 2030.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 At March 29, 2026, we had $244 million outstanding under the Revolving Loan Facility.</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1.0% and 1.85%, depending on our leverage ratio. The base rate margin is between 0.00% and 0.85%, depending on our leverage ratio. At March 29, 2026, the effective interest rate on our borrowings was 4.4%.</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March 29, 2026, the unamortized balance of these costs was $0.8 million, and is included within other assets on our consolidated balance sheet.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The Credit Agreement requires that we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permitted to make distributions, pay dividends and repurchase shares so long as no default or event of default exists or would exist as a result thereof. We were in compliance with all covenants of the Credit Agreement as of March 29, 2026 and expect to remain in compliance with all covenants for the next 12 months.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Revolving Loan Facility, failure to comply with covenants in the Credit Agreement and other loan documents, cross default to other material indebtedness, our failure to pay or discharge material judgments, bankruptcy, and change of control of the Company. The occurrence of an event of default would permit the lenders to terminate their commitments and accelerate loans under the Credit Facility.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 We believe that our existing cash and cash equivalents, together with cash generated from operations and available borrowings under our existing Credit Agreement, will be sufficient to meet our working capital expenditure requirements for at least the next 12 months.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Payments Due by Fiscal Period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Contractual Obligation</w:t>
            </w:r>
          </w:p>
        </w:tc>
        <w:tc>
          <w:tcPr>
            <w:tcW w:w="22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30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30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2029</w:t>
            </w:r>
          </w:p>
        </w:tc>
        <w:tc>
          <w:tcPr>
            <w:tcW w:w="30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2030</w:t>
            </w:r>
          </w:p>
        </w:tc>
        <w:tc>
          <w:tcPr>
            <w:tcW w:w="26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2031</w:t>
            </w:r>
          </w:p>
        </w:tc>
        <w:tc>
          <w:tcPr>
            <w:tcW w:w="220" w:type="dxa"/>
            <w:vAlign w:val="bottom"/>
          </w:tcPr>
          <w:p>
            <w:pPr>
              <w:spacing w:after="0"/>
              <w:rPr>
                <w:sz w:val="15"/>
                <w:szCs w:val="15"/>
                <w:color w:val="auto"/>
              </w:rPr>
            </w:pPr>
          </w:p>
        </w:tc>
        <w:tc>
          <w:tcPr>
            <w:tcW w:w="102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7"/>
              </w:rPr>
              <w:t>More than</w:t>
            </w:r>
          </w:p>
        </w:tc>
        <w:tc>
          <w:tcPr>
            <w:tcW w:w="320" w:type="dxa"/>
            <w:vAlign w:val="bottom"/>
          </w:tcPr>
          <w:p>
            <w:pPr>
              <w:spacing w:after="0"/>
              <w:rPr>
                <w:sz w:val="15"/>
                <w:szCs w:val="15"/>
                <w:color w:val="auto"/>
              </w:rPr>
            </w:pPr>
          </w:p>
        </w:tc>
        <w:tc>
          <w:tcPr>
            <w:tcW w:w="8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00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 Years</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Senior secured revolver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244,000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Interest payments (2)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10,862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11,860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11,950</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11,950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47,618</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Operating lease obligations (3)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3,861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3,607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1,965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7,343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Pension withdrawal liability (4)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r>
              <w:rPr>
                <w:rFonts w:ascii="Arial" w:cs="Arial" w:eastAsia="Arial" w:hAnsi="Arial"/>
                <w:sz w:val="18"/>
                <w:szCs w:val="18"/>
                <w:color w:val="auto"/>
              </w:rPr>
              <w:t>Earnout liability (5)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4,529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53,700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57" w:lineRule="auto"/>
        <w:tabs>
          <w:tab w:leader="none" w:pos="483"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balance outstanding as of March 29, 2026, and assumes such amount remains outstanding until its maturity date, as periodic payments are not required under the terms of our Credit Agreement. However, it is our intention to pay down our debt with available excess cash flow. See Note 8 to our consolidated Financial Statements for further information.</w:t>
      </w:r>
    </w:p>
    <w:p>
      <w:pPr>
        <w:spacing w:after="0" w:line="1" w:lineRule="exact"/>
        <w:rPr>
          <w:rFonts w:ascii="Arial" w:cs="Arial" w:eastAsia="Arial" w:hAnsi="Arial"/>
          <w:sz w:val="18"/>
          <w:szCs w:val="18"/>
          <w:color w:val="auto"/>
        </w:rPr>
      </w:pPr>
    </w:p>
    <w:p>
      <w:pPr>
        <w:ind w:left="340" w:hanging="332"/>
        <w:spacing w:after="0" w:line="250" w:lineRule="auto"/>
        <w:tabs>
          <w:tab w:leader="none" w:pos="603"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revolver, net of the expected receivable from our interest rate swap agreement, and assumes interest rates remain unchanged from the rate as of March 29, 2026.</w:t>
      </w: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reported under ASC Topic 842.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relates to our withdrawal from a multiemployer pension plan. Payments on this obligation will continue through 2034.</w:t>
      </w:r>
    </w:p>
    <w:p>
      <w:pPr>
        <w:spacing w:after="0" w:line="9" w:lineRule="exact"/>
        <w:rPr>
          <w:rFonts w:ascii="Arial" w:cs="Arial" w:eastAsia="Arial" w:hAnsi="Arial"/>
          <w:sz w:val="18"/>
          <w:szCs w:val="18"/>
          <w:color w:val="auto"/>
        </w:rPr>
      </w:pPr>
    </w:p>
    <w:p>
      <w:pPr>
        <w:ind w:left="340" w:hanging="332"/>
        <w:spacing w:after="0" w:line="266" w:lineRule="auto"/>
        <w:tabs>
          <w:tab w:leader="none" w:pos="59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fair value of the earnout liabilities recorded in conjunction with the Water Solutions and WaterSurplus acquisitions based upon achieving certain targets payable 3 years and 5 years after acquisition,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ind w:right="20"/>
        <w:spacing w:after="0" w:line="262" w:lineRule="auto"/>
        <w:rPr>
          <w:sz w:val="20"/>
          <w:szCs w:val="20"/>
          <w:color w:val="auto"/>
        </w:rPr>
      </w:pPr>
      <w:r>
        <w:rPr>
          <w:rFonts w:ascii="Arial" w:cs="Arial" w:eastAsia="Arial" w:hAnsi="Arial"/>
          <w:sz w:val="18"/>
          <w:szCs w:val="18"/>
          <w:color w:val="auto"/>
        </w:rPr>
        <w:t>In addition to the above contractual obligations, in the ordinary course of business we have routine cash requirements related to capital expenditures for new trucks, facility improvements and expansions, safety equipment and other additions of property, plant and equipment. Our capital expenditures in fiscal 2026 were $58.2 million and in fiscal 2025 were $41.1 million. We anticipate total capital expenditures to be approximately $55 million for fiscal 2027.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have determined the following is a critical accounting estimate material to our consolidated financial position, results of operations or cash flow.</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Acquisition accounting. </w:t>
      </w:r>
      <w:r>
        <w:rPr>
          <w:rFonts w:ascii="Arial" w:cs="Arial" w:eastAsia="Arial" w:hAnsi="Arial"/>
          <w:sz w:val="18"/>
          <w:szCs w:val="18"/>
          <w:color w:val="auto"/>
        </w:rPr>
        <w:t>Our accounting for acquisitions requires significant judgment, and involves assumptions that are subject to a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of uncertainty and could materially affect our financial position and results of operations. For each acquisition, we allocate the fair value of the consideration transferred to the tangible assets acquired, identifiable intangible assets, and liabilities assumed. Determining these fair values requires management to make assumptions as of the acquisition date, including assumptions related to the future revenues and cash flows, discount rates, growth rates, and the estimated useful lives of acquired intangible assets. These estimates are inherently subjective and are based on information available at the time of the acquisition, including internal forecasts, available industry and market data, and long-term growth assumptions. The valuation of intangible assets is primarily based on discounted cash flow models. Changes in key assumptions used in these models, particularly projected cash flows or discounted rates, could result in materially different fair value estimates and may affect recorded asset balances, future amortization expense or impairment charges. Management establishes these assumptions at the time of acquisition and revises them if circumstances warrant. While we believe our assumptions are reasonable, actual results may differ from estimates due to changes in operating performance or market conditions. Any future acquisitions could involve assumptions that differ from those used in prior transactions. See Note 2, Acquisitions included in Part II, Item 8 of this Form 10-K for further discussion of business combination accounting valuation methodology and assumptions.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25-basis point change in interest rates on the variable-rate portion of debt not covered by the interest rate swap would potentially increase or decrease annual interest expense by approximately $0.5 million. Other types of market risk, such as foreign currency risk, do not arise in the normal course of our business activities.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7"/>
        </w:trPr>
        <w:tc>
          <w:tcPr>
            <w:tcW w:w="1066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0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0640" w:type="dxa"/>
            <w:vAlign w:val="bottom"/>
            <w:gridSpan w:val="10"/>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3051F2"/>
              </w:rPr>
              <w:t>(PCAOB ID: 34)</w:t>
            </w:r>
          </w:p>
        </w:tc>
        <w:tc>
          <w:tcPr>
            <w:tcW w:w="58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0000FF"/>
                <w:w w:val="89"/>
              </w:rPr>
              <w:t>28</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640" w:type="dxa"/>
            <w:vAlign w:val="bottom"/>
            <w:gridSpan w:val="10"/>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3051F2"/>
              </w:rPr>
              <w:t>(PCAOB ID: 248</w:t>
            </w:r>
            <w:r>
              <w:rPr>
                <w:rFonts w:ascii="Arial" w:cs="Arial" w:eastAsia="Arial" w:hAnsi="Arial"/>
                <w:sz w:val="18"/>
                <w:szCs w:val="18"/>
                <w:u w:val="single" w:color="auto"/>
                <w:color w:val="3051F2"/>
              </w:rPr>
              <w:t>)</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31</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1080" w:type="dxa"/>
            <w:vAlign w:val="bottom"/>
          </w:tcPr>
          <w:p>
            <w:pPr>
              <w:spacing w:after="0"/>
              <w:rPr>
                <w:sz w:val="22"/>
                <w:szCs w:val="22"/>
                <w:color w:val="auto"/>
              </w:rPr>
            </w:pPr>
          </w:p>
        </w:tc>
        <w:tc>
          <w:tcPr>
            <w:tcW w:w="4960" w:type="dxa"/>
            <w:vAlign w:val="bottom"/>
            <w:gridSpan w:val="2"/>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32</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0000FF"/>
                <w:w w:val="99"/>
              </w:rPr>
              <w:t>Consolidated Statements of Income</w:t>
            </w:r>
          </w:p>
        </w:tc>
        <w:tc>
          <w:tcPr>
            <w:tcW w:w="7780" w:type="dxa"/>
            <w:vAlign w:val="bottom"/>
            <w:gridSpan w:val="8"/>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34</w:t>
            </w:r>
          </w:p>
        </w:tc>
      </w:tr>
      <w:tr>
        <w:trPr>
          <w:trHeight w:val="20"/>
        </w:trPr>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40" w:type="dxa"/>
            <w:vAlign w:val="bottom"/>
            <w:gridSpan w:val="10"/>
          </w:tcPr>
          <w:p>
            <w:pPr>
              <w:spacing w:after="0"/>
              <w:rPr>
                <w:sz w:val="20"/>
                <w:szCs w:val="20"/>
                <w:color w:val="auto"/>
              </w:rPr>
            </w:pPr>
            <w:r>
              <w:rPr>
                <w:rFonts w:ascii="Arial" w:cs="Arial" w:eastAsia="Arial" w:hAnsi="Arial"/>
                <w:sz w:val="18"/>
                <w:szCs w:val="18"/>
                <w:color w:val="0000FF"/>
              </w:rPr>
              <w:t>Consolidated Statements of Comprehensive Income</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35</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6"/>
          </w:tcPr>
          <w:p>
            <w:pPr>
              <w:spacing w:after="0"/>
              <w:rPr>
                <w:sz w:val="20"/>
                <w:szCs w:val="20"/>
                <w:color w:val="auto"/>
              </w:rPr>
            </w:pPr>
            <w:r>
              <w:rPr>
                <w:rFonts w:ascii="Arial" w:cs="Arial" w:eastAsia="Arial" w:hAnsi="Arial"/>
                <w:sz w:val="18"/>
                <w:szCs w:val="18"/>
                <w:color w:val="0000FF"/>
              </w:rPr>
              <w:t>Consolidated Statements of Shareholders’ Equity</w:t>
            </w:r>
          </w:p>
        </w:tc>
        <w:tc>
          <w:tcPr>
            <w:tcW w:w="6480" w:type="dxa"/>
            <w:vAlign w:val="bottom"/>
            <w:gridSpan w:val="4"/>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36</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6720" w:type="dxa"/>
            <w:vAlign w:val="bottom"/>
            <w:gridSpan w:val="5"/>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37</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40" w:type="dxa"/>
            <w:vAlign w:val="bottom"/>
            <w:gridSpan w:val="6"/>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40" w:type="dxa"/>
            <w:vAlign w:val="bottom"/>
            <w:gridSpan w:val="10"/>
          </w:tcPr>
          <w:p>
            <w:pPr>
              <w:spacing w:after="0"/>
              <w:rPr>
                <w:sz w:val="20"/>
                <w:szCs w:val="20"/>
                <w:color w:val="auto"/>
              </w:rPr>
            </w:pPr>
            <w:r>
              <w:rPr>
                <w:rFonts w:ascii="Arial" w:cs="Arial" w:eastAsia="Arial" w:hAnsi="Arial"/>
                <w:sz w:val="18"/>
                <w:szCs w:val="18"/>
                <w:color w:val="0000FF"/>
              </w:rPr>
              <w:t>Notes to Consolidated Financial Statements</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38</w:t>
            </w:r>
          </w:p>
        </w:tc>
      </w:tr>
      <w:tr>
        <w:trPr>
          <w:trHeight w:val="929"/>
        </w:trPr>
        <w:tc>
          <w:tcPr>
            <w:tcW w:w="20" w:type="dxa"/>
            <w:vAlign w:val="bottom"/>
          </w:tcPr>
          <w:p>
            <w:pPr>
              <w:spacing w:after="0"/>
              <w:rPr>
                <w:sz w:val="24"/>
                <w:szCs w:val="24"/>
                <w:color w:val="auto"/>
              </w:rPr>
            </w:pPr>
          </w:p>
        </w:tc>
        <w:tc>
          <w:tcPr>
            <w:tcW w:w="3500" w:type="dxa"/>
            <w:vAlign w:val="bottom"/>
            <w:tcBorders>
              <w:top w:val="single" w:sz="8" w:color="0000FF"/>
            </w:tcBorders>
            <w:gridSpan w:val="4"/>
          </w:tcPr>
          <w:p>
            <w:pPr>
              <w:spacing w:after="0"/>
              <w:rPr>
                <w:sz w:val="24"/>
                <w:szCs w:val="24"/>
                <w:color w:val="auto"/>
              </w:rPr>
            </w:pPr>
          </w:p>
        </w:tc>
        <w:tc>
          <w:tcPr>
            <w:tcW w:w="2440" w:type="dxa"/>
            <w:vAlign w:val="bottom"/>
            <w:gridSpan w:val="5"/>
          </w:tcPr>
          <w:p>
            <w:pPr>
              <w:jc w:val="right"/>
              <w:ind w:right="240"/>
              <w:spacing w:after="0"/>
              <w:rPr>
                <w:sz w:val="20"/>
                <w:szCs w:val="20"/>
                <w:color w:val="auto"/>
              </w:rPr>
            </w:pPr>
            <w:r>
              <w:rPr>
                <w:rFonts w:ascii="Arial" w:cs="Arial" w:eastAsia="Arial" w:hAnsi="Arial"/>
                <w:sz w:val="18"/>
                <w:szCs w:val="18"/>
                <w:color w:val="auto"/>
              </w:rPr>
              <w:t>27</w:t>
            </w:r>
          </w:p>
        </w:tc>
        <w:tc>
          <w:tcPr>
            <w:tcW w:w="47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ind w:right="3140" w:firstLine="3132"/>
        <w:spacing w:after="0" w:line="453" w:lineRule="auto"/>
        <w:rPr>
          <w:sz w:val="20"/>
          <w:szCs w:val="20"/>
          <w:color w:val="auto"/>
        </w:rPr>
      </w:pPr>
      <w:r>
        <w:rPr>
          <w:rFonts w:ascii="Arial" w:cs="Arial" w:eastAsia="Arial" w:hAnsi="Arial"/>
          <w:sz w:val="18"/>
          <w:szCs w:val="18"/>
          <w:b w:val="1"/>
          <w:bCs w:val="1"/>
          <w:color w:val="auto"/>
        </w:rPr>
        <w:t>Report of Independent Registered Public Accounting Firm To the shareholders and the Board of Directors of 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have audited the internal control over financial reporting of Hawkins, Inc. and subsidiaries (the “Company”) as of March 29, 2026,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Treadway Commission (COSO). In our opinion, the Company maintained, in all material respects, effective internal control over financial reporting as of March 29, 2026,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March 29, 2026, of the Company and our report, dated May 13, 2026, expressed an unqualified opinion on those financial statements.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WaterSurplus, which was acquired on April 25, 2025, and whose financial statements constitute approximately 2.9% of total assets, excluding goodwill and intangible assets, and 3.2% of net sales of the consolidated financial statement amounts as of and for the year ended March 29, 2026. Accordingly, our audit did not include the internal control over financial reporting at WaterSurplus.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financial reporting and the preparation of financial statements for external purposes in accordance with generally accepted accounting principles. A company’s internal control over financial reporting includes those policies and procedures that (1) pertain to the maintenance of</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13,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Hawkins,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 of Hawkins, Inc. and subsidiaries (the “Company”) as of March 29, 2026, the related consolidated statements of income, comprehensive income, shareholders’ equity, and cash flows, for the year ended March 29, 2026, and the related notes and the schedule listed in the Index at Item 15 (collectively referred to as the “financial statements”). In our opinion, the financial statements present fairly, in all material respects, the financial position of the Company as of March 29, 2026, and the results of its</w:t>
      </w:r>
    </w:p>
    <w:p>
      <w:pPr>
        <w:jc w:val="both"/>
        <w:spacing w:after="0" w:line="237" w:lineRule="auto"/>
        <w:rPr>
          <w:sz w:val="20"/>
          <w:szCs w:val="20"/>
          <w:color w:val="auto"/>
        </w:rPr>
      </w:pPr>
      <w:r>
        <w:rPr>
          <w:rFonts w:ascii="Arial" w:cs="Arial" w:eastAsia="Arial" w:hAnsi="Arial"/>
          <w:sz w:val="18"/>
          <w:szCs w:val="18"/>
          <w:color w:val="auto"/>
        </w:rPr>
        <w:t>operations and its cash flows for the year ended March 29, 2026, in conformity with accounting principles generally accepted in the United States of America.</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March 29, 2026,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May 13, 2026,</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w:t>
      </w:r>
    </w:p>
    <w:p>
      <w:pPr>
        <w:jc w:val="both"/>
        <w:spacing w:after="0" w:line="226" w:lineRule="auto"/>
        <w:rPr>
          <w:sz w:val="20"/>
          <w:szCs w:val="20"/>
          <w:color w:val="auto"/>
        </w:rPr>
      </w:pPr>
      <w:r>
        <w:rPr>
          <w:rFonts w:ascii="Arial" w:cs="Arial" w:eastAsia="Arial" w:hAnsi="Arial"/>
          <w:sz w:val="18"/>
          <w:szCs w:val="18"/>
          <w:color w:val="auto"/>
        </w:rPr>
        <w:t>audit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 WaterSurplus Customer Relationships – Refer to Note 2 to the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first quarter of fiscal year 2026, the Company acquired Surplus Management, Inc. (d/b/a WaterSurplus) for $149.9 million. The Company allocated the purchase price to the tangible and intangible assets acquired and liabilities assumed based on their estimated fair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values as of the acquisition date, which resulted in WaterSurplus customer relationships being recorded at $76 million. The Company estimated the fair value of the WaterSurplus customer relationships in accordance with generally accepted valuation techniques. This approach required management to make significant estimates and assumptions. Changes in these estimates and assumptions could have a significant impact on the fair value of the WaterSurplus customer relationships. We identified the projected revenue growth rates, earnings before interest, taxes, depreciation, and amortization (“EBITDA”) margins, and discount rate used in the valuation of the WaterSurplus customer relationships as a critical audit matter due to the subjectivity inherent in these estimates and assumptions. This required a high degree of auditor judgment and an increased extent of effort, including the need to involve fair value specialists, when performing audit procedures to evaluate the reasonableness of management’s estimates and assumptions.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audit procedures related to the projected revenue growth rates, EBITDA margins, and discount rate included the following, among others:</w:t>
      </w:r>
    </w:p>
    <w:p>
      <w:pPr>
        <w:spacing w:after="0" w:line="181" w:lineRule="exact"/>
        <w:rPr>
          <w:sz w:val="20"/>
          <w:szCs w:val="20"/>
          <w:color w:val="auto"/>
        </w:rPr>
      </w:pPr>
    </w:p>
    <w:p>
      <w:pPr>
        <w:ind w:left="660" w:hanging="328"/>
        <w:spacing w:after="0" w:line="27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management’s valuation analysis related to projected revenue growth rates, EBITDA margins, and discount rate.</w:t>
      </w:r>
    </w:p>
    <w:p>
      <w:pPr>
        <w:spacing w:after="0" w:line="99" w:lineRule="exact"/>
        <w:rPr>
          <w:rFonts w:ascii="Arial" w:cs="Arial" w:eastAsia="Arial" w:hAnsi="Arial"/>
          <w:sz w:val="18"/>
          <w:szCs w:val="18"/>
          <w:color w:val="auto"/>
        </w:rPr>
      </w:pPr>
    </w:p>
    <w:p>
      <w:pPr>
        <w:ind w:left="660" w:right="20" w:hanging="328"/>
        <w:spacing w:after="0" w:line="27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assessed the reasonableness of management’s projections of the revenue growth rates and EBITDA margins by comparing the projections to historical results and certain peer companies.</w:t>
      </w:r>
    </w:p>
    <w:p>
      <w:pPr>
        <w:spacing w:after="0" w:line="86" w:lineRule="exact"/>
        <w:rPr>
          <w:rFonts w:ascii="Arial" w:cs="Arial" w:eastAsia="Arial" w:hAnsi="Arial"/>
          <w:sz w:val="18"/>
          <w:szCs w:val="18"/>
          <w:color w:val="auto"/>
        </w:rPr>
      </w:pPr>
    </w:p>
    <w:p>
      <w:pPr>
        <w:ind w:left="660" w:hanging="328"/>
        <w:spacing w:after="0" w:line="27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evaluated whether the projections of the revenue growth rates and EBITDA margins were consistent with evidence obtained in other areas of the audit.</w:t>
      </w:r>
    </w:p>
    <w:p>
      <w:pPr>
        <w:spacing w:after="0" w:line="9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discount rate by:</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Testing the mathematical accuracy of the components of the discount rate.</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Comparing the selected discount rate to market data.</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Evaluating the valuation methodology used.</w:t>
      </w:r>
    </w:p>
    <w:p>
      <w:pPr>
        <w:spacing w:after="0" w:line="157" w:lineRule="exact"/>
        <w:rPr>
          <w:rFonts w:ascii="Arial" w:cs="Arial" w:eastAsia="Arial" w:hAnsi="Arial"/>
          <w:sz w:val="18"/>
          <w:szCs w:val="18"/>
          <w:color w:val="auto"/>
        </w:rPr>
      </w:pPr>
    </w:p>
    <w:p>
      <w:pPr>
        <w:ind w:left="1300" w:hanging="324"/>
        <w:spacing w:after="0" w:line="271" w:lineRule="auto"/>
        <w:rPr>
          <w:rFonts w:ascii="Arial" w:cs="Arial" w:eastAsia="Arial" w:hAnsi="Arial"/>
          <w:sz w:val="18"/>
          <w:szCs w:val="18"/>
          <w:color w:val="auto"/>
        </w:rPr>
      </w:pPr>
      <w:r>
        <w:rPr>
          <w:rFonts w:ascii="Arial" w:cs="Arial" w:eastAsia="Arial" w:hAnsi="Arial"/>
          <w:sz w:val="18"/>
          <w:szCs w:val="18"/>
          <w:color w:val="auto"/>
        </w:rPr>
        <w:t>– Comparing our fair value specialists’ independent range of the discount rate estimate to the discount rate used by management.</w:t>
      </w:r>
    </w:p>
    <w:p>
      <w:pPr>
        <w:spacing w:after="0" w:line="99" w:lineRule="exact"/>
        <w:rPr>
          <w:rFonts w:ascii="Arial" w:cs="Arial" w:eastAsia="Arial" w:hAnsi="Arial"/>
          <w:sz w:val="18"/>
          <w:szCs w:val="18"/>
          <w:color w:val="auto"/>
        </w:rPr>
      </w:pPr>
    </w:p>
    <w:p>
      <w:pPr>
        <w:ind w:left="1300" w:hanging="324"/>
        <w:spacing w:after="0" w:line="271" w:lineRule="auto"/>
        <w:rPr>
          <w:rFonts w:ascii="Arial" w:cs="Arial" w:eastAsia="Arial" w:hAnsi="Arial"/>
          <w:sz w:val="18"/>
          <w:szCs w:val="18"/>
          <w:color w:val="auto"/>
        </w:rPr>
      </w:pPr>
      <w:r>
        <w:rPr>
          <w:rFonts w:ascii="Arial" w:cs="Arial" w:eastAsia="Arial" w:hAnsi="Arial"/>
          <w:sz w:val="18"/>
          <w:szCs w:val="18"/>
          <w:color w:val="auto"/>
        </w:rPr>
        <w:t>– Comparing the estimated weighted average return on assets, internal rate of return, and the discount rate used in the valuation model and evaluating whether they were consistent with each other.</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13,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3" w:name="page34"/>
    <w:bookmarkEnd w:id="33"/>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 of Hawkins, Inc. (a Minnesota corporation) and subsidiaries (the “Company”)</w:t>
      </w:r>
    </w:p>
    <w:p>
      <w:pPr>
        <w:jc w:val="both"/>
        <w:spacing w:after="0" w:line="224" w:lineRule="auto"/>
        <w:rPr>
          <w:sz w:val="20"/>
          <w:szCs w:val="20"/>
          <w:color w:val="auto"/>
        </w:rPr>
      </w:pPr>
      <w:r>
        <w:rPr>
          <w:rFonts w:ascii="Arial" w:cs="Arial" w:eastAsia="Arial" w:hAnsi="Arial"/>
          <w:sz w:val="18"/>
          <w:szCs w:val="18"/>
          <w:color w:val="auto"/>
        </w:rPr>
        <w:t>as of March 30, 2025, and the related consolidated statements of income, comprehensive income, shareholders’ equity, and cash flows for the years ended March 30, 2025 and March 31, 2024, and the related notes and financial statement schedule included under Item 15(a) (collectively referred to as the “consolidated financial statements”). In our opinion, the consolidated financial statements present fairly, in all</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material respects, the financial position of the Company as of March 30, 2025, and the results of its operations and its cash flows for the years ended March 30, 2025 and March 31, 2024, in conformity with accounting principles generally accepted in the United States of America.</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w:t>
      </w:r>
    </w:p>
    <w:p>
      <w:pPr>
        <w:jc w:val="both"/>
        <w:ind w:right="20"/>
        <w:spacing w:after="0" w:line="219" w:lineRule="auto"/>
        <w:rPr>
          <w:sz w:val="20"/>
          <w:szCs w:val="20"/>
          <w:color w:val="auto"/>
        </w:rPr>
      </w:pPr>
      <w:r>
        <w:rPr>
          <w:rFonts w:ascii="Arial" w:cs="Arial" w:eastAsia="Arial" w:hAnsi="Arial"/>
          <w:sz w:val="18"/>
          <w:szCs w:val="18"/>
          <w:color w:val="auto"/>
        </w:rPr>
        <w:t>required to be independent with respect to the Company in accordance with the U.S. federal securities laws and the applicable rules and regulations of the Securities and Exchange Commission and the PCAOB.</w:t>
      </w:r>
    </w:p>
    <w:p>
      <w:pPr>
        <w:jc w:val="both"/>
        <w:spacing w:after="0" w:line="22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2020 to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14, 2025 (except for Notes 3, 7, 15, 16 and 17, as to which the date is May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20"/>
                <w:szCs w:val="20"/>
                <w:color w:val="auto"/>
              </w:rPr>
            </w:pPr>
            <w:r>
              <w:rPr>
                <w:rFonts w:ascii="Arial" w:cs="Arial" w:eastAsia="Arial" w:hAnsi="Arial"/>
                <w:sz w:val="16"/>
                <w:szCs w:val="16"/>
                <w:b w:val="1"/>
                <w:bCs w:val="1"/>
                <w:color w:val="auto"/>
              </w:rPr>
              <w:t>HAWKINS, INC.</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6"/>
                <w:szCs w:val="16"/>
                <w:b w:val="1"/>
                <w:bCs w:val="1"/>
                <w:color w:val="auto"/>
              </w:rPr>
              <w:t>(In thousands, except share and per-share data)</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29, 2026</w:t>
            </w:r>
          </w:p>
        </w:tc>
        <w:tc>
          <w:tcPr>
            <w:tcW w:w="220" w:type="dxa"/>
            <w:vAlign w:val="bottom"/>
          </w:tcPr>
          <w:p>
            <w:pPr>
              <w:spacing w:after="0"/>
              <w:rPr>
                <w:sz w:val="19"/>
                <w:szCs w:val="19"/>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30, 2025</w:t>
            </w:r>
          </w:p>
        </w:tc>
        <w:tc>
          <w:tcPr>
            <w:tcW w:w="0" w:type="dxa"/>
            <w:vAlign w:val="bottom"/>
          </w:tcPr>
          <w:p>
            <w:pPr>
              <w:spacing w:after="0"/>
              <w:rPr>
                <w:sz w:val="1"/>
                <w:szCs w:val="1"/>
                <w:color w:val="auto"/>
              </w:rPr>
            </w:pPr>
          </w:p>
        </w:tc>
      </w:tr>
      <w:tr>
        <w:trPr>
          <w:trHeight w:val="19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139,796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131,795</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83,512</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09"/>
        </w:trPr>
        <w:tc>
          <w:tcPr>
            <w:tcW w:w="7520" w:type="dxa"/>
            <w:vAlign w:val="bottom"/>
          </w:tcPr>
          <w:p>
            <w:pPr>
              <w:ind w:left="11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231,465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230,691</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21,223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18,679</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Buildings and improvements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163,913</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175,495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150,981</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equipment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78,064</w:t>
            </w:r>
          </w:p>
        </w:tc>
        <w:tc>
          <w:tcPr>
            <w:tcW w:w="0" w:type="dxa"/>
            <w:vAlign w:val="bottom"/>
          </w:tcPr>
          <w:p>
            <w:pPr>
              <w:spacing w:after="0"/>
              <w:rPr>
                <w:sz w:val="1"/>
                <w:szCs w:val="1"/>
                <w:color w:val="auto"/>
              </w:rPr>
            </w:pPr>
          </w:p>
        </w:tc>
      </w:tr>
      <w:tr>
        <w:trPr>
          <w:trHeight w:val="215"/>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Office furniture and equipment</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9,316</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489,662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420,953</w:t>
            </w:r>
          </w:p>
        </w:tc>
        <w:tc>
          <w:tcPr>
            <w:tcW w:w="0" w:type="dxa"/>
            <w:vAlign w:val="bottom"/>
          </w:tcPr>
          <w:p>
            <w:pPr>
              <w:spacing w:after="0"/>
              <w:rPr>
                <w:sz w:val="1"/>
                <w:szCs w:val="1"/>
                <w:color w:val="auto"/>
              </w:rPr>
            </w:pPr>
          </w:p>
        </w:tc>
      </w:tr>
      <w:tr>
        <w:trPr>
          <w:trHeight w:val="215"/>
        </w:trPr>
        <w:tc>
          <w:tcPr>
            <w:tcW w:w="75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195,667</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property, plant, and equipment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225,286</w:t>
            </w:r>
          </w:p>
        </w:tc>
        <w:tc>
          <w:tcPr>
            <w:tcW w:w="0" w:type="dxa"/>
            <w:vAlign w:val="bottom"/>
          </w:tcPr>
          <w:p>
            <w:pPr>
              <w:spacing w:after="0"/>
              <w:rPr>
                <w:sz w:val="1"/>
                <w:szCs w:val="1"/>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223,042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135,409</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150,121</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Deferred compensation plan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11,185</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488,569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314,071</w:t>
            </w:r>
          </w:p>
        </w:tc>
        <w:tc>
          <w:tcPr>
            <w:tcW w:w="0" w:type="dxa"/>
            <w:vAlign w:val="bottom"/>
          </w:tcPr>
          <w:p>
            <w:pPr>
              <w:spacing w:after="0"/>
              <w:rPr>
                <w:sz w:val="1"/>
                <w:szCs w:val="1"/>
                <w:color w:val="auto"/>
              </w:rPr>
            </w:pPr>
          </w:p>
        </w:tc>
      </w:tr>
      <w:tr>
        <w:trPr>
          <w:trHeight w:val="234"/>
        </w:trPr>
        <w:tc>
          <w:tcPr>
            <w:tcW w:w="75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986,290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770,048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59,835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61,195</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19,659</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Short-term lease liabilities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liability</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Accrued real estate taxes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deferred compensation liability</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Container deposits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earnout liability</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Environmental remediation</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7,700</w:t>
            </w: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08"/>
        </w:trPr>
        <w:tc>
          <w:tcPr>
            <w:tcW w:w="7520" w:type="dxa"/>
            <w:vAlign w:val="bottom"/>
          </w:tcPr>
          <w:p>
            <w:pPr>
              <w:ind w:left="11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104,844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97,222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7"/>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29, 2026</w:t>
            </w:r>
          </w:p>
        </w:tc>
        <w:tc>
          <w:tcPr>
            <w:tcW w:w="220" w:type="dxa"/>
            <w:vAlign w:val="bottom"/>
          </w:tcPr>
          <w:p>
            <w:pPr>
              <w:spacing w:after="0"/>
              <w:rPr>
                <w:sz w:val="18"/>
                <w:szCs w:val="18"/>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30, 2025</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244,000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149,000</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lease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Pension withdrawal liability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22,356</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Deferred compensation liability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14,850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13,132</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Earnout liability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12,604</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347,437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212,534</w:t>
            </w:r>
          </w:p>
        </w:tc>
        <w:tc>
          <w:tcPr>
            <w:tcW w:w="0" w:type="dxa"/>
            <w:vAlign w:val="bottom"/>
          </w:tcPr>
          <w:p>
            <w:pPr>
              <w:spacing w:after="0"/>
              <w:rPr>
                <w:sz w:val="1"/>
                <w:szCs w:val="1"/>
                <w:color w:val="auto"/>
              </w:rPr>
            </w:pPr>
          </w:p>
        </w:tc>
      </w:tr>
      <w:tr>
        <w:trPr>
          <w:trHeight w:val="209"/>
        </w:trPr>
        <w:tc>
          <w:tcPr>
            <w:tcW w:w="744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452,281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309,756</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shares; authorized: 60,000,000 shares of $0.01 par value; 20,752,138 and 20,684,621</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issued and outstanding for 2026 and 2025,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32,678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24,094</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434,259</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534,009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460,292</w:t>
            </w:r>
          </w:p>
        </w:tc>
        <w:tc>
          <w:tcPr>
            <w:tcW w:w="0" w:type="dxa"/>
            <w:vAlign w:val="bottom"/>
          </w:tcPr>
          <w:p>
            <w:pPr>
              <w:spacing w:after="0"/>
              <w:rPr>
                <w:sz w:val="1"/>
                <w:szCs w:val="1"/>
                <w:color w:val="auto"/>
              </w:rPr>
            </w:pPr>
          </w:p>
        </w:tc>
      </w:tr>
      <w:tr>
        <w:trPr>
          <w:trHeight w:val="209"/>
        </w:trPr>
        <w:tc>
          <w:tcPr>
            <w:tcW w:w="7440" w:type="dxa"/>
            <w:vAlign w:val="bottom"/>
          </w:tcPr>
          <w:p>
            <w:pPr>
              <w:ind w:left="112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986,290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770,048</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9"/>
              </w:rPr>
              <w:t>Fiscal Year Ended</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29, 2026</w:t>
            </w:r>
          </w:p>
        </w:tc>
        <w:tc>
          <w:tcPr>
            <w:tcW w:w="18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March 30, 2025</w:t>
            </w:r>
          </w:p>
        </w:tc>
        <w:tc>
          <w:tcPr>
            <w:tcW w:w="16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 2024</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919,162</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(725,526)</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193,636</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(89,600)</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104,036</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114,383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101,145</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(25,782)</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20,736,815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20,803,872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20,864,348</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20,936,502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21,014,326</w:t>
            </w:r>
          </w:p>
        </w:tc>
      </w:tr>
      <w:tr>
        <w:trPr>
          <w:trHeight w:val="270"/>
        </w:trPr>
        <w:tc>
          <w:tcPr>
            <w:tcW w:w="5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0"/>
        </w:trPr>
        <w:tc>
          <w:tcPr>
            <w:tcW w:w="5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9"/>
        </w:trPr>
        <w:tc>
          <w:tcPr>
            <w:tcW w:w="5780" w:type="dxa"/>
            <w:vAlign w:val="bottom"/>
          </w:tcPr>
          <w:p>
            <w:pPr>
              <w:ind w:left="20"/>
              <w:spacing w:after="0"/>
              <w:rPr>
                <w:sz w:val="20"/>
                <w:szCs w:val="20"/>
                <w:color w:val="auto"/>
              </w:rPr>
            </w:pPr>
            <w:r>
              <w:rPr>
                <w:rFonts w:ascii="Arial" w:cs="Arial" w:eastAsia="Arial" w:hAnsi="Arial"/>
                <w:sz w:val="18"/>
                <w:szCs w:val="18"/>
                <w:color w:val="auto"/>
              </w:rPr>
              <w:t>Cash dividends declared and paid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0.7500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0.7000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0.6300</w:t>
            </w:r>
          </w:p>
        </w:tc>
      </w:tr>
    </w:tbl>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Fiscal Year Ended</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29, 2026</w:t>
            </w:r>
          </w:p>
        </w:tc>
        <w:tc>
          <w:tcPr>
            <w:tcW w:w="16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30, 2025</w:t>
            </w:r>
          </w:p>
        </w:tc>
        <w:tc>
          <w:tcPr>
            <w:tcW w:w="16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March 31, 2024</w:t>
            </w:r>
          </w:p>
        </w:tc>
      </w:tr>
      <w:tr>
        <w:trPr>
          <w:trHeight w:val="250"/>
        </w:trPr>
        <w:tc>
          <w:tcPr>
            <w:tcW w:w="60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81,548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84,345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75,363</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(loss) gain on interest rate swap</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75,538</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200" w:lineRule="exact"/>
        <w:rPr>
          <w:sz w:val="20"/>
          <w:szCs w:val="20"/>
          <w:color w:val="auto"/>
        </w:rPr>
      </w:pPr>
    </w:p>
    <w:p>
      <w:pPr>
        <w:spacing w:after="0" w:line="217" w:lineRule="exact"/>
        <w:rPr>
          <w:sz w:val="20"/>
          <w:szCs w:val="20"/>
          <w:color w:val="auto"/>
        </w:rPr>
      </w:pPr>
    </w:p>
    <w:p>
      <w:pPr>
        <w:jc w:val="center"/>
        <w:ind w:left="3200"/>
        <w:spacing w:after="0"/>
        <w:rPr>
          <w:sz w:val="20"/>
          <w:szCs w:val="20"/>
          <w:color w:val="auto"/>
        </w:rPr>
      </w:pPr>
      <w:r>
        <w:rPr>
          <w:rFonts w:ascii="Arial" w:cs="Arial" w:eastAsia="Arial" w:hAnsi="Arial"/>
          <w:sz w:val="16"/>
          <w:szCs w:val="16"/>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20955</wp:posOffset>
            </wp:positionV>
            <wp:extent cx="16198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3320"/>
        <w:spacing w:after="0"/>
        <w:tabs>
          <w:tab w:leader="none" w:pos="458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9"/>
              </w:rPr>
              <w:t>Additional</w:t>
            </w:r>
          </w:p>
        </w:tc>
        <w:tc>
          <w:tcPr>
            <w:tcW w:w="12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Accumulated</w:t>
            </w:r>
          </w:p>
        </w:tc>
        <w:tc>
          <w:tcPr>
            <w:tcW w:w="126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1080" w:type="dxa"/>
            <w:vAlign w:val="bottom"/>
            <w:vMerge w:val="continue"/>
          </w:tcPr>
          <w:p>
            <w:pPr>
              <w:spacing w:after="0"/>
              <w:rPr>
                <w:sz w:val="14"/>
                <w:szCs w:val="14"/>
                <w:color w:val="auto"/>
              </w:rPr>
            </w:pPr>
          </w:p>
        </w:tc>
        <w:tc>
          <w:tcPr>
            <w:tcW w:w="124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Retained</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Other</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auto"/>
              </w:rPr>
              <w:t>Paid-in</w:t>
            </w:r>
          </w:p>
        </w:tc>
        <w:tc>
          <w:tcPr>
            <w:tcW w:w="1240" w:type="dxa"/>
            <w:vAlign w:val="bottom"/>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126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080" w:type="dxa"/>
            <w:vAlign w:val="bottom"/>
          </w:tcPr>
          <w:p>
            <w:pPr>
              <w:jc w:val="center"/>
              <w:ind w:right="219"/>
              <w:spacing w:after="0"/>
              <w:rPr>
                <w:sz w:val="20"/>
                <w:szCs w:val="20"/>
                <w:color w:val="auto"/>
              </w:rPr>
            </w:pPr>
            <w:r>
              <w:rPr>
                <w:rFonts w:ascii="Arial" w:cs="Arial" w:eastAsia="Arial" w:hAnsi="Arial"/>
                <w:sz w:val="16"/>
                <w:szCs w:val="16"/>
                <w:b w:val="1"/>
                <w:bCs w:val="1"/>
                <w:color w:val="auto"/>
              </w:rPr>
              <w:t>Capital</w:t>
            </w:r>
          </w:p>
        </w:tc>
        <w:tc>
          <w:tcPr>
            <w:tcW w:w="1240" w:type="dxa"/>
            <w:vAlign w:val="bottom"/>
          </w:tcPr>
          <w:p>
            <w:pPr>
              <w:ind w:left="300"/>
              <w:spacing w:after="0"/>
              <w:rPr>
                <w:sz w:val="20"/>
                <w:szCs w:val="20"/>
                <w:color w:val="auto"/>
              </w:rPr>
            </w:pPr>
            <w:r>
              <w:rPr>
                <w:rFonts w:ascii="Arial" w:cs="Arial" w:eastAsia="Arial" w:hAnsi="Arial"/>
                <w:sz w:val="16"/>
                <w:szCs w:val="16"/>
                <w:b w:val="1"/>
                <w:bCs w:val="1"/>
                <w:color w:val="auto"/>
              </w:rPr>
              <w:t>Earnings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Income (Loss)</w:t>
            </w:r>
          </w:p>
        </w:tc>
        <w:tc>
          <w:tcPr>
            <w:tcW w:w="1260" w:type="dxa"/>
            <w:vAlign w:val="bottom"/>
          </w:tcPr>
          <w:p>
            <w:pPr>
              <w:jc w:val="center"/>
              <w:ind w:lef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00" w:space="560"/>
            <w:col w:w="5380"/>
          </w:cols>
          <w:pgMar w:left="320" w:top="931"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April 2,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350,016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3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80" w:type="dxa"/>
            <w:vAlign w:val="bottom"/>
            <w:tcBorders>
              <w:top w:val="single" w:sz="8" w:color="CCEEFF"/>
            </w:tcBorders>
            <w:vMerge w:val="continue"/>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(13,238)</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(13,238)</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Share-based compensation</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w:t>
            </w: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118,165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Shares surrendered for payroll</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(48,478)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220" w:type="dxa"/>
            <w:vAlign w:val="bottom"/>
          </w:tcPr>
          <w:p>
            <w:pPr>
              <w:jc w:val="right"/>
              <w:spacing w:after="0"/>
              <w:rPr>
                <w:sz w:val="20"/>
                <w:szCs w:val="20"/>
                <w:color w:val="auto"/>
              </w:rPr>
            </w:pPr>
            <w:r>
              <w:rPr>
                <w:rFonts w:ascii="Arial" w:cs="Arial" w:eastAsia="Arial" w:hAnsi="Arial"/>
                <w:sz w:val="16"/>
                <w:szCs w:val="16"/>
                <w:color w:val="auto"/>
              </w:rPr>
              <w:t>61,981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(11,272)</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Other comprehensive income, net</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of tax</w:t>
            </w:r>
          </w:p>
        </w:tc>
        <w:tc>
          <w:tcPr>
            <w:tcW w:w="13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jc w:val="center"/>
              <w:ind w:right="719"/>
              <w:spacing w:after="0"/>
              <w:rPr>
                <w:sz w:val="20"/>
                <w:szCs w:val="20"/>
                <w:color w:val="auto"/>
              </w:rPr>
            </w:pPr>
            <w:r>
              <w:rPr>
                <w:rFonts w:ascii="Arial" w:cs="Arial" w:eastAsia="Arial" w:hAnsi="Arial"/>
                <w:sz w:val="16"/>
                <w:szCs w:val="16"/>
                <w:color w:val="auto"/>
              </w:rPr>
              <w:t>Net income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75,363</w:t>
            </w:r>
          </w:p>
        </w:tc>
        <w:tc>
          <w:tcPr>
            <w:tcW w:w="0" w:type="dxa"/>
            <w:vAlign w:val="bottom"/>
          </w:tcPr>
          <w:p>
            <w:pPr>
              <w:spacing w:after="0"/>
              <w:rPr>
                <w:sz w:val="1"/>
                <w:szCs w:val="1"/>
                <w:color w:val="auto"/>
              </w:rPr>
            </w:pPr>
          </w:p>
        </w:tc>
      </w:tr>
      <w:tr>
        <w:trPr>
          <w:trHeight w:val="209"/>
        </w:trPr>
        <w:tc>
          <w:tcPr>
            <w:tcW w:w="2980" w:type="dxa"/>
            <w:vAlign w:val="bottom"/>
          </w:tcPr>
          <w:p>
            <w:pPr>
              <w:jc w:val="center"/>
              <w:ind w:right="719"/>
              <w:spacing w:after="0"/>
              <w:rPr>
                <w:sz w:val="20"/>
                <w:szCs w:val="20"/>
                <w:color w:val="auto"/>
              </w:rPr>
            </w:pPr>
            <w:r>
              <w:rPr>
                <w:rFonts w:ascii="Arial" w:cs="Arial" w:eastAsia="Arial" w:hAnsi="Arial"/>
                <w:sz w:val="16"/>
                <w:szCs w:val="16"/>
                <w:color w:val="auto"/>
              </w:rPr>
              <w:t>BALANCE — March 31, 2024</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20,790,261</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38,154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364,549</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406,026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declared and paid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Share-based compensation</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6,498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6,498</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expense</w:t>
            </w:r>
          </w:p>
        </w:tc>
        <w:tc>
          <w:tcPr>
            <w:tcW w:w="13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Shares surrendered for payroll</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(34,047)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taxes</w:t>
            </w: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ESPP shares issued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220" w:type="dxa"/>
            <w:vAlign w:val="bottom"/>
          </w:tcPr>
          <w:p>
            <w:pPr>
              <w:jc w:val="right"/>
              <w:spacing w:after="0"/>
              <w:rPr>
                <w:sz w:val="20"/>
                <w:szCs w:val="20"/>
                <w:color w:val="auto"/>
              </w:rPr>
            </w:pPr>
            <w:r>
              <w:rPr>
                <w:rFonts w:ascii="Arial" w:cs="Arial" w:eastAsia="Arial" w:hAnsi="Arial"/>
                <w:sz w:val="16"/>
                <w:szCs w:val="16"/>
                <w:color w:val="auto"/>
              </w:rPr>
              <w:t>(205,943)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(20,676)</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Other comprehensive income, net</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of tax</w:t>
            </w: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jc w:val="center"/>
              <w:ind w:right="719"/>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84,345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84,345</w:t>
            </w:r>
          </w:p>
        </w:tc>
        <w:tc>
          <w:tcPr>
            <w:tcW w:w="0" w:type="dxa"/>
            <w:vAlign w:val="bottom"/>
          </w:tcPr>
          <w:p>
            <w:pPr>
              <w:spacing w:after="0"/>
              <w:rPr>
                <w:sz w:val="1"/>
                <w:szCs w:val="1"/>
                <w:color w:val="auto"/>
              </w:rPr>
            </w:pPr>
          </w:p>
        </w:tc>
      </w:tr>
      <w:tr>
        <w:trPr>
          <w:trHeight w:val="234"/>
        </w:trPr>
        <w:tc>
          <w:tcPr>
            <w:tcW w:w="2980" w:type="dxa"/>
            <w:vAlign w:val="bottom"/>
            <w:tcBorders>
              <w:top w:val="single" w:sz="8" w:color="CCEEFF"/>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color w:val="auto"/>
              </w:rPr>
              <w:t>BALANCE — March 30,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20,684,621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460,292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3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tcBorders>
              <w:top w:val="single" w:sz="8" w:color="CCEEFF"/>
            </w:tcBorders>
            <w:vMerge w:val="continue"/>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(15,665)</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(15,665)</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Share-based compensation</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8,573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8,573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w:t>
            </w: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68,553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Shares surrendered for payroll</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(28,590)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220" w:type="dxa"/>
            <w:vAlign w:val="bottom"/>
          </w:tcPr>
          <w:p>
            <w:pPr>
              <w:jc w:val="right"/>
              <w:spacing w:after="0"/>
              <w:rPr>
                <w:sz w:val="20"/>
                <w:szCs w:val="20"/>
                <w:color w:val="auto"/>
              </w:rPr>
            </w:pPr>
            <w:r>
              <w:rPr>
                <w:rFonts w:ascii="Arial" w:cs="Arial" w:eastAsia="Arial" w:hAnsi="Arial"/>
                <w:sz w:val="16"/>
                <w:szCs w:val="16"/>
                <w:color w:val="auto"/>
              </w:rPr>
              <w:t>27,554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3,040</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Other comprehensive loss, net of</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w:t>
            </w: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jc w:val="center"/>
              <w:ind w:right="719"/>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81,548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81,548</w:t>
            </w:r>
          </w:p>
        </w:tc>
        <w:tc>
          <w:tcPr>
            <w:tcW w:w="0" w:type="dxa"/>
            <w:vAlign w:val="bottom"/>
          </w:tcPr>
          <w:p>
            <w:pPr>
              <w:spacing w:after="0"/>
              <w:rPr>
                <w:sz w:val="1"/>
                <w:szCs w:val="1"/>
                <w:color w:val="auto"/>
              </w:rPr>
            </w:pPr>
          </w:p>
        </w:tc>
      </w:tr>
      <w:tr>
        <w:trPr>
          <w:trHeight w:val="235"/>
        </w:trPr>
        <w:tc>
          <w:tcPr>
            <w:tcW w:w="2980" w:type="dxa"/>
            <w:vAlign w:val="bottom"/>
            <w:tcBorders>
              <w:top w:val="single" w:sz="8" w:color="CCEEFF"/>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color w:val="auto"/>
              </w:rPr>
              <w:t>BALANCE — March 29, 2026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20,752,138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534,009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Fiscal Year Ended</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29, 2026</w:t>
            </w: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30, 2025</w:t>
            </w:r>
          </w:p>
        </w:tc>
        <w:tc>
          <w:tcPr>
            <w:tcW w:w="14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8"/>
                <w:szCs w:val="18"/>
                <w:b w:val="1"/>
                <w:bCs w:val="1"/>
                <w:color w:val="auto"/>
                <w:w w:val="99"/>
              </w:rPr>
              <w:t>March 31, 2024</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81,548</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84,345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75,363</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 provided by operating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39,948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31,803</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earnout liability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Operating leases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deferred compensation assets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Gain from asset disposals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net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2"/>
        </w:trPr>
        <w:tc>
          <w:tcPr>
            <w:tcW w:w="5540" w:type="dxa"/>
            <w:vAlign w:val="bottom"/>
          </w:tcPr>
          <w:p>
            <w:pPr>
              <w:ind w:left="680"/>
              <w:spacing w:after="0" w:line="162" w:lineRule="exact"/>
              <w:rPr>
                <w:sz w:val="20"/>
                <w:szCs w:val="20"/>
                <w:color w:val="auto"/>
              </w:rPr>
            </w:pPr>
            <w:r>
              <w:rPr>
                <w:rFonts w:ascii="Arial" w:cs="Arial" w:eastAsia="Arial" w:hAnsi="Arial"/>
                <w:sz w:val="16"/>
                <w:szCs w:val="16"/>
                <w:color w:val="auto"/>
              </w:rPr>
              <w:t>Changes in operating accounts (using) providing cash, net of</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Trade receivables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21,399</w:t>
            </w:r>
          </w:p>
        </w:tc>
        <w:tc>
          <w:tcPr>
            <w:tcW w:w="0" w:type="dxa"/>
            <w:vAlign w:val="bottom"/>
          </w:tcPr>
          <w:p>
            <w:pPr>
              <w:spacing w:after="0"/>
              <w:rPr>
                <w:sz w:val="1"/>
                <w:szCs w:val="1"/>
                <w:color w:val="auto"/>
              </w:rPr>
            </w:pPr>
          </w:p>
        </w:tc>
      </w:tr>
      <w:tr>
        <w:trPr>
          <w:trHeight w:val="215"/>
        </w:trPr>
        <w:tc>
          <w:tcPr>
            <w:tcW w:w="5540" w:type="dxa"/>
            <w:vAlign w:val="bottom"/>
          </w:tcPr>
          <w:p>
            <w:pPr>
              <w:ind w:left="10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19,921</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5"/>
        </w:trPr>
        <w:tc>
          <w:tcPr>
            <w:tcW w:w="5540" w:type="dxa"/>
            <w:vAlign w:val="bottom"/>
          </w:tcPr>
          <w:p>
            <w:pPr>
              <w:ind w:left="10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10,708</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15"/>
        </w:trPr>
        <w:tc>
          <w:tcPr>
            <w:tcW w:w="5540" w:type="dxa"/>
            <w:vAlign w:val="bottom"/>
          </w:tcPr>
          <w:p>
            <w:pPr>
              <w:ind w:left="102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9"/>
        </w:trPr>
        <w:tc>
          <w:tcPr>
            <w:tcW w:w="5540" w:type="dxa"/>
            <w:vAlign w:val="bottom"/>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144,327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111,096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159,499</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(41,096)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(40,151)</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(83,455)</w:t>
            </w:r>
          </w:p>
        </w:tc>
        <w:tc>
          <w:tcPr>
            <w:tcW w:w="0" w:type="dxa"/>
            <w:vAlign w:val="bottom"/>
          </w:tcPr>
          <w:p>
            <w:pPr>
              <w:spacing w:after="0"/>
              <w:rPr>
                <w:sz w:val="1"/>
                <w:szCs w:val="1"/>
                <w:color w:val="auto"/>
              </w:rPr>
            </w:pPr>
          </w:p>
        </w:tc>
      </w:tr>
      <w:tr>
        <w:trPr>
          <w:trHeight w:val="215"/>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asset disposals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(122,504)</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(11,272)</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debt issuance costs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Payments on senior secured revolving loan</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on senior secured revolving loan</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(37,408)</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DECREASE IN CASH AND CASH EQUIVALENTS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5"/>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 beginning of year</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7,566</w:t>
            </w:r>
          </w:p>
        </w:tc>
        <w:tc>
          <w:tcPr>
            <w:tcW w:w="0" w:type="dxa"/>
            <w:vAlign w:val="bottom"/>
          </w:tcPr>
          <w:p>
            <w:pPr>
              <w:spacing w:after="0"/>
              <w:rPr>
                <w:sz w:val="1"/>
                <w:szCs w:val="1"/>
                <w:color w:val="auto"/>
              </w:rPr>
            </w:pPr>
          </w:p>
        </w:tc>
      </w:tr>
      <w:tr>
        <w:trPr>
          <w:trHeight w:val="234"/>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AND CASH EQUIVALENTS -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SUPPLEMENTAL DISCLOSURES OF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year for income taxes, net of refunds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28,631</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Noncash investing activities - Capital expenditures in accounts</w:t>
            </w:r>
          </w:p>
        </w:tc>
        <w:tc>
          <w:tcPr>
            <w:tcW w:w="14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w:t>
            </w:r>
          </w:p>
        </w:tc>
        <w:tc>
          <w:tcPr>
            <w:tcW w:w="14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688" w:right="10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Nature of Business - </w:t>
      </w:r>
      <w:r>
        <w:rPr>
          <w:rFonts w:ascii="Arial" w:cs="Arial" w:eastAsia="Arial" w:hAnsi="Arial"/>
          <w:sz w:val="18"/>
          <w:szCs w:val="18"/>
          <w:color w:val="auto"/>
        </w:rPr>
        <w:t>Effective beginning with the first quarter of fiscal 2026, we realigned our reporting segments to reflect how we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operations and allocate resources. We believe this realignment better reflects the value our company provides to our customers and our evolution from a bulk commodity distributor into a specialty ingredients company. We now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 and type of customer. Information presented in this annual report has been recast to align with the new segments.</w:t>
      </w:r>
    </w:p>
    <w:p>
      <w:pPr>
        <w:spacing w:after="0" w:line="209" w:lineRule="exact"/>
        <w:rPr>
          <w:sz w:val="20"/>
          <w:szCs w:val="20"/>
          <w:color w:val="auto"/>
        </w:rPr>
      </w:pPr>
    </w:p>
    <w:p>
      <w:pPr>
        <w:jc w:val="both"/>
        <w:ind w:left="660" w:hanging="328"/>
        <w:spacing w:after="0" w:line="262" w:lineRule="auto"/>
        <w:tabs>
          <w:tab w:leader="none" w:pos="628"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filtration media and systems,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solutions for potable water, municipal and industrial wastewater, industrial process water, mainly non-residential swimming pool water and agricultural water. This group has the resources and flexibility to treat systems ranging in size from a single small well to a multi-million-gallon-per-day facility.</w:t>
      </w:r>
    </w:p>
    <w:p>
      <w:pPr>
        <w:spacing w:after="0" w:line="68" w:lineRule="exact"/>
        <w:rPr>
          <w:rFonts w:ascii="Arial" w:cs="Arial" w:eastAsia="Arial" w:hAnsi="Arial"/>
          <w:sz w:val="18"/>
          <w:szCs w:val="18"/>
          <w:i w:val="1"/>
          <w:iCs w:val="1"/>
          <w:color w:val="auto"/>
        </w:rPr>
      </w:pPr>
    </w:p>
    <w:p>
      <w:pPr>
        <w:jc w:val="both"/>
        <w:ind w:left="660" w:hanging="328"/>
        <w:spacing w:after="0" w:line="262"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Our Food and Health Sciences Group specializes in processing and formulation solutions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ingredient distribution to manufacturers in the nutrition, food, pharmaceutical, and agricultural markets. This group offers a diverse product portfolio including base chemistry, acid based reactions, minerals, vitamins and amino acids, excipients, botanicals and herbs, sweeteners and enzymes, fertilizers, and food-grade and pharmaceutical salts and ingredients.</w:t>
      </w:r>
    </w:p>
    <w:p>
      <w:pPr>
        <w:spacing w:after="0" w:line="68" w:lineRule="exact"/>
        <w:rPr>
          <w:rFonts w:ascii="Arial" w:cs="Arial" w:eastAsia="Arial" w:hAnsi="Arial"/>
          <w:sz w:val="18"/>
          <w:szCs w:val="18"/>
          <w:color w:val="auto"/>
        </w:rPr>
      </w:pPr>
    </w:p>
    <w:p>
      <w:pPr>
        <w:jc w:val="both"/>
        <w:ind w:left="660" w:hanging="328"/>
        <w:spacing w:after="0" w:line="255"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Our Industrial Solutions Group specializes in providing industrial chemicals, products 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such as industrial manufacturing, chemical processing, electronics, energy, plating, and surface finishing. This group’s principal products are acids and alkalis. This segment receives, stores and distributes various chemicals in bulk quantities, including liquid caustic soda, sulfuric acid, hydrochloric acid, urea, phosphoric acid, aqua ammonia and potassium hydroxide. They perform customer blending of chemicals according to customer formulas and specifications and repackage bulk industrial chemicals to sell in smaller quantities to our customers. The Industrial Solutions group relies on a specially trained sales staff that works directly with customer on their specific needs. This group conducts its business primarily through manufacturing locations and terminal operations.</w:t>
      </w:r>
    </w:p>
    <w:p>
      <w:pPr>
        <w:spacing w:after="0" w:line="32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 or 53-week year ending on the Sunday closest to March 31. Our fiscal 2024, 2025, and 2026 are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 weeks.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All intercompany transactions and accounts have been eliminated.</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Estimates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financial statements in conformity with U.S. generally accepted accounting principles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particularly receivables, inventories, property, plant and equipment, right-of-use assets, goodwill, intangibles, deferred compensation plan assets, accrued expenses, environmental remediation, short-term and long-term lease liabilities, pension withdrawal liability, deferred compensation liability, earnout liability, income taxes and related accounts and the reported amounts of revenues and expenses during the reporting period. Actual results could differ from those estimates.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Recognition - </w:t>
      </w:r>
      <w:r>
        <w:rPr>
          <w:rFonts w:ascii="Arial" w:cs="Arial" w:eastAsia="Arial" w:hAnsi="Arial"/>
          <w:sz w:val="18"/>
          <w:szCs w:val="18"/>
          <w:color w:val="auto"/>
        </w:rPr>
        <w:t>Revenue is measured as the amount of consideration we expect to receive in exchange for transferring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recognized when we satisfy our performance obligations under the contract. We recognize revenue upon transfer of control of the promised products to the customer, with revenue recognized at the point in time the customer obtains control of the products. Net sales include products and shipping charges, net of estimates for product returns and any related sales rebates. We estimate product returns based on historical return rates. Using probability assessments, we estimate sales rebates expected to be paid over the term of the contract. The majority of our contracts have a single performance obligation and are short term in nature. Less than 5% of our Water Treatment Group revenue relates to construction and engineering contracts that involve the design, engineering, and construction of long-lived assets. These contracts generally have a single performance obligation that is satisfied over time. Revenue is recognized over time using cost-to-cost input method based on costs incurred relative to total estimated costs. Costs and estimated earnings in excess of amounts billed are recorded as contract assets, while billings in excess of costs incurred and estimated earnings are recorded as contract liabilities. Contract assets are reclassified to accounts receivable when our right to payment becomes unconditional. We had no contract assets as of March 29, 2026. Contract liabilities were $1.6 million as of March 29, 2026.</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contract assets or contract liabilities as of March 30, 2025.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shipping and the handling of products are included in cost of sales.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interest rate swap, marketable securities held in a deferred compensation retirement plan, and earnout liabilities recorded in connection with the acquisitions of Water Solutions Unlimited, Inc. ("Water Solutions") and WaterSurplus, which are based on the achievement of certain targets. We do not have any nonfinancial assets or liabilities that are recognized or disclosed at fair value on a recurring basis in our consolidated financial statements.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on quoted prices in active markets for identical assets or liabilities.</w:t>
      </w:r>
    </w:p>
    <w:p>
      <w:pPr>
        <w:spacing w:after="0" w:line="252" w:lineRule="exact"/>
        <w:rPr>
          <w:sz w:val="20"/>
          <w:szCs w:val="20"/>
          <w:color w:val="auto"/>
        </w:rPr>
      </w:pPr>
    </w:p>
    <w:p>
      <w:pPr>
        <w:jc w:val="both"/>
        <w:ind w:left="220" w:firstLine="243"/>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quoted prices in active markets for similar assets or liabilities, or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observable or can be corroborated by observable market data for the asset or liability.</w:t>
      </w:r>
    </w:p>
    <w:p>
      <w:pPr>
        <w:spacing w:after="0" w:line="117" w:lineRule="exact"/>
        <w:rPr>
          <w:sz w:val="20"/>
          <w:szCs w:val="20"/>
          <w:color w:val="auto"/>
        </w:rPr>
      </w:pPr>
    </w:p>
    <w:p>
      <w:pPr>
        <w:jc w:val="both"/>
        <w:ind w:left="220" w:firstLine="243"/>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unobservable inputs for the asset or liability that are supported by little or no market activity.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determined using pricing models for which the assumptions utilize management’s estimates or market participant assumptions.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original maturity of three months or less. The cash balances, maintained at large commercial banking institutions with strong credit ratings, typically exceed federally insured limits.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Trade Receivables and Concentrations of Credit Risk - </w:t>
      </w:r>
      <w:r>
        <w:rPr>
          <w:rFonts w:ascii="Arial" w:cs="Arial" w:eastAsia="Arial" w:hAnsi="Arial"/>
          <w:sz w:val="18"/>
          <w:szCs w:val="18"/>
          <w:color w:val="auto"/>
        </w:rPr>
        <w:t>Financial instruments that potentially subject us to a concentration of credit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principally of trade receivables. We sell our principal products to a large number of customers across a variety industries. As of March 29, 2026, no single customer represented more than 10% of our total trade receivables. As of March 30, 2025, we had a significant concentration of credit risk, with a single customer representing approximately 11% of our total trade receivables. We do not believe there are other significant concentrations of credit risk related to customers operating in a particular industry or geographic area that would materially impact us in the near term.</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reduce credit risk, we routinely assess the financial strength of our customers. Receivables are reported net of an allowance for credit losses as determined by management at the end of each reporting period. Our receivable allowance is based on an estimate of expected credit losses, with the estimate based on a number of qualitative and quantitative factors that, based on collection experience, may have an impact on repayment risk and ability to collect.</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73% of our inventory determined using the last-in, first-out (“LIFO”) method. Cost for the other 27% of our total inventory is determined using the first-in, first-out (“FIFO”)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determine if an arrangement is a lease at inception. Right-of-use ("ROU") assets include operating leases. Lease liabilities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leases are classified in "short-term lease liabilities" and "long-term lease liabilities" in our consolidated balance sheet.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and related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Lease terms may include options to extend or terminate the lease when it is reasonably certain that we will exercise that option. Lease expense for lease payments is recognized on a straight-line basis over the lease term.</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Property acquired in a business combination is recorded at the fair value of the assets on the date of acquisition. Estimated lives are generally: 10 to 40 years for buildings and improvements; 3 to 20 years for machinery and equipment; and 3 to 10 years for transportation equipment and office furniture and equipment including computer systems. Leasehold improvements are amortized over the lesser of their estimated useful lives or the remaining lease term. Depreciation and amortization expense is recorded in our Consolidated Statements of Income within cost of sales and selling, general and administrative expense, depending on the use of the underlying asset. We recorded depreciation expense of $31.3 million for fiscal 2026, $27.2 million for fiscal 2025 and $23.3 million for fiscal 2024.</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asset group.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We did not incur any asset write-off charges in fiscal 2026, fiscal 2025, or fiscal 2024 related to the impairment of long-lived assets.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Goodwill and Identifiable Intangible Assets - </w:t>
      </w:r>
      <w:r>
        <w:rPr>
          <w:rFonts w:ascii="Arial" w:cs="Arial" w:eastAsia="Arial" w:hAnsi="Arial"/>
          <w:sz w:val="18"/>
          <w:szCs w:val="18"/>
          <w:color w:val="auto"/>
        </w:rPr>
        <w:t>Goodwill represents the excess of the cost of acquired businesses over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December 29, 2025, we performed an analysis of qualitative factors for our Water Treatment, Food and Health Sciences, and Industrial Solutions reporting units to determine whether it is more likely than not that the fair value of any of these reporting units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any of these reporting units. Goodwill impairment assessments were also completed in the fourth quarters of fiscal 2025 and 2024 and, similarly, we did not record a goodwill impairment charge.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identifiable intangible assets include customer relationships, trademarks and tradenames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 remaining useful life of approximately 11 years. Identifiable intangible assets that are subject to amortization are evaluated for impairment whenever events or changes in circumstances indicate that the carrying amount may not be recoverable. No such events or changes in circumstances occurred during fiscal 2026, 2025 or 2024.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an annual quantitative impairment test for fiscal 2026, 2025 or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Business Combinations - </w:t>
      </w:r>
      <w:r>
        <w:rPr>
          <w:rFonts w:ascii="Arial" w:cs="Arial" w:eastAsia="Arial" w:hAnsi="Arial"/>
          <w:sz w:val="18"/>
          <w:szCs w:val="18"/>
          <w:color w:val="auto"/>
        </w:rPr>
        <w:t>We record business combinations using the acquisition method of accounting. Under the acquisition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identifiable assets acquired and liabilities assumed are recorded at their acquisition 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Deferred taxes are provided for differences between the financial statement and tax basis of assets and liabilities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enacted tax rates in effect for the year in which the differences are expected to reverse. A valuation allowance is provided to offset deferred tax assets if, based on the available evidence, it is more likely than not that some or all of the value of the deferred tax assets will not be realized. We record any interest and penalties related to income taxes as income tax expense in the Consolidated Statements of Income.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award is recognized in expense over the requisite service period (generally the vesting period). Non-vested share awards are recorded as expense over the requisite service periods based on the stock price on the date of grant.</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EPS are computed by dividing net income by the weighted-average number of common shares outstanding including the incremental shares assumed to be issued as performance units and restricted stock. Basic and diluted EPS were calculated using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tcPr>
          <w:p>
            <w:pPr>
              <w:spacing w:after="0"/>
              <w:rPr>
                <w:sz w:val="20"/>
                <w:szCs w:val="20"/>
                <w:color w:val="auto"/>
              </w:rPr>
            </w:pPr>
          </w:p>
        </w:tc>
        <w:tc>
          <w:tcPr>
            <w:tcW w:w="1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29, 2026</w:t>
            </w:r>
          </w:p>
        </w:tc>
        <w:tc>
          <w:tcPr>
            <w:tcW w:w="18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30, 2025</w:t>
            </w: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 2024</w:t>
            </w: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20,736,815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20,803,872</w:t>
            </w:r>
          </w:p>
        </w:tc>
        <w:tc>
          <w:tcPr>
            <w:tcW w:w="1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20,864,348</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stock performance units and restricted stock</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125,045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132,630</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149,978</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20,861,860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20,936,502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21,014,326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were no shares or stock options excluded from the calculation of weighted average common shares for diluted EPS for fiscal 2026, 2025 or 2024.</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are subject to interest rate risk associated with our variable rate debt. We have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an interest rate swap agreement which has been designated as a cash flow hedge, the purpose of which is to eliminate the cash flow impact of interest rate changes on a portion of our variable-rate debt. The interest rate swap is measured at fair value on the contract date and is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Consolidated Statements of Income.</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 </w:t>
      </w:r>
      <w:r>
        <w:rPr>
          <w:rFonts w:ascii="Arial" w:cs="Arial" w:eastAsia="Arial" w:hAnsi="Arial"/>
          <w:sz w:val="18"/>
          <w:szCs w:val="18"/>
          <w:color w:val="auto"/>
        </w:rPr>
        <w:t>Our selling, general and administrative expenses consist of expenses related to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including personnel and related expenses, amortization of intangibles, marketing and promotion expenses, and travel expenses; and administrative expenses, primarily personnel costs, related to certain executive officers, information technology, accounting and human resources; and the fair value accretion of any earnout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Accounting Standards Board ("FASB") periodically issues Accounting Standards Updates ("ASUs") that amend the Financial Accounting Standards Codification ("ASC"). We evaluate the impact of the newly issued accounting guidance to determine the effect, if any, on our consolidated financial statements and related disclosures.</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December 2025, the FASB issued </w:t>
      </w:r>
      <w:r>
        <w:rPr>
          <w:rFonts w:ascii="Arial" w:cs="Arial" w:eastAsia="Arial" w:hAnsi="Arial"/>
          <w:sz w:val="18"/>
          <w:szCs w:val="18"/>
          <w:b w:val="1"/>
          <w:bCs w:val="1"/>
          <w:color w:val="auto"/>
        </w:rPr>
        <w:t>ASU No. 2025-11,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Interim Reporting (Topic 270): Narrow-Scope Improvements</w:t>
      </w:r>
      <w:r>
        <w:rPr>
          <w:rFonts w:ascii="Arial" w:cs="Arial" w:eastAsia="Arial" w:hAnsi="Arial"/>
          <w:sz w:val="18"/>
          <w:szCs w:val="18"/>
          <w:color w:val="auto"/>
        </w:rPr>
        <w:t>, which clarified interim reporting requirements, improves the organization of interim disclosure guidance, and introduces a disclosure principle for material events occurring since the end of the last annual reporting period. The guidance is effective for interim periods in fiscal years beginning after December 15, 2027, our fiscal 2029. We do not expect the adoption of this ASU to have a material impact on our consolidated financial statements or interim disclosures in our first quarter, fiscal 2029 10-Q and periodic reports thereafter.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w:t>
      </w:r>
      <w:r>
        <w:rPr>
          <w:rFonts w:ascii="Arial" w:cs="Arial" w:eastAsia="Arial" w:hAnsi="Arial"/>
          <w:sz w:val="18"/>
          <w:szCs w:val="18"/>
          <w:b w:val="1"/>
          <w:bCs w:val="1"/>
          <w:color w:val="auto"/>
        </w:rPr>
        <w:t>ASU 2025-06,</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Intangibles, Goodwill, and Other Internal-Use Software (Subtopic 350-40):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Targeted Improvements</w:t>
      </w:r>
      <w:r>
        <w:rPr>
          <w:rFonts w:ascii="Arial" w:cs="Arial" w:eastAsia="Arial" w:hAnsi="Arial"/>
          <w:sz w:val="18"/>
          <w:szCs w:val="18"/>
          <w:color w:val="auto"/>
        </w:rPr>
        <w:t>, which modernizes the recognition guidance requiring entities to begin capitalizing software costs when both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occur: (1) Management has authorized and committed funding to the software project and (2) It is probable that the project will be completed and the software will be used to perform the function intended. ASU 2025-06 is effective for annual periods beginning after December 15, 2027, our fiscal 2029, and interim periods within those annual reporting periods, with early adoption permitted. We are currently evaluating the impact of the adoption of this standard on our consolidated financial statement disclosures in our first quarter, fiscal 2029 10-Q and periodic reports thereafter.</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w:t>
      </w:r>
      <w:r>
        <w:rPr>
          <w:rFonts w:ascii="Arial" w:cs="Arial" w:eastAsia="Arial" w:hAnsi="Arial"/>
          <w:sz w:val="18"/>
          <w:szCs w:val="18"/>
          <w:b w:val="1"/>
          <w:bCs w:val="1"/>
          <w:color w:val="auto"/>
        </w:rPr>
        <w:t>ASU 2024-03,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Disaggregation of Income Statement Expenses</w:t>
      </w:r>
      <w:r>
        <w:rPr>
          <w:rFonts w:ascii="Arial" w:cs="Arial" w:eastAsia="Arial" w:hAnsi="Arial"/>
          <w:sz w:val="18"/>
          <w:szCs w:val="18"/>
          <w:color w:val="auto"/>
        </w:rPr>
        <w:t>, which requires public entities to disclose, within the footnotes to the financial statements, disaggregated information about certain income statement expense captions, including disclosure of amounts for purchases of inventory, employee compensation, depreciation and intangible asset amortization, included in each relevant expense caption. ASU 2024-03 is effective for annual periods beginning after December 15, 2026, our fiscal 2028, and interim periods within fiscal years beginning after December 15, 2027, our fiscal 2029, on a prospective basis, with early adoption and retrospective application permitted. We are currently evaluating the impact of the adoption of this standard on our consolidated financial statement disclosures in our Form 10-K for fiscal 2028 and periodic reports thereafter.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FASB issued </w:t>
      </w:r>
      <w:r>
        <w:rPr>
          <w:rFonts w:ascii="Arial" w:cs="Arial" w:eastAsia="Arial" w:hAnsi="Arial"/>
          <w:sz w:val="18"/>
          <w:szCs w:val="18"/>
          <w:b w:val="1"/>
          <w:bCs w:val="1"/>
          <w:color w:val="auto"/>
        </w:rPr>
        <w:t>ASU 2023-09</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Income Tax Disclosures</w:t>
      </w:r>
      <w:r>
        <w:rPr>
          <w:rFonts w:ascii="Arial" w:cs="Arial" w:eastAsia="Arial" w:hAnsi="Arial"/>
          <w:sz w:val="18"/>
          <w:szCs w:val="18"/>
          <w:color w:val="auto"/>
        </w:rPr>
        <w:t>, which enhances the transparency and decision-usefulness of income tax disclosures, including information to better assess how an entity's operations, tax risks, and tax planning strategies affect it effective tax rate and future cash flows. We adopted ASU 2023-09 on a prospective basis effective for our fiscal year ended March 29, 2026. The adoption did not impact our consolidated financial statements, but resulted in incremental disclosures within the footnotes of our consolidated financial statements. Refer to Note 13, Income Taxes for the additional disclosures required by this standard.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pursue business combinations to strengthen our position in existing markets, increase our market share and product offerings and expand into new markets. Acquisitions are accounted for under the acquisition method of accounting. For each acquisition, the excess of the purchase consideration over the fair value of the net assets acquired and liabilities assumed is recorded as goodwill, which generally represents the combined value of our existing resources with the organizational talent of the acquired companies’ respective management teams to maximize efficiencies, market share growth and overall financial performance. For each acquisition, we complete our allocation of purchase price to the fair values of acquired assets and liabilities within a one-year measurement period.</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each acquisition completed in fiscal 2024, fiscal 2025 and fiscal 2026, the results of operations since the acquisition date and the assets are included in our Water Treatment segment, with the exception of one immaterial acquisition in the second quarter of fiscal 2026 that was in our Food and Health Sciences segment. Costs associated with each acquisition were not material and were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Material Acquisitions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Acquisition of WaterSurplus, Inc.: </w:t>
      </w:r>
      <w:r>
        <w:rPr>
          <w:rFonts w:ascii="Arial" w:cs="Arial" w:eastAsia="Arial" w:hAnsi="Arial"/>
          <w:sz w:val="18"/>
          <w:szCs w:val="18"/>
          <w:color w:val="auto"/>
        </w:rPr>
        <w:t>On April 25, 2025, we acquired substantially all of the assets and assumed certain liabilities of Surplus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Inc. d/b/a WaterSurplus (“WaterSurplus”) for an initial purchase price of approximately $149.9 million under the terms of an asset purchase agreement by and among WaterSurplus and related entities and their shareholders, Panther Acquisition Corporation, and Hawkins, Inc., as well as a related real estate purchase agreement. In addition, we may be obligated to pay an additional earnout amount based on a target of accumulated gross profit for the first five years after the acquisition. The maximum earnout liability of $ 53.7 million was discounted and recorded at the estimated present value of $ 43.0 million at the acquisition date. The recognition of the earnout liability represented a noncash investing activity, as no cash was paid at inception. WaterSurplus is based in Rockford, IL and delivers sustainable water treatment solutions to customers throughout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ind w:right="580"/>
        <w:spacing w:after="0" w:line="273" w:lineRule="auto"/>
        <w:rPr>
          <w:sz w:val="20"/>
          <w:szCs w:val="20"/>
          <w:color w:val="auto"/>
        </w:rPr>
      </w:pPr>
      <w:r>
        <w:rPr>
          <w:rFonts w:ascii="Arial" w:cs="Arial" w:eastAsia="Arial" w:hAnsi="Arial"/>
          <w:sz w:val="18"/>
          <w:szCs w:val="18"/>
          <w:color w:val="auto"/>
        </w:rPr>
        <w:t>The following table summarizes the purchase consideration and fair values of assets acquired and liabilities assumed as of the date of acquisition: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149,876</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of earnout liability</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192,876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4,325</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12,887</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92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76,000</w:t>
            </w:r>
          </w:p>
        </w:tc>
      </w:tr>
      <w:tr>
        <w:trPr>
          <w:trHeight w:val="229"/>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names</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29"/>
        </w:trPr>
        <w:tc>
          <w:tcPr>
            <w:tcW w:w="926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 trade</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 and liabilities assumed</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110,272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82,604</w:t>
            </w: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expected useful lives of the acquired intangible assets are 15 years for customer relationships, 15 years for trade names and 10 years for technology. The goodwill recognized as a result of this acquisition is expected to be deductible for tax purposes. We have completed the purchase price allocation. The results of operations since the acquisition date and the assets are included in our Water Treatment segment. Costs associated with this transaction were not material and were expensed as incurred.</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pro forma information has been prepared as if the WaterSurplus acquisition and the borrowing that financed the acquisition had occurred as of the beginning of the earliest fiscal period presented. The unaudited pro forma information is not necessarily indicative of what our consolidated results of operations actually would have been had the acquisition occurred at the beginning of each fiscal year, nor is it indicative of our future operational results.</w:t>
      </w:r>
    </w:p>
    <w:p>
      <w:pPr>
        <w:spacing w:after="0" w:line="1"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Fiscal year ended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29, 2026</w:t>
            </w:r>
          </w:p>
        </w:tc>
        <w:tc>
          <w:tcPr>
            <w:tcW w:w="240" w:type="dxa"/>
            <w:vAlign w:val="bottom"/>
          </w:tcPr>
          <w:p>
            <w:pPr>
              <w:spacing w:after="0"/>
              <w:rPr>
                <w:sz w:val="17"/>
                <w:szCs w:val="17"/>
                <w:color w:val="auto"/>
              </w:rPr>
            </w:pPr>
          </w:p>
        </w:tc>
        <w:tc>
          <w:tcPr>
            <w:tcW w:w="164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30, 2025</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1,007,482</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82,434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75,947</w:t>
            </w:r>
          </w:p>
        </w:tc>
      </w:tr>
      <w:tr>
        <w:trPr>
          <w:trHeight w:val="203"/>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Pro forma basic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diluted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unaudited pro forma financial information above includes non-recurring adjustments directly attributable to the acquisition. These adjustments include (a) a non-recurring increase to costs of goods sold of approximately $1.1 million related to the fair value step-up of acquired inventory, which is not expected to continue beyond the sell-through of the inventory, and (b) acquisition-related costs of approximately $1.0 million, primarily consisting of professional fees, which are one-time in nature and not expected to recur.</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Sales of WaterSurplus of $ 34.6 million for the Fiscal 2026 were included in our consolidated statements of income. Operating loss of WaterSurplus of $3.9 million for Fiscal 2026 was also included in our condensed consolidated statements of income.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Inclusive of five additional immaterial acquisitions not discussed above, total cash consideration for the acquisitions completed in the twelve months ended March 29, 2026 was $167.1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Material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completed four acquisitions in fiscal 2025, including the previously announced acquisitions shown below.</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Amerochem Corporation ("Amerochem") was acquired on January 31, 2025 for $44.0 million. Located in North Carolina, Amerochem distributed water treatment chemicals and equipment to its customers located primarily in North Carolina.</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Waterguard, Inc. ("Waterguard") was acquired on October 30, 2024 for $18.0 million. Located in North Carolina, Waterguard distributed water treatment chemicals and equipment to its customers located primarily in North Carolina.</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Intercoastal Trading, Inc. ("Intercoastal") was acquired on June 3, 2024 for $22.0 million. Located in Maryland, Intercoastal distributed water treatment chemicals and equipment to its customers in Maryland, Delaware, and Virginia.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Inclusive of one immaterial acquisition not discussed above, total cash consideration for the fiscal 2025 acquisitions was $87.4 million.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external customer net sales by major revenue stream:</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rPr>
              <w:t>Fiscal Year Ended March 29, 2026:</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Water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8"/>
              </w:rPr>
              <w:t>Food and</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Industrial</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rPr>
              <w:t>Health</w:t>
            </w: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2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Treatment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Sciences</w:t>
            </w: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Solutions</w:t>
            </w:r>
          </w:p>
        </w:tc>
        <w:tc>
          <w:tcPr>
            <w:tcW w:w="2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488,620</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167,710</w:t>
            </w:r>
          </w:p>
        </w:tc>
        <w:tc>
          <w:tcPr>
            <w:tcW w:w="2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656,330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96,154</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Nutrition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137,986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Pharmaceutical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27,871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52,565</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543,303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219,693</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1,083,696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2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gridSpan w:val="7"/>
            <w:shd w:val="clear" w:color="auto" w:fill="CCEEFF"/>
          </w:tcPr>
          <w:p>
            <w:pPr>
              <w:ind w:left="220"/>
              <w:spacing w:after="0"/>
              <w:rPr>
                <w:sz w:val="20"/>
                <w:szCs w:val="20"/>
                <w:color w:val="auto"/>
              </w:rPr>
            </w:pPr>
            <w:r>
              <w:rPr>
                <w:rFonts w:ascii="Arial" w:cs="Arial" w:eastAsia="Arial" w:hAnsi="Arial"/>
                <w:sz w:val="18"/>
                <w:szCs w:val="18"/>
                <w:b w:val="1"/>
                <w:bCs w:val="1"/>
                <w:color w:val="auto"/>
              </w:rPr>
              <w:t>Fiscal Year Ended March 30, 2025:</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Water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8"/>
              </w:rPr>
              <w:t>Food and</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Industrial</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rPr>
              <w:t>Health</w:t>
            </w: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2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Treatment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Sciences</w:t>
            </w:r>
          </w:p>
        </w:tc>
        <w:tc>
          <w:tcPr>
            <w:tcW w:w="18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Solutions</w:t>
            </w:r>
          </w:p>
        </w:tc>
        <w:tc>
          <w:tcPr>
            <w:tcW w:w="2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400,849</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152,087</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552,936</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47,885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87,862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144,434</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Food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103,403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Pharmaceutical</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45,727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external customer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446,489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322,560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205,382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974,431</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rPr>
              <w:t>Fiscal Year Ended March 31, 2024: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Water</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420"/>
              <w:spacing w:after="0" w:line="169" w:lineRule="exact"/>
              <w:rPr>
                <w:sz w:val="20"/>
                <w:szCs w:val="20"/>
                <w:color w:val="auto"/>
              </w:rPr>
            </w:pPr>
            <w:r>
              <w:rPr>
                <w:rFonts w:ascii="Arial" w:cs="Arial" w:eastAsia="Arial" w:hAnsi="Arial"/>
                <w:sz w:val="18"/>
                <w:szCs w:val="18"/>
                <w:b w:val="1"/>
                <w:bCs w:val="1"/>
                <w:color w:val="auto"/>
                <w:w w:val="98"/>
              </w:rPr>
              <w:t>Food and</w:t>
            </w:r>
          </w:p>
        </w:tc>
        <w:tc>
          <w:tcPr>
            <w:tcW w:w="1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Industrial</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420"/>
              <w:spacing w:after="0" w:line="176" w:lineRule="exact"/>
              <w:rPr>
                <w:sz w:val="20"/>
                <w:szCs w:val="20"/>
                <w:color w:val="auto"/>
              </w:rPr>
            </w:pPr>
            <w:r>
              <w:rPr>
                <w:rFonts w:ascii="Arial" w:cs="Arial" w:eastAsia="Arial" w:hAnsi="Arial"/>
                <w:sz w:val="18"/>
                <w:szCs w:val="18"/>
                <w:b w:val="1"/>
                <w:bCs w:val="1"/>
                <w:color w:val="auto"/>
              </w:rPr>
              <w:t>Health</w:t>
            </w:r>
          </w:p>
        </w:tc>
        <w:tc>
          <w:tcPr>
            <w:tcW w:w="18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2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Treatment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9"/>
              </w:rPr>
              <w:t>Sciences</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Solutions</w:t>
            </w:r>
          </w:p>
        </w:tc>
        <w:tc>
          <w:tcPr>
            <w:tcW w:w="2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327,188</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163,655</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490,843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Nutrition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145,460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145,460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114,516</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Pharmaceutical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51,456</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363,289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334,560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221,313</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919,162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line includes our non-bulk specialty products in our Water Treatment and Industrial Solutions segments that we either manufacture, blend, repackage, resell in their original form, or direct ship to our customers in smaller quantities, and equipment and services we provide for our customers.</w:t>
      </w:r>
    </w:p>
    <w:p>
      <w:pPr>
        <w:ind w:left="660" w:hanging="328"/>
        <w:spacing w:after="0" w:line="283" w:lineRule="auto"/>
        <w:tabs>
          <w:tab w:leader="none" w:pos="6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line includes bulk products in our Water Treatment and Industrial Solutions segments that we do not modify in any way, but receive, store, and ship from our facilities, or direct ship to our customers in large quantities.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We have designated this swap as a cash flow hedge and have determined that it qualifies for hedge accounting treatment. For so long as the hedge is effective, changes in fair value of the cash flow hedge are recorded in other comprehensive income or loss (net of tax) until income or loss from the cash flows of the hedged item is realized.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fiscal 2026 and 2025, we recorded $0.8 million and $ 1.4 million, respectively, in other comprehensive income related to unrealized losses, net of tax, on our cash flow hedge. For fiscal 2024, we recorded $0.2 million in other comprehensive income related to unrealized gains, net of tax, on our cash flow hedge. The carrying value of our cash flow hedge included in other long-term assets on our consolidated balance sheets was $1.3 million as of March 29, 2026 and $2.4 million as of March 30, 2025.</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While the current interest rate swap is in effect, we do not anticipate nonperformance by the counterparty.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values of cash equivalents, accounts receivable, accounts payable, and accrued expenses approximate fair value because of the short-term nature of these instruments. Because of the variable-rate nature of our debt under our credit facility, the carrying value of our debt also approximates fair value.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8"/>
          <w:szCs w:val="18"/>
          <w:color w:val="auto"/>
        </w:rPr>
        <w:t>Our financial assets that are re-measured and reported at fair value for each reporting period are an interest rate swap, marketable securities held in a deferred compensation retirement plan, and the earnout liabilities recorded in conjunction with the acquisitions of Water Solutions and WaterSurplus. The interest rate swap and assets held in a deferred compensation retirement plan are classified as other long-term assets on our balance sheets, with the portion of the deferred compensation retirement plan assets expected to be paid within twelve months classified as current assets. The Water Solutions earnout liability is classified as other current liabilities on our balance sheets. The WaterSurplus earnout liability is classified as a long-term liability on our balance sheets.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earnout liabilities recorded in conjunction with the acquisitions of Water Solutions and WaterSurplus are based upon achieving certain targets. The Water Solutions earnout is based on a target of adjusted earnings before interest, taxes, depreciation and amortization (EBITDA) in year three of the acquisition. The earnout liability was valued based upon a risk-neutral pricing analysis within a Monte Carlo simulation framework, which is a Level 3 input. The WaterSurplus earnout liability is based on a target of accumulated gross profit for the first five years of the acquisition. The earnout liability was discounted and recorded at the present value of the anticipated maximum payout amount, which is a Level 3 input. The earnout liabilities are adjusted to fair value at each reporting date until settled. Changes in fair value are included in selling, general and administrative expenses in our Condensed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and liabilities measured at fair value on a recurring basis as of March 29,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30,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Deferred compensation plan assets</w:t>
            </w:r>
          </w:p>
        </w:tc>
        <w:tc>
          <w:tcPr>
            <w:tcW w:w="2600" w:type="dxa"/>
            <w:vAlign w:val="bottom"/>
          </w:tcPr>
          <w:p>
            <w:pPr>
              <w:ind w:left="1560"/>
              <w:spacing w:after="0"/>
              <w:rPr>
                <w:sz w:val="20"/>
                <w:szCs w:val="20"/>
                <w:color w:val="auto"/>
              </w:rPr>
            </w:pPr>
            <w:r>
              <w:rPr>
                <w:rFonts w:ascii="Arial" w:cs="Arial" w:eastAsia="Arial" w:hAnsi="Arial"/>
                <w:sz w:val="18"/>
                <w:szCs w:val="18"/>
                <w:color w:val="auto"/>
              </w:rPr>
              <w:t>Level 1</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14,146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11,723</w:t>
            </w:r>
          </w:p>
        </w:tc>
      </w:tr>
      <w:tr>
        <w:trPr>
          <w:trHeight w:val="230"/>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w:t>
            </w:r>
          </w:p>
        </w:tc>
        <w:tc>
          <w:tcPr>
            <w:tcW w:w="26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Level 2</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WaterSurplus earnout liability</w:t>
            </w:r>
          </w:p>
        </w:tc>
        <w:tc>
          <w:tcPr>
            <w:tcW w:w="26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Level 3</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640" w:type="dxa"/>
            <w:vAlign w:val="bottom"/>
          </w:tcPr>
          <w:p>
            <w:pPr>
              <w:ind w:left="240"/>
              <w:spacing w:after="0"/>
              <w:rPr>
                <w:sz w:val="20"/>
                <w:szCs w:val="20"/>
                <w:color w:val="auto"/>
              </w:rPr>
            </w:pPr>
            <w:r>
              <w:rPr>
                <w:rFonts w:ascii="Arial" w:cs="Arial" w:eastAsia="Arial" w:hAnsi="Arial"/>
                <w:sz w:val="18"/>
                <w:szCs w:val="18"/>
                <w:color w:val="auto"/>
              </w:rPr>
              <w:t>Water Solutions earnout liability</w:t>
            </w:r>
          </w:p>
        </w:tc>
        <w:tc>
          <w:tcPr>
            <w:tcW w:w="2600" w:type="dxa"/>
            <w:vAlign w:val="bottom"/>
          </w:tcPr>
          <w:p>
            <w:pPr>
              <w:ind w:left="1560"/>
              <w:spacing w:after="0"/>
              <w:rPr>
                <w:sz w:val="20"/>
                <w:szCs w:val="20"/>
                <w:color w:val="auto"/>
              </w:rPr>
            </w:pPr>
            <w:r>
              <w:rPr>
                <w:rFonts w:ascii="Arial" w:cs="Arial" w:eastAsia="Arial" w:hAnsi="Arial"/>
                <w:sz w:val="18"/>
                <w:szCs w:val="18"/>
                <w:color w:val="auto"/>
              </w:rPr>
              <w:t>Level 3</w:t>
            </w: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12,604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earnout liability measured at fair value using Level 3 inputs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Earnout liability at March 30, 2025</w:t>
            </w:r>
          </w:p>
        </w:tc>
        <w:tc>
          <w:tcPr>
            <w:tcW w:w="2240" w:type="dxa"/>
            <w:vAlign w:val="bottom"/>
            <w:gridSpan w:val="3"/>
          </w:tcPr>
          <w:p>
            <w:pPr>
              <w:jc w:val="right"/>
              <w:ind w:right="95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 for acquisition of WaterSurplus</w:t>
            </w: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3</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Fair value adjustments to WaterSurplus earnout liability</w:t>
            </w:r>
          </w:p>
        </w:tc>
        <w:tc>
          <w:tcPr>
            <w:tcW w:w="2240" w:type="dxa"/>
            <w:vAlign w:val="bottom"/>
            <w:gridSpan w:val="3"/>
          </w:tcPr>
          <w:p>
            <w:pPr>
              <w:ind w:left="40"/>
              <w:spacing w:after="0"/>
              <w:rPr>
                <w:sz w:val="20"/>
                <w:szCs w:val="20"/>
                <w:color w:val="auto"/>
              </w:rPr>
            </w:pPr>
            <w:r>
              <w:rPr>
                <w:rFonts w:ascii="Arial" w:cs="Arial" w:eastAsia="Arial" w:hAnsi="Arial"/>
                <w:sz w:val="18"/>
                <w:szCs w:val="18"/>
                <w:color w:val="auto"/>
              </w:rPr>
              <w:t>Level 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adjustments to Water Solutions earnout liability</w:t>
            </w:r>
          </w:p>
        </w:tc>
        <w:tc>
          <w:tcPr>
            <w:tcW w:w="2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3</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Earnout liability at March 29, 2026</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49,427</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Note 6 — Inventories</w:t>
            </w: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62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00" w:type="dxa"/>
            <w:vAlign w:val="bottom"/>
          </w:tcPr>
          <w:p>
            <w:pPr>
              <w:spacing w:after="0"/>
              <w:rPr>
                <w:sz w:val="20"/>
                <w:szCs w:val="20"/>
                <w:color w:val="auto"/>
              </w:rPr>
            </w:pPr>
            <w:r>
              <w:rPr>
                <w:rFonts w:ascii="Arial" w:cs="Arial" w:eastAsia="Arial" w:hAnsi="Arial"/>
                <w:sz w:val="18"/>
                <w:szCs w:val="18"/>
                <w:color w:val="auto"/>
              </w:rPr>
              <w:t>Inventories at March 29, 2026 and March 30, 2025 consisted of the following:</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20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2026</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224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102,589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consolidated statements of income.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7 — Goodwill and Other Identifiable Intangible Assets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segment realignment, goodwill was reallocated to our new reporting units based on their relative fair values as of the realignment date. Prior period amounts have been recast to reflect our current segment reporting structure, which now reflects the reallocation of $1.2 million from the Industrial Solutions segment to the Food and Health Sciences segment. The reallocation related to the segment realignment had no impact on consolidated total goodwill.</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performed a quantitative goodwill impairment test for each reporting unit affected by the realignment. The fair value of each reporting unit exceeded its respective carrying amount, and therefore, no goodwill impairment was recorded.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for each of our three reportable segments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Water</w:t>
            </w:r>
          </w:p>
        </w:tc>
        <w:tc>
          <w:tcPr>
            <w:tcW w:w="220" w:type="dxa"/>
            <w:vAlign w:val="bottom"/>
          </w:tcPr>
          <w:p>
            <w:pPr>
              <w:spacing w:after="0"/>
              <w:rPr>
                <w:sz w:val="17"/>
                <w:szCs w:val="17"/>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Food and</w:t>
            </w:r>
          </w:p>
        </w:tc>
        <w:tc>
          <w:tcPr>
            <w:tcW w:w="220" w:type="dxa"/>
            <w:vAlign w:val="bottom"/>
          </w:tcPr>
          <w:p>
            <w:pPr>
              <w:spacing w:after="0"/>
              <w:rPr>
                <w:sz w:val="17"/>
                <w:szCs w:val="17"/>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Industrial</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Health</w:t>
            </w: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Treatment</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Sciences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Solutions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103,399</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Addition due to acquisitions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32,010</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Addition due to acquisitions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86,911</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722</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87,633</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29,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223,042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2024 the Company's goodwill balance included accumulated impairment losses of $39.1 million related to its Food and Health Sciences segment. No goodwill impairment charges were recognized during fiscal 2026 or fiscal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March 29, 2026 and March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020" w:type="dxa"/>
            <w:vAlign w:val="bottom"/>
          </w:tcPr>
          <w:p>
            <w:pPr>
              <w:spacing w:after="0"/>
              <w:rPr>
                <w:sz w:val="15"/>
                <w:szCs w:val="15"/>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Gross Amount</w:t>
            </w:r>
          </w:p>
        </w:tc>
        <w:tc>
          <w:tcPr>
            <w:tcW w:w="1440" w:type="dxa"/>
            <w:vAlign w:val="bottom"/>
            <w:gridSpan w:val="3"/>
          </w:tcPr>
          <w:p>
            <w:pPr>
              <w:jc w:val="center"/>
              <w:ind w:right="100"/>
              <w:spacing w:after="0" w:line="177"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22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w w:val="99"/>
              </w:rPr>
              <w:t>Net Carrying</w:t>
            </w:r>
          </w:p>
        </w:tc>
        <w:tc>
          <w:tcPr>
            <w:tcW w:w="0" w:type="dxa"/>
            <w:vAlign w:val="bottom"/>
          </w:tcPr>
          <w:p>
            <w:pPr>
              <w:spacing w:after="0"/>
              <w:rPr>
                <w:sz w:val="1"/>
                <w:szCs w:val="1"/>
                <w:color w:val="auto"/>
              </w:rPr>
            </w:pPr>
          </w:p>
        </w:tc>
      </w:tr>
      <w:tr>
        <w:trPr>
          <w:trHeight w:val="235"/>
        </w:trPr>
        <w:tc>
          <w:tcPr>
            <w:tcW w:w="7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283,654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(75,216)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208,438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232,887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Gross Amount</w:t>
            </w:r>
          </w:p>
        </w:tc>
        <w:tc>
          <w:tcPr>
            <w:tcW w:w="144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122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9"/>
              </w:rPr>
              <w:t>Net Carrying</w:t>
            </w:r>
          </w:p>
        </w:tc>
        <w:tc>
          <w:tcPr>
            <w:tcW w:w="0" w:type="dxa"/>
            <w:vAlign w:val="bottom"/>
          </w:tcPr>
          <w:p>
            <w:pPr>
              <w:spacing w:after="0"/>
              <w:rPr>
                <w:sz w:val="1"/>
                <w:szCs w:val="1"/>
                <w:color w:val="auto"/>
              </w:rPr>
            </w:pPr>
          </w:p>
        </w:tc>
      </w:tr>
      <w:tr>
        <w:trPr>
          <w:trHeight w:val="243"/>
        </w:trPr>
        <w:tc>
          <w:tcPr>
            <w:tcW w:w="7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198,364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(57,311)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141,053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148,894</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Intangible asset amortization expense was $21.3 million during fiscal 2026, $12.8 million during fiscal 2025, and $8.5 million during fiscal 2024.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9"/>
        </w:trPr>
        <w:tc>
          <w:tcPr>
            <w:tcW w:w="9940" w:type="dxa"/>
            <w:vAlign w:val="bottom"/>
          </w:tcPr>
          <w:p>
            <w:pPr>
              <w:spacing w:after="0"/>
              <w:rPr>
                <w:sz w:val="20"/>
                <w:szCs w:val="20"/>
                <w:color w:val="auto"/>
              </w:rPr>
            </w:pPr>
            <w:r>
              <w:rPr>
                <w:rFonts w:ascii="Arial" w:cs="Arial" w:eastAsia="Arial" w:hAnsi="Arial"/>
                <w:sz w:val="18"/>
                <w:szCs w:val="18"/>
                <w:color w:val="auto"/>
              </w:rPr>
              <w:t>The estimated future amortization expense for identifiable intangible assets is as follows: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7"/>
                <w:szCs w:val="17"/>
                <w:color w:val="auto"/>
              </w:rPr>
            </w:pPr>
          </w:p>
        </w:tc>
        <w:tc>
          <w:tcPr>
            <w:tcW w:w="1060" w:type="dxa"/>
            <w:vAlign w:val="bottom"/>
          </w:tcPr>
          <w:p>
            <w:pPr>
              <w:jc w:val="right"/>
              <w:ind w:right="90"/>
              <w:spacing w:after="0" w:line="199" w:lineRule="exact"/>
              <w:rPr>
                <w:sz w:val="20"/>
                <w:szCs w:val="20"/>
                <w:color w:val="auto"/>
              </w:rPr>
            </w:pPr>
            <w:r>
              <w:rPr>
                <w:rFonts w:ascii="Arial" w:cs="Arial" w:eastAsia="Arial" w:hAnsi="Arial"/>
                <w:sz w:val="18"/>
                <w:szCs w:val="18"/>
                <w:b w:val="1"/>
                <w:bCs w:val="1"/>
                <w:color w:val="auto"/>
              </w:rPr>
              <w:t>Intangible</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0" w:type="dxa"/>
            <w:vAlign w:val="bottom"/>
          </w:tcPr>
          <w:p>
            <w:pPr>
              <w:spacing w:after="0"/>
              <w:rPr>
                <w:sz w:val="1"/>
                <w:szCs w:val="1"/>
                <w:color w:val="auto"/>
              </w:rPr>
            </w:pPr>
          </w:p>
        </w:tc>
      </w:tr>
      <w:tr>
        <w:trPr>
          <w:trHeight w:val="229"/>
        </w:trPr>
        <w:tc>
          <w:tcPr>
            <w:tcW w:w="9940" w:type="dxa"/>
            <w:vAlign w:val="bottom"/>
          </w:tcPr>
          <w:p>
            <w:pPr>
              <w:ind w:left="20"/>
              <w:spacing w:after="0"/>
              <w:rPr>
                <w:sz w:val="20"/>
                <w:szCs w:val="20"/>
                <w:color w:val="auto"/>
              </w:rPr>
            </w:pPr>
            <w:r>
              <w:rPr>
                <w:rFonts w:ascii="Arial" w:cs="Arial" w:eastAsia="Arial" w:hAnsi="Arial"/>
                <w:sz w:val="18"/>
                <w:szCs w:val="18"/>
                <w:color w:val="auto"/>
              </w:rPr>
              <w:t>Fiscal 2028</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21,017</w:t>
            </w:r>
          </w:p>
        </w:tc>
        <w:tc>
          <w:tcPr>
            <w:tcW w:w="0" w:type="dxa"/>
            <w:vAlign w:val="bottom"/>
          </w:tcPr>
          <w:p>
            <w:pPr>
              <w:spacing w:after="0"/>
              <w:rPr>
                <w:sz w:val="1"/>
                <w:szCs w:val="1"/>
                <w:color w:val="auto"/>
              </w:rPr>
            </w:pPr>
          </w:p>
        </w:tc>
      </w:tr>
      <w:tr>
        <w:trPr>
          <w:trHeight w:val="23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2029</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20,994</w:t>
            </w:r>
          </w:p>
        </w:tc>
        <w:tc>
          <w:tcPr>
            <w:tcW w:w="0" w:type="dxa"/>
            <w:vAlign w:val="bottom"/>
          </w:tcPr>
          <w:p>
            <w:pPr>
              <w:spacing w:after="0"/>
              <w:rPr>
                <w:sz w:val="1"/>
                <w:szCs w:val="1"/>
                <w:color w:val="auto"/>
              </w:rPr>
            </w:pPr>
          </w:p>
        </w:tc>
      </w:tr>
      <w:tr>
        <w:trPr>
          <w:trHeight w:val="229"/>
        </w:trPr>
        <w:tc>
          <w:tcPr>
            <w:tcW w:w="9940" w:type="dxa"/>
            <w:vAlign w:val="bottom"/>
          </w:tcPr>
          <w:p>
            <w:pPr>
              <w:ind w:left="20"/>
              <w:spacing w:after="0"/>
              <w:rPr>
                <w:sz w:val="20"/>
                <w:szCs w:val="20"/>
                <w:color w:val="auto"/>
              </w:rPr>
            </w:pPr>
            <w:r>
              <w:rPr>
                <w:rFonts w:ascii="Arial" w:cs="Arial" w:eastAsia="Arial" w:hAnsi="Arial"/>
                <w:sz w:val="18"/>
                <w:szCs w:val="18"/>
                <w:color w:val="auto"/>
              </w:rPr>
              <w:t>Fiscal 2030</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20,973</w:t>
            </w:r>
          </w:p>
        </w:tc>
        <w:tc>
          <w:tcPr>
            <w:tcW w:w="0" w:type="dxa"/>
            <w:vAlign w:val="bottom"/>
          </w:tcPr>
          <w:p>
            <w:pPr>
              <w:spacing w:after="0"/>
              <w:rPr>
                <w:sz w:val="1"/>
                <w:szCs w:val="1"/>
                <w:color w:val="auto"/>
              </w:rPr>
            </w:pP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2031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w:t>
            </w:r>
          </w:p>
        </w:tc>
        <w:tc>
          <w:tcPr>
            <w:tcW w:w="0" w:type="dxa"/>
            <w:vAlign w:val="bottom"/>
          </w:tcPr>
          <w:p>
            <w:pPr>
              <w:spacing w:after="0"/>
              <w:rPr>
                <w:sz w:val="1"/>
                <w:szCs w:val="1"/>
                <w:color w:val="auto"/>
              </w:rPr>
            </w:pPr>
          </w:p>
        </w:tc>
      </w:tr>
      <w:tr>
        <w:trPr>
          <w:trHeight w:val="23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126,115</w:t>
            </w:r>
          </w:p>
        </w:tc>
        <w:tc>
          <w:tcPr>
            <w:tcW w:w="0" w:type="dxa"/>
            <w:vAlign w:val="bottom"/>
          </w:tcPr>
          <w:p>
            <w:pPr>
              <w:spacing w:after="0"/>
              <w:rPr>
                <w:sz w:val="1"/>
                <w:szCs w:val="1"/>
                <w:color w:val="auto"/>
              </w:rPr>
            </w:pP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231,660</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(and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related to qualified receivables transactions, as defined in the Credit Agreement. The Revolving Loan Facility includes a $10.0 million letter of credit subfacility and $ 25.0 million swingline subfacility. The Revolving Loan Facility is secured by substantially all of our personal property assets and those of our subsidiaries.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2026, we drew approximately $150 million of additional proceeds to acquire substantially all of the assets of WaterSurplus as discussed in Note 2. We may use other proceeds from the Revolving Loan Facility for working capital, capital expenditures, restricted payments and other acquisitions permitted under the Credit Agreement, and other general corporate purposes.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paid fees of approximately $1.0 million in fiscal 2026 associated with the April 2025 refinancing. The Revolving Loan Facility is scheduled to mature on April 25, 2030.</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the Revolving Loan Facility bear interest at a variable rate based on term SOFR plus a margin. We have an interest rate swap in place to manage the risk associated with a portion of our variable-rate debt. The notional amount of the swap agreement is $60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29, 2026, the effective interest rate on our borrowings was 4.4%. In addition to paying interest on the outstanding principal under the Revolving Loan Facility, we are required to pay a commitment fee on the unutilized portion of the facility. The commitment fee was between 0.15% and 0.25%, depending on our leverage ratio.</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existed or would exist as a result thereof. As of March 29, 2026, we were in compliance with all required covenants.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00" w:type="dxa"/>
            <w:vAlign w:val="bottom"/>
            <w:gridSpan w:val="3"/>
          </w:tcPr>
          <w:p>
            <w:pPr>
              <w:spacing w:after="0"/>
              <w:rPr>
                <w:sz w:val="20"/>
                <w:szCs w:val="20"/>
                <w:color w:val="auto"/>
              </w:rPr>
            </w:pPr>
            <w:r>
              <w:rPr>
                <w:rFonts w:ascii="Arial" w:cs="Arial" w:eastAsia="Arial" w:hAnsi="Arial"/>
                <w:sz w:val="18"/>
                <w:szCs w:val="18"/>
                <w:color w:val="auto"/>
              </w:rPr>
              <w:t>Debt at March 29, 2026 and March 30, 2025 consisted of the following:</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 Facility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2027</w:t>
            </w:r>
          </w:p>
        </w:tc>
        <w:tc>
          <w:tcPr>
            <w:tcW w:w="14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2028</w:t>
            </w:r>
          </w:p>
        </w:tc>
        <w:tc>
          <w:tcPr>
            <w:tcW w:w="14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2029</w:t>
            </w: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Arial" w:cs="Arial" w:eastAsia="Arial" w:hAnsi="Arial"/>
                <w:sz w:val="18"/>
                <w:szCs w:val="18"/>
                <w:b w:val="1"/>
                <w:bCs w:val="1"/>
                <w:color w:val="auto"/>
              </w:rPr>
              <w:t>Thereafter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Maturities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This performance-based arrangement provides for the grant of performance-based restricted stock units under our 2019 Equity Incentive Plan (the "2019 Plan") that represent a possible future issuance of restricted shares of our common shares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58,353 shares in the aggregate for fiscal 2026. The restricted shares issued, if any, will fully vest two years after the end of the fiscal year on which the performance is based. We record the compensation expense for the outstanding performance share units and then-converted restricted stock over the life of the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r>
              <w:rPr>
                <w:rFonts w:ascii="Arial" w:cs="Arial" w:eastAsia="Arial" w:hAnsi="Arial"/>
                <w:sz w:val="18"/>
                <w:szCs w:val="18"/>
                <w:color w:val="auto"/>
              </w:rPr>
              <w:t>The following table represents the restricted stock activity for fiscal 2024, 2025, and 2026:</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10"/>
              <w:spacing w:after="0" w:line="199" w:lineRule="exact"/>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76"/>
        </w:trPr>
        <w:tc>
          <w:tcPr>
            <w:tcW w:w="7780" w:type="dxa"/>
            <w:vAlign w:val="bottom"/>
          </w:tcPr>
          <w:p>
            <w:pPr>
              <w:spacing w:after="0"/>
              <w:rPr>
                <w:sz w:val="15"/>
                <w:szCs w:val="15"/>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5"/>
                <w:szCs w:val="15"/>
                <w:color w:val="auto"/>
              </w:rPr>
            </w:pPr>
          </w:p>
        </w:tc>
        <w:tc>
          <w:tcPr>
            <w:tcW w:w="196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Average Grant</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61,819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Outstanding at end of fiscal 2024</w:t>
            </w:r>
          </w:p>
        </w:tc>
        <w:tc>
          <w:tcPr>
            <w:tcW w:w="1100" w:type="dxa"/>
            <w:vAlign w:val="bottom"/>
          </w:tcPr>
          <w:p>
            <w:pPr>
              <w:jc w:val="right"/>
              <w:spacing w:after="0"/>
              <w:rPr>
                <w:sz w:val="20"/>
                <w:szCs w:val="20"/>
                <w:color w:val="auto"/>
              </w:rPr>
            </w:pPr>
            <w:r>
              <w:rPr>
                <w:rFonts w:ascii="Arial" w:cs="Arial" w:eastAsia="Arial" w:hAnsi="Arial"/>
                <w:sz w:val="18"/>
                <w:szCs w:val="18"/>
                <w:color w:val="auto"/>
              </w:rPr>
              <w:t>145,477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61,418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Outstanding at end of fiscal 2026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recorded compensation expense on performance-based restricted stock of approximately $6.6 million for fiscal 2026, $5.0 million for fiscal 2025 and $ 3.7 million for fiscal 2024, substantially all of which was recorded in SG&amp;A expense in the Consolidated Statements of Income. The total fair value of performance-based restricted stock units vested was $2.7 million in fiscal 2026, $3.2 million in fiscal 2025 and $3.4 million in fiscal 2024.</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then-current common share price. Upon issuance of restricted stock, we record compensation expense over the remaining vesting period using the award date closing price. Unrecognized compensation expense related to non-vested restricted stock and non-vested restricted share units as of March 29, 2026 was $6.4 million and is expected to be recognized over a weighted average period of 1.0 year.</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As part of their retainer, our directors, other than the Chief Executive Officer, receive restricted stock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services. The restricted stock awards are under our 2019 Plan and are expensed over a one-year vesting period, based on the market value on the date of grant.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twelve months ended March 29, 2026, certain employees from the WaterSurplus acquisition received restricted stock awards under the 2019 Plan, primarily to incentivize their continued service. The restricted stock awards will be expensed over a three-year vesting period, based on the market value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9"/>
        </w:trPr>
        <w:tc>
          <w:tcPr>
            <w:tcW w:w="8100" w:type="dxa"/>
            <w:vAlign w:val="bottom"/>
          </w:tcPr>
          <w:p>
            <w:pPr>
              <w:spacing w:after="0"/>
              <w:rPr>
                <w:sz w:val="20"/>
                <w:szCs w:val="20"/>
                <w:color w:val="auto"/>
              </w:rPr>
            </w:pPr>
            <w:r>
              <w:rPr>
                <w:rFonts w:ascii="Arial" w:cs="Arial" w:eastAsia="Arial" w:hAnsi="Arial"/>
                <w:sz w:val="18"/>
                <w:szCs w:val="18"/>
                <w:color w:val="auto"/>
              </w:rPr>
              <w:t>The following table represents the restricted stock activity for fiscal 2024, 2025, and 2026:</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5"/>
                <w:szCs w:val="15"/>
                <w:color w:val="auto"/>
              </w:rPr>
            </w:pPr>
          </w:p>
        </w:tc>
        <w:tc>
          <w:tcPr>
            <w:tcW w:w="17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8"/>
              </w:rPr>
              <w:t>Average Grant</w:t>
            </w: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Outstanding at end of fiscal 2024</w:t>
            </w:r>
          </w:p>
        </w:tc>
        <w:tc>
          <w:tcPr>
            <w:tcW w:w="1040" w:type="dxa"/>
            <w:vAlign w:val="bottom"/>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13,109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Outstanding at end of fiscal 2026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Annual expense related to the value of restricted stock was $1.0 million in fiscal 2026, $0.6 million in fiscal 2025, and $0.5 million in fiscal 2024, and was recorded in SG&amp;A expense in the Consolidated Statements of Income. Unrecognized compensation expense related to non-vested restricted stock awards as of March 29, 2026 was $1.2 million and is expected to be recognized over a weighted average period of 1.6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authorized the repurchase of up to 2,600,000 shares of our outstanding common shares. The shares may be repurchased on the open market or in privately negotiated transactions subject to applicable securities laws and regulations. Upon repurchase of the shares, we reduce our common shares for the par value of the shares, with the excess applied against additional paid-in capital. No shares were repurchased during fiscal 2026. We repurchased 205,943 common shares at an aggregate purchase price of $20.7 million during fiscal 2025. We repurchased 191,861 common shares at an aggregate purchase price of $11.3 million during fiscal 2024. As of March 29, 2026, 731,544 shares remained available to be purchased under the share repurchase program.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Retirement Plans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Company Sponsored Plans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majority of our non-bargaining unit employees are eligible to participate in a company-sponsored profit-sharing plan. Contributions are made at our discretion subject to a maximum amount allowed under the Internal Revenue Code (“IRC”). The profit sharing plan contribution level for each employee depends upon date of hire, and was 2.5% or 5.0% of each employee’s eligible compensation for fiscal 2026, 2025 and 2024. We also have in place a retirement plan covering our collective bargaining unit employees. The retirement plan provides for a contribution of 2.5% or 5.0% of each employee’s eligible annual wages depending on their hire date. In addition to the employer contributions described above, both the profit-sharing plan and the retirement plan include a 401(k) plan that allows employees to contribute pre-tax earnings up to the maximum amount allowed under the IRC, with an employer match of up to 5% of the employee’s eligible compensation.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two employee stock ownership plans (“ESOPs”), one covering the majority of our non-bargaining unit employees and the other covering our collective bargaining unit employees. Contributions to the plan covering our non-bargaining unit employees are made at our discretion. Contributions to both plans are subject to a maximum amount allowed under the IRC, and were 2.5% or 5.0% of each employee’s eligible wages, depending on each eligible employee’s hire date, for fiscal 2026, 2025 and 2024.</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profit-sharing plan contribution or the ESOP contributions described above for that plan year. Our contribution to the nonqualified deferred compensation plan for fiscal 2026, 2025, and 2024 was 10% of each employee’s eligible compensation, subject to the maximum amount allowed under the IRC.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shares at a discount from market. The number of new shares issued under the ESPP was 27,554 in fiscal 2026, 40,045 in fiscal 2025 and 61,981 in fiscal 2024.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contribution expense for these company-sponsored plans for fiscal 2026,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Non-bargaining unit employee plans: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Profit sharing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401(k) matching contributions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19"/>
                <w:szCs w:val="19"/>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ESOP</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Nonqualified deferred compensation plan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Bargaining unit employee plans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ESPP - all employees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contribution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100" w:type="dxa"/>
            <w:vAlign w:val="bottom"/>
          </w:tcPr>
          <w:p>
            <w:pPr>
              <w:spacing w:after="0"/>
              <w:rPr>
                <w:sz w:val="19"/>
                <w:szCs w:val="19"/>
                <w:color w:val="auto"/>
              </w:rPr>
            </w:pPr>
          </w:p>
        </w:tc>
      </w:tr>
      <w:tr>
        <w:trPr>
          <w:trHeight w:val="21"/>
        </w:trPr>
        <w:tc>
          <w:tcPr>
            <w:tcW w:w="5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2013, we withdrew from a collectively bargained multi-employer pension plan and recorded a liability for our share of the unfunded vested benefits. Payments of approximately $0.5 million per year are being made through 2034.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As of March 29, 2026, there were no material pending legal proceedings, other than ordinary routine litigation incidental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to which we or any of our subsidiaries are a party or of which any of our property is the subject. Legal fees associated with such matters are expensed as incurred.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In fiscal 2024, we recorded a liability of $7.7 million related to estimated remediation expenses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perchlorinated biphenyls ("PCBs") discovered in the soil at our Rosemount, Minnesota facility during an expansion project. This charge was recorded as an operating expense within cost of sales in our Consolidated Statements of Income. We acquired the property, which had prior heavy industrial use, in fiscal 2012. While the source of the PCBs is unknown, we have never brought PCBs onto the property or used PCBs on the site. The remediation liability is not discounted as management expects to incur these expenses within the next twelve months. Given the many uncertainties involved in assessing environmental matters, actual remediation costs could differ from our estimates. While additional remediation expenses are reasonably possible to be incurred in future periods if new information or conditions are identified, we are unable to reasonably estimate the amount or range of any such additional costs at this time. No expenses were charged against this liability during fiscal 2026 and fiscal 2025.</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We have three leases of land that contain terms that state that at the end of the lease term, we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amount of time to remove the property and buildings. Including available lease extensions, these leases expire in 2029, 2033 and 2044.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certain of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29, 2026. We will continue to monitor the factors surrounding the requirement to record an asset retirement obligation and will recognize the fair value of a liability in the period in which it is incurred and a reasonable estimate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13 — Income Taxes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income tax information presented reflects the prospective adoption of ASU 2023-07. The adoption affected the disclosure requirement only and did not result in any changes to income tax balances or amounts for periods prior to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 are not material, and therefore our income tax provision consists primarily of U.S. federal and state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2026, 2025 and 2024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current</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 current</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24,729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deferred</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 deferred</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23"/>
        </w:trPr>
        <w:tc>
          <w:tcPr>
            <w:tcW w:w="5720" w:type="dxa"/>
            <w:vAlign w:val="bottom"/>
          </w:tcPr>
          <w:p>
            <w:pPr>
              <w:ind w:left="460"/>
              <w:spacing w:after="0"/>
              <w:rPr>
                <w:sz w:val="20"/>
                <w:szCs w:val="20"/>
                <w:color w:val="auto"/>
              </w:rPr>
            </w:pPr>
            <w:r>
              <w:rPr>
                <w:rFonts w:ascii="Arial" w:cs="Arial" w:eastAsia="Arial" w:hAnsi="Arial"/>
                <w:sz w:val="18"/>
                <w:szCs w:val="18"/>
                <w:color w:val="auto"/>
              </w:rPr>
              <w:t>Total provision</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27,792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Reconciliations of the provisions for income taxes to the applicable federal statutory income tax rate for fiscal 2026, 2025 and 2024 are listed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1340" w:type="dxa"/>
            <w:vAlign w:val="bottom"/>
            <w:tcBorders>
              <w:bottom w:val="single" w:sz="8" w:color="auto"/>
            </w:tcBorders>
          </w:tcPr>
          <w:p>
            <w:pPr>
              <w:spacing w:after="0"/>
              <w:rPr>
                <w:sz w:val="20"/>
                <w:szCs w:val="20"/>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Percentage</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Statutory federal income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22,961</w:t>
            </w:r>
          </w:p>
        </w:tc>
        <w:tc>
          <w:tcPr>
            <w:tcW w:w="13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deduction (1)</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5,140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Nontaxable or nondeductible items</w:t>
            </w:r>
          </w:p>
        </w:tc>
        <w:tc>
          <w:tcPr>
            <w:tcW w:w="260" w:type="dxa"/>
            <w:vAlign w:val="bottom"/>
          </w:tcPr>
          <w:p>
            <w:pPr>
              <w:spacing w:after="0"/>
              <w:rPr>
                <w:sz w:val="19"/>
                <w:szCs w:val="19"/>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827</w:t>
            </w:r>
          </w:p>
        </w:tc>
        <w:tc>
          <w:tcPr>
            <w:tcW w:w="134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 net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(1,136)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27,792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25.4 %</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right="520" w:firstLine="8"/>
        <w:spacing w:after="0" w:line="287"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states that, in the aggregate, accounted for over 50 percent of the effect of the state and local income taxes shown above were Illinois, Minnesota, Wisconsin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80" w:type="dxa"/>
            <w:vAlign w:val="bottom"/>
            <w:gridSpan w:val="2"/>
          </w:tcPr>
          <w:p>
            <w:pPr>
              <w:ind w:left="8460"/>
              <w:spacing w:after="0"/>
              <w:rPr>
                <w:sz w:val="20"/>
                <w:szCs w:val="20"/>
                <w:color w:val="auto"/>
              </w:rPr>
            </w:pPr>
            <w:r>
              <w:rPr>
                <w:rFonts w:ascii="Arial" w:cs="Arial" w:eastAsia="Arial" w:hAnsi="Arial"/>
                <w:sz w:val="18"/>
                <w:szCs w:val="18"/>
                <w:b w:val="1"/>
                <w:bCs w:val="1"/>
                <w:color w:val="auto"/>
                <w:w w:val="99"/>
              </w:rPr>
              <w:t>2025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w:t>
            </w:r>
          </w:p>
        </w:tc>
        <w:tc>
          <w:tcPr>
            <w:tcW w:w="10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deduction</w:t>
            </w:r>
          </w:p>
        </w:tc>
        <w:tc>
          <w:tcPr>
            <w:tcW w:w="60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 net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26.3 %</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25.5 %</w:t>
            </w: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0"/>
        </w:trPr>
        <w:tc>
          <w:tcPr>
            <w:tcW w:w="888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 consisted of the following:</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3"/>
        </w:trPr>
        <w:tc>
          <w:tcPr>
            <w:tcW w:w="888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2026</w:t>
            </w:r>
          </w:p>
        </w:tc>
      </w:tr>
      <w:tr>
        <w:trPr>
          <w:trHeight w:val="230"/>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State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Minnesota</w:t>
            </w: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30"/>
        </w:trPr>
        <w:tc>
          <w:tcPr>
            <w:tcW w:w="88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States</w:t>
            </w: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r>
      <w:tr>
        <w:trPr>
          <w:trHeight w:val="248"/>
        </w:trPr>
        <w:tc>
          <w:tcPr>
            <w:tcW w:w="8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tax effects of items comprising our net deferred tax liability as of March 29, 2026 and March 30, 2025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accruals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Pension withdrawal liability</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of tax over book depreciation</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ROU asset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on interest rate swap</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deferred tax liabilities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(25,110)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29, 2026, the Company has determined that it is more likely than not that the deferred tax assets at March 29, 2026 will be realized either through future taxable income or reversals of taxable temporary differences.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July 4, 2025, the </w:t>
      </w:r>
      <w:r>
        <w:rPr>
          <w:rFonts w:ascii="Arial" w:cs="Arial" w:eastAsia="Arial" w:hAnsi="Arial"/>
          <w:sz w:val="18"/>
          <w:szCs w:val="18"/>
          <w:b w:val="1"/>
          <w:bCs w:val="1"/>
          <w:color w:val="auto"/>
        </w:rPr>
        <w:t>One Big Beautiful Bill Act (the “OBBBA”)</w:t>
      </w:r>
      <w:r>
        <w:rPr>
          <w:rFonts w:ascii="Arial" w:cs="Arial" w:eastAsia="Arial" w:hAnsi="Arial"/>
          <w:sz w:val="18"/>
          <w:szCs w:val="18"/>
          <w:color w:val="auto"/>
        </w:rPr>
        <w:t xml:space="preserve"> was enacted into law, introducing significant amendments to U.S. tax legislation with varying effective dates. Key provision that impacts us is the expansion of bonus depreciation. We have incorporated these amendments into our fiscal 2026 tax provision, as applicable, and there was no material impact to our income tax expense or effective tax rate. We continue to evaluate the legislation.</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2, 2023 are closed to examination by the Internal Revenue Service, and with few exceptions, state and local income tax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March 29, 2026,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lease terms of 1 year to 19 years, some of which include options to extend the lease for up to 10 years.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29, 2026 and March 30, 2025, our operating lease components with initial or remaining terms in excess of one year were classified on the consolidated balance sheet within right-of-use assets, short-term lease liabilities and long-term lease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Cash paid for leases was $3.8 million for the twelve months ended March 29, 2026 .</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lease expense was $5.2 million for the twelve months ended March 29, 2026, $4.6 million for the twelve months ended March 30, 2025, and $4.0 million for the twelve months ended March 31, 2024, and includes leases less than 12 months in duration.</w:t>
      </w:r>
    </w:p>
    <w:p>
      <w:pPr>
        <w:spacing w:after="0" w:line="180"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Operating lease right-of-use assets of $6.9 million were recognized during the twelve months ended March 29, 2026, in exchange for lease liabilities. These non</w:t>
      </w:r>
      <w:r>
        <w:rPr>
          <w:rFonts w:ascii="MS PGothic" w:cs="MS PGothic" w:eastAsia="MS PGothic" w:hAnsi="MS PGothic"/>
          <w:sz w:val="18"/>
          <w:szCs w:val="18"/>
          <w:color w:val="auto"/>
        </w:rPr>
        <w:t>‑</w:t>
      </w:r>
      <w:r>
        <w:rPr>
          <w:rFonts w:ascii="Arial" w:cs="Arial" w:eastAsia="Arial" w:hAnsi="Arial"/>
          <w:sz w:val="18"/>
          <w:szCs w:val="18"/>
          <w:color w:val="auto"/>
        </w:rPr>
        <w:t>cash transactions are excluded from the statements of cash flows.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9"/>
        </w:trPr>
        <w:tc>
          <w:tcPr>
            <w:tcW w:w="7060" w:type="dxa"/>
            <w:vAlign w:val="bottom"/>
          </w:tcPr>
          <w:p>
            <w:pPr>
              <w:spacing w:after="0"/>
              <w:rPr>
                <w:sz w:val="20"/>
                <w:szCs w:val="20"/>
                <w:color w:val="auto"/>
              </w:rPr>
            </w:pPr>
            <w:r>
              <w:rPr>
                <w:rFonts w:ascii="Arial" w:cs="Arial" w:eastAsia="Arial" w:hAnsi="Arial"/>
                <w:sz w:val="18"/>
                <w:szCs w:val="18"/>
                <w:color w:val="auto"/>
              </w:rPr>
              <w:t>Other information related to our operating leases was as follows: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060" w:type="dxa"/>
            <w:vAlign w:val="bottom"/>
          </w:tcPr>
          <w:p>
            <w:pPr>
              <w:spacing w:after="0"/>
              <w:rPr>
                <w:sz w:val="21"/>
                <w:szCs w:val="21"/>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March 29, 2026</w:t>
            </w:r>
          </w:p>
        </w:tc>
        <w:tc>
          <w:tcPr>
            <w:tcW w:w="20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March 30, 2025</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20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544"/>
        </w:trPr>
        <w:tc>
          <w:tcPr>
            <w:tcW w:w="7060" w:type="dxa"/>
            <w:vAlign w:val="bottom"/>
          </w:tcPr>
          <w:p>
            <w:pPr>
              <w:spacing w:after="0"/>
              <w:rPr>
                <w:sz w:val="20"/>
                <w:szCs w:val="20"/>
                <w:color w:val="auto"/>
              </w:rPr>
            </w:pPr>
            <w:r>
              <w:rPr>
                <w:rFonts w:ascii="Arial" w:cs="Arial" w:eastAsia="Arial" w:hAnsi="Arial"/>
                <w:sz w:val="18"/>
                <w:szCs w:val="18"/>
                <w:color w:val="auto"/>
              </w:rPr>
              <w:t>Maturities of lease liabilities as of March 29, 2026 were as follows: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35"/>
        </w:trPr>
        <w:tc>
          <w:tcPr>
            <w:tcW w:w="706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2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Fiscal 2028</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2029</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Fiscal 2030</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2031</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beginning with the first fiscal quarter of fiscal 2026, we realigned our reporting segments to reflect organizational changes made and to reflect the way we manage our operations and allocate resources. We believe this realignment better reflects the value our company provides to our customers and our evolution from a bulk commodity distributor into a specialty ingredients company. Segment information for fiscal 2025 and fiscal 2024 has been recast to reflect the Company's current reportable segments after realignment. We organize and manage our business by the following three segments, which meet the definition of reportable segments under ASC 280-10, Segment Reporting: Water Treatment, Food and Health Sciences, and Industrial Solutions. These segments are defined primarily by product and type of customer.</w:t>
      </w:r>
    </w:p>
    <w:p>
      <w:pPr>
        <w:spacing w:after="0" w:line="345" w:lineRule="exact"/>
        <w:rPr>
          <w:sz w:val="20"/>
          <w:szCs w:val="20"/>
          <w:color w:val="auto"/>
        </w:rPr>
      </w:pPr>
    </w:p>
    <w:p>
      <w:pPr>
        <w:jc w:val="both"/>
        <w:ind w:left="660" w:hanging="328"/>
        <w:spacing w:after="0" w:line="262" w:lineRule="auto"/>
        <w:tabs>
          <w:tab w:leader="none" w:pos="62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filtration media and systems,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solutions for potable water, municipal and industrial wastewater, industrial process water, mainly non-residential swimming pool water and agricultural water. This group has the resources and flexibility to treat systems ranging in size from a single small well to a multi-million-gallon-per-day facility.</w:t>
      </w:r>
    </w:p>
    <w:p>
      <w:pPr>
        <w:spacing w:after="0" w:line="108" w:lineRule="exact"/>
        <w:rPr>
          <w:rFonts w:ascii="Arial" w:cs="Arial" w:eastAsia="Arial" w:hAnsi="Arial"/>
          <w:sz w:val="18"/>
          <w:szCs w:val="18"/>
          <w:i w:val="1"/>
          <w:iCs w:val="1"/>
          <w:color w:val="auto"/>
        </w:rPr>
      </w:pPr>
    </w:p>
    <w:p>
      <w:pPr>
        <w:jc w:val="both"/>
        <w:ind w:left="660" w:hanging="328"/>
        <w:spacing w:after="0" w:line="262"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Our Food and Health Sciences Group specializes in processing and formulation solutions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ingredient distribution to manufacturers in the nutrition, food, pharmaceutical, and agricultural markets. This group offers a diverse product portfolio including base chemistry, acid based reactions, minerals, vitamins and amino acids, excipients, botanicals and herbs, sweeteners and enzymes, fertilizers, and food-grade and pharmaceutical salts and ingredients.</w:t>
      </w:r>
    </w:p>
    <w:p>
      <w:pPr>
        <w:spacing w:after="0" w:line="108" w:lineRule="exact"/>
        <w:rPr>
          <w:rFonts w:ascii="Arial" w:cs="Arial" w:eastAsia="Arial" w:hAnsi="Arial"/>
          <w:sz w:val="18"/>
          <w:szCs w:val="18"/>
          <w:color w:val="auto"/>
        </w:rPr>
      </w:pPr>
    </w:p>
    <w:p>
      <w:pPr>
        <w:jc w:val="both"/>
        <w:ind w:left="660" w:hanging="328"/>
        <w:spacing w:after="0" w:line="255"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Our Industrial Solutions Group specializes in providing industrial chemicals, products 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such as industrial manufacturing, chemical processing, electronics, energy, plating, and surface finishing. This group’s principal products are acids and alkalis. This segment receives, stores and distributes various chemicals in bulk quantities, including liquid caustic soda, sulfuric acid, hydrochloric acid, urea, phosphoric acid, aqua ammonia and potassium hydroxide. They perform customer blending of chemicals according to customer formulas and specifications and repackage bulk industrial chemicals to sell in smaller quantities to our customers. The Industrial Solutions group relies on a specially trained sales staff that works directly with customer on their specific needs. This segment conducts its business primarily through manufacturing locations and terminal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Our chief operating decision-maker (CODM), who is our President and Chief Executive Officer, regularly reviews the consolidated financial statements in their entirety and financial information at the reportable segment level. The CODM uses segment operating income and considers budget-to-actual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costs and expenses for each segment are based on actual costs incurred along with cost allocations of shared and centralized functions. Raw materials are transferred between segments at material cost, capitalized freight, and capitalized internal production and warehousing costs, with the offset settled in a balance sheet clearing account. Capitalized freight and capitalized internal production and warehousing costs are calculated and applied to inventory on an item level basis using per unit estimates that are based on historical costs or a time and effort measures as appropriate. We do not record intersegment sales, and no operating segments have been aggregated.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fiscal 2026, 2025 and 2024, none of our customers accounted for 10% or more of our total sales.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Substantially all of the Company's revenue is derived from customers located in the United States and all of the Company's long-lived assets are located within the United States.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Summarized financial information for the Company’s reportable segments is presented and reconciled to consolidated financial statements in the following tables: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Water</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8"/>
              </w:rPr>
              <w:t>Food and</w:t>
            </w:r>
          </w:p>
        </w:tc>
        <w:tc>
          <w:tcPr>
            <w:tcW w:w="2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Industrial</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18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300"/>
              <w:spacing w:after="0" w:line="176" w:lineRule="exact"/>
              <w:rPr>
                <w:sz w:val="20"/>
                <w:szCs w:val="20"/>
                <w:color w:val="auto"/>
              </w:rPr>
            </w:pPr>
            <w:r>
              <w:rPr>
                <w:rFonts w:ascii="Arial" w:cs="Arial" w:eastAsia="Arial" w:hAnsi="Arial"/>
                <w:sz w:val="18"/>
                <w:szCs w:val="18"/>
                <w:b w:val="1"/>
                <w:bCs w:val="1"/>
                <w:color w:val="auto"/>
              </w:rPr>
              <w:t>Health</w:t>
            </w:r>
          </w:p>
        </w:tc>
        <w:tc>
          <w:tcPr>
            <w:tcW w:w="2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8"/>
              </w:rPr>
              <w:t>Treatment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9"/>
              </w:rPr>
              <w:t>Sciences</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Solutions</w:t>
            </w: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29, 2026: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543,303</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320,700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219,693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1,083,696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327,821 )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233,960 )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70,529 )</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19,408 )</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12,508 )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76,865 )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13,916 )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68,088</w:t>
            </w: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34,351</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18,854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121,293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(27,792)</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81,548</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assets*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561,554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957,020</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29,790</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14,959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58,239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Fiscal Year Ended March 30, 2025:</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322,560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205,382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974,431</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259,722 )</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231,621 )</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160,199 )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62,287 )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13,357 )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18,430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119,174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356,994</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252,088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130,490</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739,572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w:t>
            </w:r>
          </w:p>
        </w:tc>
        <w:tc>
          <w:tcPr>
            <w:tcW w:w="0" w:type="dxa"/>
            <w:vAlign w:val="bottom"/>
          </w:tcPr>
          <w:p>
            <w:pPr>
              <w:spacing w:after="0"/>
              <w:rPr>
                <w:sz w:val="1"/>
                <w:szCs w:val="1"/>
                <w:color w:val="auto"/>
              </w:rPr>
            </w:pPr>
          </w:p>
        </w:tc>
      </w:tr>
      <w:tr>
        <w:trPr>
          <w:trHeight w:val="239"/>
        </w:trPr>
        <w:tc>
          <w:tcPr>
            <w:tcW w:w="51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18,953</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8,485</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5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Water</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8"/>
              </w:rPr>
              <w:t>Food and</w:t>
            </w:r>
          </w:p>
        </w:tc>
        <w:tc>
          <w:tcPr>
            <w:tcW w:w="2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rPr>
              <w:t>Industrial</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18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Health</w:t>
            </w:r>
          </w:p>
        </w:tc>
        <w:tc>
          <w:tcPr>
            <w:tcW w:w="20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8"/>
              </w:rPr>
              <w:t>Treatment</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9"/>
              </w:rPr>
              <w:t>Sciences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Solutions</w:t>
            </w: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March 31, 2024:</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363,289</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334,560</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221,313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919,162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214,020 )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50,218 )</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21,471 )</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18,283 )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46,165 )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52,886</w:t>
            </w: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38,652</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104,036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assets*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257,898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629,689</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14,975</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40,151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80" w:firstLine="8"/>
        <w:spacing w:after="0" w:line="304" w:lineRule="auto"/>
        <w:tabs>
          <w:tab w:leader="none" w:pos="1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Unallocated assets not included, consisting primarily of cash and cash equivalents, prepaid expenses, and non-qualified deferred compensation plan assets of $29.3 million at March 29, 2026, $30.3 million at March 30, 2025 and $28.2 million at March 31, 2024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Revision of Previously Issued Financial Statements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preparation of our consolidated financial statements for the year ended March 29, 2026, we identified an immaterial error related to the classification of a portion of the Company's long-term debt in the prior period. Based upon evaluation of both quantitative and qualitative factors, we concluded the error to be immaterial to previously reported financial statements, however we revised the previously issued consolidated balance sheet to correct these errors. Certain amounts previously classified as current maturities of long-term debt were reclassified to long-term debt and an immaterial amount of debt issuance costs were reclassified to noncurrent assets in the accompanying consolidated balance sheet.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of the reclassification on our consolidated balance sheet: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As Previously</w:t>
            </w:r>
          </w:p>
        </w:tc>
        <w:tc>
          <w:tcPr>
            <w:tcW w:w="300" w:type="dxa"/>
            <w:vAlign w:val="bottom"/>
          </w:tcPr>
          <w:p>
            <w:pPr>
              <w:spacing w:after="0"/>
              <w:rPr>
                <w:sz w:val="18"/>
                <w:szCs w:val="18"/>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Adjustment</w:t>
            </w:r>
          </w:p>
        </w:tc>
        <w:tc>
          <w:tcPr>
            <w:tcW w:w="300" w:type="dxa"/>
            <w:vAlign w:val="bottom"/>
          </w:tcPr>
          <w:p>
            <w:pPr>
              <w:spacing w:after="0"/>
              <w:rPr>
                <w:sz w:val="18"/>
                <w:szCs w:val="18"/>
                <w:color w:val="auto"/>
              </w:rPr>
            </w:pPr>
          </w:p>
        </w:tc>
        <w:tc>
          <w:tcPr>
            <w:tcW w:w="16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Reported</w:t>
            </w:r>
          </w:p>
        </w:tc>
        <w:tc>
          <w:tcPr>
            <w:tcW w:w="30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30, 2025</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Other Assets -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80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138,906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10,094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Reclassifications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consolidated balance sheet as of March 30, 2025, other current liabilities of $8.7 million were further disaggregated to conform to current year presentation. These reclassifications had no impact on previously reported net income, total assets, total liabilities, or shareholders' equity, nor on net cash provided by (used in) operating, investing, or financing activities.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9" w:name="page60"/>
    <w:bookmarkEnd w:id="59"/>
    <w:p>
      <w:pPr>
        <w:ind w:right="1140"/>
        <w:spacing w:after="0" w:line="41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29, 2026, based on the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making this assessment as of March 29, 2026, we have excluded the water treatment operations acquired from WaterSurplus in April 2025. WaterSurplus' total assets, excluding goodwill and intangible assets - net, and net sales, represented 2.9% and 3.2% of our consolidated total assets and consolidated net sales, respectively, as of and for the year ended March 29, 2026. We have excluded that business because we have not had sufficient time to make an assessment of its internal control over financial reporting using the COSO criteria in accordance with Section 404 of the Sarbanes-Oxley Act of 2002. In excluding the business from our assessment, we have considered the “Frequently Asked Questions” as set forth by the office of the Chief Accountant and the Division of Corporate Finance on June 24, 2004, as revised on September 24, 2007, which acknowledges that it may not be possible to conduct an assessment of an acquired business’s internal control over financial reporting in the period between the consummation date and the date of management’s assessment and contemplates that such business would be excluded from management’s assessment in the year of acquisition. Based on this assessment, management believes that our internal control over financial reporting was effective as of March 29, 2026.</w:t>
      </w:r>
    </w:p>
    <w:p>
      <w:pPr>
        <w:spacing w:after="0" w:line="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29, 2026, which is included in the Report of Independent Registered Public Accounting Firm in Item 8 of this Annual Report on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2026 that has materially affected, or is reasonably likely to materially affect, our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None of the Company’s directors or officers (as defined in Rule 16a-1(f) of the Exchange Act) adopted, modified or terminated any contract, instruction, or written plan for the purchase or sale of the Company’s securities that was intended to satisfy the affirmative defense conditions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of Rule 10b5-1(c) of the Exchange Act or any non-Rule 10b5-1 trading arrangement (as defined in Item 408(c) of Regulation S-K) during the quarter ended March 29, 2026.</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July 29, 2026 (the “2026 Proxy Statement”). Except for those portions specifically incorporated in this Form 10-K by reference to the 2026 Proxy Statement, no other portions of the 2026 Proxy Statement are deemed to be filed as part of this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disclosure under the headings "Proposal One - Election of Directors,” “Corporate Governance,” and, if applicable, “Delinquent Section 16(a) Reports” of the 2026 Proxy Statement is incorporated herein by reference.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disclosure under the heading “Compensation of Executive Officers and Directors” in the 2026 Proxy Statement is incorporated herein by reference.</w:t>
      </w:r>
    </w:p>
    <w:p>
      <w:pPr>
        <w:spacing w:after="0" w:line="153" w:lineRule="exact"/>
        <w:rPr>
          <w:sz w:val="20"/>
          <w:szCs w:val="20"/>
          <w:color w:val="auto"/>
        </w:rPr>
      </w:pPr>
    </w:p>
    <w:p>
      <w:pPr>
        <w:ind w:right="700"/>
        <w:spacing w:after="0" w:line="296"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disclosure under the headings “Security Ownership of Management and Beneficial Ownership” and “Equity Compensation Plan Information” in the 2026 Proxy Statement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disclosure under the headings “Election of Directors” and “Related Party Transactions” of the 2026 Proxy Statement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disclosure under the heading “Independent Registered Public Accounting Firm’s Fees” of the 2026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ind w:left="528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5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at March 29, 2026 and March 30, 2025.</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Income for the fiscal years ended March 29, 2026, March 30, 2025 and March 31, 2024.</w:t>
      </w:r>
    </w:p>
    <w:p>
      <w:pPr>
        <w:spacing w:after="0" w:line="77" w:lineRule="exact"/>
        <w:rPr>
          <w:sz w:val="20"/>
          <w:szCs w:val="20"/>
          <w:color w:val="auto"/>
        </w:rPr>
      </w:pPr>
    </w:p>
    <w:p>
      <w:pPr>
        <w:ind w:left="1340" w:right="540"/>
        <w:spacing w:after="0" w:line="256" w:lineRule="auto"/>
        <w:rPr>
          <w:sz w:val="20"/>
          <w:szCs w:val="20"/>
          <w:color w:val="auto"/>
        </w:rPr>
      </w:pPr>
      <w:r>
        <w:rPr>
          <w:rFonts w:ascii="Arial" w:cs="Arial" w:eastAsia="Arial" w:hAnsi="Arial"/>
          <w:sz w:val="18"/>
          <w:szCs w:val="18"/>
          <w:color w:val="auto"/>
        </w:rPr>
        <w:t>Consolidated Statements of Comprehensive Income for the fiscal years ended March 29, 2026, March 30, 2025 and March 31, 2024.</w:t>
      </w:r>
    </w:p>
    <w:p>
      <w:pPr>
        <w:spacing w:after="0" w:line="31" w:lineRule="exact"/>
        <w:rPr>
          <w:sz w:val="20"/>
          <w:szCs w:val="20"/>
          <w:color w:val="auto"/>
        </w:rPr>
      </w:pPr>
    </w:p>
    <w:p>
      <w:pPr>
        <w:ind w:left="1340" w:right="740"/>
        <w:spacing w:after="0" w:line="256" w:lineRule="auto"/>
        <w:rPr>
          <w:sz w:val="20"/>
          <w:szCs w:val="20"/>
          <w:color w:val="auto"/>
        </w:rPr>
      </w:pPr>
      <w:r>
        <w:rPr>
          <w:rFonts w:ascii="Arial" w:cs="Arial" w:eastAsia="Arial" w:hAnsi="Arial"/>
          <w:sz w:val="18"/>
          <w:szCs w:val="18"/>
          <w:color w:val="auto"/>
        </w:rPr>
        <w:t>Consolidated Statements of Shareholders’ Equity for the fiscal years ended March 29, 2026, March 30, 2025, and March 31, 2024.</w:t>
      </w:r>
    </w:p>
    <w:p>
      <w:pPr>
        <w:spacing w:after="0" w:line="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fiscal years ended March 29, 2026, March 30, 2025, and March 31, 2024.</w:t>
      </w:r>
    </w:p>
    <w:p>
      <w:pPr>
        <w:spacing w:after="0" w:line="1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w:t>
      </w:r>
    </w:p>
    <w:p>
      <w:pPr>
        <w:jc w:val="both"/>
        <w:ind w:left="1340"/>
        <w:spacing w:after="0" w:line="221" w:lineRule="auto"/>
        <w:rPr>
          <w:sz w:val="20"/>
          <w:szCs w:val="20"/>
          <w:color w:val="auto"/>
        </w:rPr>
      </w:pPr>
      <w:r>
        <w:rPr>
          <w:rFonts w:ascii="Arial" w:cs="Arial" w:eastAsia="Arial" w:hAnsi="Arial"/>
          <w:sz w:val="18"/>
          <w:szCs w:val="18"/>
          <w:color w:val="auto"/>
        </w:rPr>
        <w:t>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following financial statement schedule for the fiscal years 2026, 2025 and 2024.</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II — Valuation and Qualifying Accounts.</w:t>
      </w:r>
    </w:p>
    <w:p>
      <w:pPr>
        <w:spacing w:after="0" w:line="7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63" w:name="page64"/>
    <w:bookmarkEnd w:id="63"/>
    <w:tbl>
      <w:tblPr>
        <w:tblLayout w:type="fixed"/>
        <w:tblInd w:w="714"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80" w:type="dxa"/>
            <w:vAlign w:val="bottom"/>
            <w:gridSpan w:val="13"/>
          </w:tcPr>
          <w:p>
            <w:pPr>
              <w:ind w:left="500"/>
              <w:spacing w:after="0"/>
              <w:rPr>
                <w:sz w:val="20"/>
                <w:szCs w:val="20"/>
                <w:color w:val="auto"/>
              </w:rPr>
            </w:pPr>
            <w:r>
              <w:rPr>
                <w:rFonts w:ascii="Arial" w:cs="Arial" w:eastAsia="Arial" w:hAnsi="Arial"/>
                <w:sz w:val="18"/>
                <w:szCs w:val="18"/>
                <w:b w:val="1"/>
                <w:bCs w:val="1"/>
                <w:color w:val="auto"/>
              </w:rPr>
              <w:t>Exhibit Index</w:t>
            </w:r>
          </w:p>
        </w:tc>
        <w:tc>
          <w:tcPr>
            <w:tcW w:w="1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Exhibit</w:t>
            </w:r>
          </w:p>
        </w:tc>
        <w:tc>
          <w:tcPr>
            <w:tcW w:w="706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2"/>
                <w:szCs w:val="22"/>
                <w:color w:val="auto"/>
              </w:rPr>
            </w:pPr>
          </w:p>
        </w:tc>
        <w:tc>
          <w:tcPr>
            <w:tcW w:w="2980" w:type="dxa"/>
            <w:vAlign w:val="bottom"/>
            <w:tcBorders>
              <w:bottom w:val="single" w:sz="8" w:color="0000FF"/>
            </w:tcBorders>
            <w:gridSpan w:val="6"/>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Restated Articles of Incorporation. (1)</w:t>
              </w:r>
            </w:hyperlink>
          </w:p>
        </w:tc>
        <w:tc>
          <w:tcPr>
            <w:tcW w:w="4080" w:type="dxa"/>
            <w:vAlign w:val="bottom"/>
            <w:gridSpan w:val="13"/>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4"/>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2"/>
                <w:szCs w:val="22"/>
                <w:color w:val="auto"/>
              </w:rPr>
            </w:pPr>
          </w:p>
        </w:tc>
        <w:tc>
          <w:tcPr>
            <w:tcW w:w="7060" w:type="dxa"/>
            <w:vAlign w:val="bottom"/>
            <w:gridSpan w:val="19"/>
          </w:tcPr>
          <w:p>
            <w:pPr>
              <w:spacing w:after="0"/>
              <w:rPr>
                <w:rFonts w:ascii="Arial" w:cs="Arial" w:eastAsia="Arial" w:hAnsi="Arial"/>
                <w:sz w:val="18"/>
                <w:szCs w:val="18"/>
                <w:color w:val="0000FF"/>
              </w:rPr>
            </w:pPr>
            <w:hyperlink r:id="rId82">
              <w:r>
                <w:rPr>
                  <w:rFonts w:ascii="Arial" w:cs="Arial" w:eastAsia="Arial" w:hAnsi="Arial"/>
                  <w:sz w:val="18"/>
                  <w:szCs w:val="18"/>
                  <w:color w:val="0000FF"/>
                </w:rPr>
                <w:t>Amended and Restated By-Laws. (2)</w:t>
              </w:r>
            </w:hyperlink>
          </w:p>
        </w:tc>
        <w:tc>
          <w:tcPr>
            <w:tcW w:w="2120" w:type="dxa"/>
            <w:vAlign w:val="bottom"/>
            <w:gridSpan w:val="2"/>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3"/>
        </w:trPr>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22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r:id="rId83">
              <w:r>
                <w:rPr>
                  <w:rFonts w:ascii="Arial" w:cs="Arial" w:eastAsia="Arial" w:hAnsi="Arial"/>
                  <w:sz w:val="18"/>
                  <w:szCs w:val="18"/>
                  <w:color w:val="0000FF"/>
                  <w:w w:val="99"/>
                </w:rPr>
                <w:t>Description of Securities. (3)</w:t>
              </w:r>
            </w:hyperlink>
          </w:p>
        </w:tc>
        <w:tc>
          <w:tcPr>
            <w:tcW w:w="680" w:type="dxa"/>
            <w:vAlign w:val="bottom"/>
            <w:tcBorders>
              <w:top w:val="single" w:sz="8" w:color="0000FF"/>
            </w:tcBorders>
          </w:tcPr>
          <w:p>
            <w:pPr>
              <w:spacing w:after="0"/>
              <w:rPr>
                <w:sz w:val="22"/>
                <w:szCs w:val="22"/>
                <w:color w:val="auto"/>
              </w:rPr>
            </w:pPr>
          </w:p>
        </w:tc>
        <w:tc>
          <w:tcPr>
            <w:tcW w:w="4120" w:type="dxa"/>
            <w:vAlign w:val="bottom"/>
            <w:gridSpan w:val="14"/>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3"/>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4360" w:type="dxa"/>
            <w:vAlign w:val="bottom"/>
            <w:tcBorders>
              <w:bottom w:val="single" w:sz="8" w:color="0000FF"/>
            </w:tcBorders>
            <w:gridSpan w:val="8"/>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Amended and Restated Executive Severance Plan. (4)</w:t>
              </w:r>
            </w:hyperlink>
          </w:p>
        </w:tc>
        <w:tc>
          <w:tcPr>
            <w:tcW w:w="2700" w:type="dxa"/>
            <w:vAlign w:val="bottom"/>
            <w:gridSpan w:val="11"/>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4"/>
        </w:trPr>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2"/>
                <w:szCs w:val="22"/>
                <w:color w:val="auto"/>
              </w:rPr>
            </w:pPr>
          </w:p>
        </w:tc>
        <w:tc>
          <w:tcPr>
            <w:tcW w:w="5440" w:type="dxa"/>
            <w:vAlign w:val="bottom"/>
            <w:tcBorders>
              <w:bottom w:val="single" w:sz="8" w:color="0000FF"/>
            </w:tcBorders>
            <w:gridSpan w:val="10"/>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Employee Stock Purchase Plan, as amended on August 2, 2018. (5)</w:t>
              </w:r>
            </w:hyperlink>
          </w:p>
        </w:tc>
        <w:tc>
          <w:tcPr>
            <w:tcW w:w="1620" w:type="dxa"/>
            <w:vAlign w:val="bottom"/>
            <w:gridSpan w:val="9"/>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3"/>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2"/>
                <w:szCs w:val="22"/>
                <w:color w:val="auto"/>
              </w:rPr>
            </w:pPr>
          </w:p>
        </w:tc>
        <w:tc>
          <w:tcPr>
            <w:tcW w:w="7060" w:type="dxa"/>
            <w:vAlign w:val="bottom"/>
            <w:gridSpan w:val="19"/>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Amendment No. 2 to the Hawkins, Inc. Employee Stock Purchase Plan, as amended.</w:t>
              </w:r>
            </w:hyperlink>
          </w:p>
        </w:tc>
        <w:tc>
          <w:tcPr>
            <w:tcW w:w="2120" w:type="dxa"/>
            <w:vAlign w:val="bottom"/>
            <w:gridSpan w:val="2"/>
            <w:vMerge w:val="restart"/>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19"/>
        </w:trPr>
        <w:tc>
          <w:tcPr>
            <w:tcW w:w="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0000FF"/>
            </w:tcBorders>
            <w:vMerge w:val="restart"/>
          </w:tcPr>
          <w:p>
            <w:pPr>
              <w:spacing w:after="0" w:line="15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(6)</w:t>
              </w:r>
            </w:hyperlink>
          </w:p>
        </w:tc>
        <w:tc>
          <w:tcPr>
            <w:tcW w:w="7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8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0000FF"/>
            </w:tcBorders>
            <w:vMerge w:val="continue"/>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6300" w:type="dxa"/>
            <w:vAlign w:val="bottom"/>
            <w:tcBorders>
              <w:bottom w:val="single" w:sz="8" w:color="0000FF"/>
            </w:tcBorders>
            <w:gridSpan w:val="11"/>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Second Amended and Restated Credit Agreement dated as of March 31, 2022,</w:t>
              </w:r>
            </w:hyperlink>
          </w:p>
        </w:tc>
        <w:tc>
          <w:tcPr>
            <w:tcW w:w="760" w:type="dxa"/>
            <w:vAlign w:val="bottom"/>
            <w:gridSpan w:val="8"/>
          </w:tcPr>
          <w:p>
            <w:pPr>
              <w:spacing w:after="0"/>
              <w:rPr>
                <w:sz w:val="24"/>
                <w:szCs w:val="24"/>
                <w:color w:val="auto"/>
              </w:rPr>
            </w:pPr>
          </w:p>
        </w:tc>
        <w:tc>
          <w:tcPr>
            <w:tcW w:w="2120" w:type="dxa"/>
            <w:vAlign w:val="bottom"/>
            <w:gridSpan w:val="2"/>
            <w:vMerge w:val="restart"/>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56"/>
        </w:trPr>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060" w:type="dxa"/>
            <w:vAlign w:val="bottom"/>
            <w:gridSpan w:val="19"/>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among Hawkins, Inc., the lenders party thereto, and U.S. Bank National Association,</w:t>
              </w:r>
            </w:hyperlink>
          </w:p>
        </w:tc>
        <w:tc>
          <w:tcPr>
            <w:tcW w:w="2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7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87">
              <w:r>
                <w:rPr>
                  <w:rFonts w:ascii="Arial" w:cs="Arial" w:eastAsia="Arial" w:hAnsi="Arial"/>
                  <w:sz w:val="18"/>
                  <w:szCs w:val="18"/>
                  <w:color w:val="0000FF"/>
                </w:rPr>
                <w:t>as an LC Issuer, Swing Line Lender and Administrative Agent. (7)</w:t>
              </w:r>
            </w:hyperlink>
          </w:p>
        </w:tc>
        <w:tc>
          <w:tcPr>
            <w:tcW w:w="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2"/>
                <w:szCs w:val="22"/>
                <w:color w:val="auto"/>
              </w:rPr>
            </w:pPr>
          </w:p>
        </w:tc>
        <w:tc>
          <w:tcPr>
            <w:tcW w:w="7060" w:type="dxa"/>
            <w:vAlign w:val="bottom"/>
            <w:gridSpan w:val="19"/>
          </w:tcPr>
          <w:p>
            <w:pPr>
              <w:spacing w:after="0"/>
              <w:rPr>
                <w:rFonts w:ascii="Arial" w:cs="Arial" w:eastAsia="Arial" w:hAnsi="Arial"/>
                <w:sz w:val="18"/>
                <w:szCs w:val="18"/>
                <w:color w:val="0000FF"/>
              </w:rPr>
            </w:pPr>
            <w:hyperlink r:id="rId88">
              <w:r>
                <w:rPr>
                  <w:rFonts w:ascii="Arial" w:cs="Arial" w:eastAsia="Arial" w:hAnsi="Arial"/>
                  <w:sz w:val="18"/>
                  <w:szCs w:val="18"/>
                  <w:color w:val="0000FF"/>
                </w:rPr>
                <w:t>First Amendment to Second Amended and Restated Credit Agreement dated as of</w:t>
              </w:r>
            </w:hyperlink>
          </w:p>
        </w:tc>
        <w:tc>
          <w:tcPr>
            <w:tcW w:w="2120" w:type="dxa"/>
            <w:vAlign w:val="bottom"/>
            <w:gridSpan w:val="2"/>
            <w:vMerge w:val="restart"/>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56"/>
        </w:trPr>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5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May 30, 2024, among Hawkins, Inc., U.S. Bank National Association, and certain</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340" w:type="dxa"/>
            <w:vAlign w:val="bottom"/>
            <w:gridSpan w:val="2"/>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financial institutions. (8)</w:t>
              </w:r>
            </w:hyperlink>
          </w:p>
        </w:tc>
        <w:tc>
          <w:tcPr>
            <w:tcW w:w="4560" w:type="dxa"/>
            <w:vAlign w:val="bottom"/>
            <w:tcBorders>
              <w:top w:val="single" w:sz="8" w:color="0000FF"/>
            </w:tcBorders>
            <w:gridSpan w:val="10"/>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2"/>
                <w:szCs w:val="22"/>
                <w:color w:val="auto"/>
              </w:rPr>
            </w:pPr>
          </w:p>
        </w:tc>
        <w:tc>
          <w:tcPr>
            <w:tcW w:w="7060" w:type="dxa"/>
            <w:vAlign w:val="bottom"/>
            <w:gridSpan w:val="19"/>
          </w:tcPr>
          <w:p>
            <w:pPr>
              <w:spacing w:after="0"/>
              <w:rPr>
                <w:rFonts w:ascii="Arial" w:cs="Arial" w:eastAsia="Arial" w:hAnsi="Arial"/>
                <w:sz w:val="18"/>
                <w:szCs w:val="18"/>
                <w:color w:val="0000FF"/>
              </w:rPr>
            </w:pPr>
            <w:hyperlink r:id="rId89">
              <w:r>
                <w:rPr>
                  <w:rFonts w:ascii="Arial" w:cs="Arial" w:eastAsia="Arial" w:hAnsi="Arial"/>
                  <w:sz w:val="18"/>
                  <w:szCs w:val="18"/>
                  <w:color w:val="0000FF"/>
                </w:rPr>
                <w:t>Joinder, Consent and Second Amendment to Second Amended and Restated Credit</w:t>
              </w:r>
            </w:hyperlink>
          </w:p>
        </w:tc>
        <w:tc>
          <w:tcPr>
            <w:tcW w:w="2120" w:type="dxa"/>
            <w:vAlign w:val="bottom"/>
            <w:gridSpan w:val="2"/>
            <w:vMerge w:val="restart"/>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55"/>
        </w:trPr>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7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Agreement dated as of April 25, 2025, among Hawkins, Inc., U.S. Bank National</w:t>
              </w:r>
            </w:hyperlink>
          </w:p>
        </w:tc>
        <w:tc>
          <w:tcPr>
            <w:tcW w:w="340" w:type="dxa"/>
            <w:vAlign w:val="bottom"/>
            <w:gridSpan w:val="2"/>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Association, and certain financial institutions. (9)</w:t>
              </w:r>
            </w:hyperlink>
          </w:p>
        </w:tc>
        <w:tc>
          <w:tcPr>
            <w:tcW w:w="2520" w:type="dxa"/>
            <w:vAlign w:val="bottom"/>
            <w:tcBorders>
              <w:top w:val="single" w:sz="8" w:color="0000FF"/>
            </w:tcBorders>
            <w:gridSpan w:val="5"/>
          </w:tcPr>
          <w:p>
            <w:pPr>
              <w:spacing w:after="0"/>
              <w:rPr>
                <w:sz w:val="14"/>
                <w:szCs w:val="14"/>
                <w:color w:val="auto"/>
              </w:rPr>
            </w:pPr>
          </w:p>
        </w:tc>
        <w:tc>
          <w:tcPr>
            <w:tcW w:w="260" w:type="dxa"/>
            <w:vAlign w:val="bottom"/>
            <w:gridSpan w:val="3"/>
          </w:tcPr>
          <w:p>
            <w:pPr>
              <w:spacing w:after="0"/>
              <w:rPr>
                <w:sz w:val="14"/>
                <w:szCs w:val="14"/>
                <w:color w:val="auto"/>
              </w:rPr>
            </w:pPr>
          </w:p>
        </w:tc>
        <w:tc>
          <w:tcPr>
            <w:tcW w:w="440" w:type="dxa"/>
            <w:vAlign w:val="bottom"/>
            <w:gridSpan w:val="4"/>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2"/>
                <w:szCs w:val="22"/>
                <w:color w:val="auto"/>
              </w:rPr>
            </w:pPr>
          </w:p>
        </w:tc>
        <w:tc>
          <w:tcPr>
            <w:tcW w:w="7060" w:type="dxa"/>
            <w:vAlign w:val="bottom"/>
            <w:gridSpan w:val="19"/>
          </w:tcPr>
          <w:p>
            <w:pPr>
              <w:spacing w:after="0"/>
              <w:rPr>
                <w:rFonts w:ascii="Arial" w:cs="Arial" w:eastAsia="Arial" w:hAnsi="Arial"/>
                <w:sz w:val="18"/>
                <w:szCs w:val="18"/>
                <w:color w:val="0000FF"/>
              </w:rPr>
            </w:pPr>
            <w:hyperlink r:id="rId90">
              <w:r>
                <w:rPr>
                  <w:rFonts w:ascii="Arial" w:cs="Arial" w:eastAsia="Arial" w:hAnsi="Arial"/>
                  <w:sz w:val="18"/>
                  <w:szCs w:val="18"/>
                  <w:color w:val="0000FF"/>
                </w:rPr>
                <w:t>Third Amendment to Second Amended and Restated Credit Agreement dated as of</w:t>
              </w:r>
            </w:hyperlink>
          </w:p>
        </w:tc>
        <w:tc>
          <w:tcPr>
            <w:tcW w:w="2120" w:type="dxa"/>
            <w:vAlign w:val="bottom"/>
            <w:gridSpan w:val="2"/>
            <w:vMerge w:val="restart"/>
          </w:tcPr>
          <w:p>
            <w:pPr>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20" w:type="dxa"/>
            <w:vAlign w:val="bottom"/>
            <w:tcBorders>
              <w:top w:val="single" w:sz="8" w:color="0000FF"/>
            </w:tcBorders>
            <w:gridSpan w:val="15"/>
          </w:tcPr>
          <w:p>
            <w:pPr>
              <w:spacing w:after="0" w:line="168" w:lineRule="exact"/>
              <w:rPr>
                <w:rFonts w:ascii="Arial" w:cs="Arial" w:eastAsia="Arial" w:hAnsi="Arial"/>
                <w:sz w:val="18"/>
                <w:szCs w:val="18"/>
                <w:u w:val="single" w:color="auto"/>
                <w:color w:val="0000FF"/>
                <w:w w:val="97"/>
              </w:rPr>
            </w:pPr>
            <w:hyperlink r:id="rId90">
              <w:r>
                <w:rPr>
                  <w:rFonts w:ascii="Arial" w:cs="Arial" w:eastAsia="Arial" w:hAnsi="Arial"/>
                  <w:sz w:val="18"/>
                  <w:szCs w:val="18"/>
                  <w:u w:val="single" w:color="auto"/>
                  <w:color w:val="0000FF"/>
                  <w:w w:val="97"/>
                </w:rPr>
                <w:t>October 15, 2025, among Hawkins, Inc., U.S. Bank National Association, and certain</w:t>
              </w:r>
            </w:hyperlink>
          </w:p>
        </w:tc>
        <w:tc>
          <w:tcPr>
            <w:tcW w:w="440" w:type="dxa"/>
            <w:vAlign w:val="bottom"/>
            <w:gridSpan w:val="4"/>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1554"/>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financial institutions(10).</w:t>
        </w:r>
      </w:hyperlink>
    </w:p>
    <w:p>
      <w:pPr>
        <w:sectPr>
          <w:pgSz w:w="11900" w:h="16838" w:orient="portrait"/>
          <w:cols w:equalWidth="0" w:num="1">
            <w:col w:w="10974"/>
          </w:cols>
          <w:pgMar w:left="346" w:top="931" w:right="579" w:bottom="1440" w:gutter="0" w:footer="0" w:header="0"/>
        </w:sectPr>
      </w:pPr>
    </w:p>
    <w:p>
      <w:pPr>
        <w:spacing w:after="0" w:line="59" w:lineRule="exact"/>
        <w:rPr>
          <w:sz w:val="20"/>
          <w:szCs w:val="20"/>
          <w:color w:val="auto"/>
        </w:rPr>
      </w:pPr>
    </w:p>
    <w:p>
      <w:pPr>
        <w:ind w:left="894"/>
        <w:spacing w:after="0"/>
        <w:tabs>
          <w:tab w:leader="none" w:pos="1534"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91">
        <w:r>
          <w:rPr>
            <w:rFonts w:ascii="Arial" w:cs="Arial" w:eastAsia="Arial" w:hAnsi="Arial"/>
            <w:sz w:val="17"/>
            <w:szCs w:val="17"/>
            <w:u w:val="single" w:color="auto"/>
            <w:color w:val="0000FF"/>
          </w:rPr>
          <w:t>Hawkins, Inc. 2019 Equity Incentive Plan. (11)</w:t>
        </w:r>
      </w:hyperlink>
    </w:p>
    <w:p>
      <w:pPr>
        <w:ind w:left="1554"/>
        <w:spacing w:after="0" w:line="232" w:lineRule="auto"/>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Form of Performance Stock Unit Award Notice and Restricted Stock Agreement under</w:t>
        </w:r>
      </w:hyperlink>
    </w:p>
    <w:tbl>
      <w:tblPr>
        <w:tblLayout w:type="fixed"/>
        <w:tblInd w:w="894" w:type="dxa"/>
        <w:tblCellMar>
          <w:top w:w="0" w:type="dxa"/>
          <w:left w:w="0" w:type="dxa"/>
          <w:bottom w:w="0" w:type="dxa"/>
          <w:right w:w="0" w:type="dxa"/>
        </w:tblCellMar>
      </w:tblPr>
      <w:tr>
        <w:trPr>
          <w:trHeight w:val="239"/>
        </w:trPr>
        <w:tc>
          <w:tcPr>
            <w:tcW w:w="540" w:type="dxa"/>
            <w:vAlign w:val="bottom"/>
          </w:tcPr>
          <w:p>
            <w:pPr>
              <w:jc w:val="right"/>
              <w:ind w:right="30"/>
              <w:spacing w:after="0"/>
              <w:rPr>
                <w:sz w:val="20"/>
                <w:szCs w:val="20"/>
                <w:color w:val="auto"/>
              </w:rPr>
            </w:pPr>
            <w:r>
              <w:rPr>
                <w:rFonts w:ascii="Arial" w:cs="Arial" w:eastAsia="Arial" w:hAnsi="Arial"/>
                <w:sz w:val="18"/>
                <w:szCs w:val="18"/>
                <w:color w:val="auto"/>
                <w:w w:val="95"/>
              </w:rPr>
              <w:t>10.9*</w:t>
            </w:r>
          </w:p>
        </w:tc>
        <w:tc>
          <w:tcPr>
            <w:tcW w:w="3920" w:type="dxa"/>
            <w:vAlign w:val="bottom"/>
            <w:vMerge w:val="restart"/>
          </w:tcPr>
          <w:p>
            <w:pPr>
              <w:ind w:left="120"/>
              <w:spacing w:after="0"/>
              <w:rPr>
                <w:rFonts w:ascii="Arial" w:cs="Arial" w:eastAsia="Arial" w:hAnsi="Arial"/>
                <w:sz w:val="18"/>
                <w:szCs w:val="18"/>
                <w:u w:val="single" w:color="auto"/>
                <w:color w:val="0000FF"/>
                <w:w w:val="99"/>
              </w:rPr>
            </w:pPr>
            <w:hyperlink r:id="rId92">
              <w:r>
                <w:rPr>
                  <w:rFonts w:ascii="Arial" w:cs="Arial" w:eastAsia="Arial" w:hAnsi="Arial"/>
                  <w:sz w:val="18"/>
                  <w:szCs w:val="18"/>
                  <w:u w:val="single" w:color="auto"/>
                  <w:color w:val="0000FF"/>
                  <w:w w:val="99"/>
                </w:rPr>
                <w:t>the Company’s 2019 Equity Incentive Plan. (12)</w:t>
              </w:r>
            </w:hyperlink>
          </w:p>
        </w:tc>
        <w:tc>
          <w:tcPr>
            <w:tcW w:w="0" w:type="dxa"/>
            <w:vAlign w:val="bottom"/>
          </w:tcPr>
          <w:p>
            <w:pPr>
              <w:spacing w:after="0"/>
              <w:rPr>
                <w:sz w:val="1"/>
                <w:szCs w:val="1"/>
                <w:color w:val="auto"/>
              </w:rPr>
            </w:pPr>
          </w:p>
        </w:tc>
      </w:tr>
      <w:tr>
        <w:trPr>
          <w:trHeight w:val="63"/>
        </w:trPr>
        <w:tc>
          <w:tcPr>
            <w:tcW w:w="540" w:type="dxa"/>
            <w:vAlign w:val="bottom"/>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554" w:hanging="499"/>
        <w:spacing w:after="0"/>
        <w:tabs>
          <w:tab w:leader="none" w:pos="1554" w:val="left"/>
        </w:tabs>
        <w:numPr>
          <w:ilvl w:val="0"/>
          <w:numId w:val="16"/>
        </w:numPr>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Insider Trading Policy (13)</w:t>
        </w:r>
      </w:hyperlink>
    </w:p>
    <w:p>
      <w:pPr>
        <w:spacing w:after="0" w:line="76" w:lineRule="exact"/>
        <w:rPr>
          <w:rFonts w:ascii="Arial" w:cs="Arial" w:eastAsia="Arial" w:hAnsi="Arial"/>
          <w:sz w:val="18"/>
          <w:szCs w:val="18"/>
          <w:u w:val="single" w:color="auto"/>
          <w:color w:val="0000FF"/>
        </w:rPr>
      </w:pPr>
    </w:p>
    <w:p>
      <w:pPr>
        <w:ind w:left="1554" w:hanging="499"/>
        <w:spacing w:after="0"/>
        <w:tabs>
          <w:tab w:leader="none" w:pos="155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FF"/>
        </w:rPr>
        <w:t>Subsidiaries of the registrant.</w:t>
      </w:r>
    </w:p>
    <w:p>
      <w:pPr>
        <w:spacing w:after="0" w:line="64" w:lineRule="exact"/>
        <w:rPr>
          <w:sz w:val="20"/>
          <w:szCs w:val="20"/>
          <w:color w:val="auto"/>
        </w:rPr>
      </w:pPr>
    </w:p>
    <w:tbl>
      <w:tblPr>
        <w:tblLayout w:type="fixed"/>
        <w:tblInd w:w="914" w:type="dxa"/>
        <w:tblCellMar>
          <w:top w:w="0" w:type="dxa"/>
          <w:left w:w="0" w:type="dxa"/>
          <w:bottom w:w="0" w:type="dxa"/>
          <w:right w:w="0" w:type="dxa"/>
        </w:tblCellMar>
      </w:tblPr>
      <w:tr>
        <w:trPr>
          <w:trHeight w:val="207"/>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23.1</w:t>
            </w:r>
          </w:p>
        </w:tc>
        <w:tc>
          <w:tcPr>
            <w:tcW w:w="6620" w:type="dxa"/>
            <w:vAlign w:val="bottom"/>
            <w:gridSpan w:val="8"/>
          </w:tcPr>
          <w:p>
            <w:pPr>
              <w:spacing w:after="0"/>
              <w:rPr>
                <w:sz w:val="20"/>
                <w:szCs w:val="20"/>
                <w:color w:val="auto"/>
              </w:rPr>
            </w:pPr>
            <w:r>
              <w:rPr>
                <w:rFonts w:ascii="Arial" w:cs="Arial" w:eastAsia="Arial" w:hAnsi="Arial"/>
                <w:sz w:val="18"/>
                <w:szCs w:val="18"/>
                <w:color w:val="0000FF"/>
              </w:rPr>
              <w:t>Consent of Deloitte &amp; Touche LLP.</w:t>
            </w:r>
          </w:p>
        </w:tc>
        <w:tc>
          <w:tcPr>
            <w:tcW w:w="0" w:type="dxa"/>
            <w:vAlign w:val="bottom"/>
          </w:tcPr>
          <w:p>
            <w:pPr>
              <w:spacing w:after="0"/>
              <w:rPr>
                <w:sz w:val="1"/>
                <w:szCs w:val="1"/>
                <w:color w:val="auto"/>
              </w:rPr>
            </w:pPr>
          </w:p>
        </w:tc>
      </w:tr>
      <w:tr>
        <w:trPr>
          <w:trHeight w:val="263"/>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23.2</w:t>
            </w:r>
          </w:p>
        </w:tc>
        <w:tc>
          <w:tcPr>
            <w:tcW w:w="25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Consent of Grant Thornton LLP.</w:t>
            </w:r>
          </w:p>
        </w:tc>
        <w:tc>
          <w:tcPr>
            <w:tcW w:w="180" w:type="dxa"/>
            <w:vAlign w:val="bottom"/>
            <w:tcBorders>
              <w:top w:val="single" w:sz="8" w:color="0000FF"/>
            </w:tcBorders>
          </w:tcPr>
          <w:p>
            <w:pPr>
              <w:spacing w:after="0"/>
              <w:rPr>
                <w:sz w:val="22"/>
                <w:szCs w:val="22"/>
                <w:color w:val="auto"/>
              </w:rPr>
            </w:pPr>
          </w:p>
        </w:tc>
        <w:tc>
          <w:tcPr>
            <w:tcW w:w="39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24.1</w:t>
            </w:r>
          </w:p>
        </w:tc>
        <w:tc>
          <w:tcPr>
            <w:tcW w:w="15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Powers of Attorney.</w:t>
            </w:r>
          </w:p>
        </w:tc>
        <w:tc>
          <w:tcPr>
            <w:tcW w:w="50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w w:val="91"/>
              </w:rPr>
              <w:t>31.1</w:t>
            </w:r>
          </w:p>
        </w:tc>
        <w:tc>
          <w:tcPr>
            <w:tcW w:w="65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by Chief Certification by Chief Executive Officer pursuant to Rule 13a-</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640" w:type="dxa"/>
            <w:vAlign w:val="bottom"/>
            <w:vMerge w:val="continue"/>
          </w:tcPr>
          <w:p>
            <w:pPr>
              <w:spacing w:after="0"/>
              <w:rPr>
                <w:sz w:val="10"/>
                <w:szCs w:val="10"/>
                <w:color w:val="auto"/>
              </w:rPr>
            </w:pPr>
          </w:p>
        </w:tc>
        <w:tc>
          <w:tcPr>
            <w:tcW w:w="6620" w:type="dxa"/>
            <w:vAlign w:val="bottom"/>
            <w:gridSpan w:val="8"/>
            <w:vMerge w:val="restart"/>
          </w:tcPr>
          <w:p>
            <w:pPr>
              <w:spacing w:after="0" w:line="156" w:lineRule="exact"/>
              <w:rPr>
                <w:sz w:val="20"/>
                <w:szCs w:val="20"/>
                <w:color w:val="auto"/>
              </w:rPr>
            </w:pPr>
            <w:r>
              <w:rPr>
                <w:rFonts w:ascii="Arial" w:cs="Arial" w:eastAsia="Arial" w:hAnsi="Arial"/>
                <w:sz w:val="18"/>
                <w:szCs w:val="18"/>
                <w:color w:val="0000FF"/>
                <w:w w:val="99"/>
              </w:rPr>
              <w:t>14(a) of the Exchange Act. Officer pursuant to Rule 13a-14(a) of the Exchange Act.</w:t>
            </w: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6620" w:type="dxa"/>
            <w:vAlign w:val="bottom"/>
            <w:tcBorders>
              <w:bottom w:val="single" w:sz="8" w:color="0000FF"/>
            </w:tcBorders>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w w:val="91"/>
              </w:rPr>
              <w:t>31.2</w:t>
            </w:r>
          </w:p>
        </w:tc>
        <w:tc>
          <w:tcPr>
            <w:tcW w:w="65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by Chief Financial Officer pursuant to Rule 13a-14(a) of the Exchange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0" w:type="dxa"/>
            <w:vAlign w:val="bottom"/>
            <w:vMerge w:val="continue"/>
          </w:tcPr>
          <w:p>
            <w:pPr>
              <w:spacing w:after="0"/>
              <w:rPr>
                <w:sz w:val="10"/>
                <w:szCs w:val="10"/>
                <w:color w:val="auto"/>
              </w:rPr>
            </w:pPr>
          </w:p>
        </w:tc>
        <w:tc>
          <w:tcPr>
            <w:tcW w:w="6620" w:type="dxa"/>
            <w:vAlign w:val="bottom"/>
            <w:gridSpan w:val="8"/>
            <w:vMerge w:val="restart"/>
          </w:tcPr>
          <w:p>
            <w:pPr>
              <w:spacing w:after="0" w:line="156" w:lineRule="exact"/>
              <w:rPr>
                <w:sz w:val="20"/>
                <w:szCs w:val="20"/>
                <w:color w:val="auto"/>
              </w:rPr>
            </w:pPr>
            <w:r>
              <w:rPr>
                <w:rFonts w:ascii="Arial" w:cs="Arial" w:eastAsia="Arial" w:hAnsi="Arial"/>
                <w:sz w:val="18"/>
                <w:szCs w:val="18"/>
                <w:color w:val="0000FF"/>
              </w:rPr>
              <w:t>Act.</w:t>
            </w: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66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32.1</w:t>
            </w:r>
          </w:p>
        </w:tc>
        <w:tc>
          <w:tcPr>
            <w:tcW w:w="6620" w:type="dxa"/>
            <w:vAlign w:val="bottom"/>
            <w:gridSpan w:val="8"/>
          </w:tcPr>
          <w:p>
            <w:pPr>
              <w:spacing w:after="0"/>
              <w:rPr>
                <w:sz w:val="20"/>
                <w:szCs w:val="20"/>
                <w:color w:val="auto"/>
              </w:rPr>
            </w:pPr>
            <w:r>
              <w:rPr>
                <w:rFonts w:ascii="Arial" w:cs="Arial" w:eastAsia="Arial" w:hAnsi="Arial"/>
                <w:sz w:val="18"/>
                <w:szCs w:val="18"/>
                <w:color w:val="0000FF"/>
              </w:rPr>
              <w:t>Section 1350 Certification by Chief Executive Officer.</w:t>
            </w:r>
          </w:p>
        </w:tc>
        <w:tc>
          <w:tcPr>
            <w:tcW w:w="0" w:type="dxa"/>
            <w:vAlign w:val="bottom"/>
          </w:tcPr>
          <w:p>
            <w:pPr>
              <w:spacing w:after="0"/>
              <w:rPr>
                <w:sz w:val="1"/>
                <w:szCs w:val="1"/>
                <w:color w:val="auto"/>
              </w:rPr>
            </w:pPr>
          </w:p>
        </w:tc>
      </w:tr>
      <w:tr>
        <w:trPr>
          <w:trHeight w:val="263"/>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32.2</w:t>
            </w:r>
          </w:p>
        </w:tc>
        <w:tc>
          <w:tcPr>
            <w:tcW w:w="42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Section 1350 Certification by Chief Financial Officer.</w:t>
            </w:r>
          </w:p>
        </w:tc>
        <w:tc>
          <w:tcPr>
            <w:tcW w:w="24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554" w:hanging="499"/>
        <w:spacing w:after="0"/>
        <w:tabs>
          <w:tab w:leader="none" w:pos="1554" w:val="left"/>
        </w:tabs>
        <w:numPr>
          <w:ilvl w:val="0"/>
          <w:numId w:val="18"/>
        </w:numPr>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Mandatory Clawback Policy (14)</w:t>
        </w:r>
      </w:hyperlink>
    </w:p>
    <w:p>
      <w:pPr>
        <w:spacing w:after="0" w:line="76" w:lineRule="exact"/>
        <w:rPr>
          <w:rFonts w:ascii="Arial" w:cs="Arial" w:eastAsia="Arial" w:hAnsi="Arial"/>
          <w:sz w:val="18"/>
          <w:szCs w:val="18"/>
          <w:u w:val="single" w:color="auto"/>
          <w:color w:val="0000FF"/>
        </w:rPr>
      </w:pPr>
    </w:p>
    <w:p>
      <w:pPr>
        <w:jc w:val="both"/>
        <w:ind w:left="1554" w:right="260"/>
        <w:spacing w:after="0" w:line="234" w:lineRule="auto"/>
        <w:rPr>
          <w:rFonts w:ascii="Arial" w:cs="Arial" w:eastAsia="Arial" w:hAnsi="Arial"/>
          <w:sz w:val="18"/>
          <w:szCs w:val="18"/>
          <w:u w:val="single" w:color="auto"/>
          <w:color w:val="0000FF"/>
        </w:rPr>
      </w:pPr>
      <w:r>
        <w:rPr>
          <w:rFonts w:ascii="Arial" w:cs="Arial" w:eastAsia="Arial" w:hAnsi="Arial"/>
          <w:sz w:val="17"/>
          <w:szCs w:val="17"/>
          <w:color w:val="auto"/>
        </w:rPr>
        <w:t>Financial statements from the Annual Report on Form 10-K of Hawkins, Inc. for the period ended March 29, 2026, as filed with the SEC on May 13, 2026, formatted in</w:t>
      </w:r>
    </w:p>
    <w:p>
      <w:pPr>
        <w:ind w:left="1554"/>
        <w:spacing w:after="0" w:line="205" w:lineRule="auto"/>
        <w:rPr>
          <w:sz w:val="20"/>
          <w:szCs w:val="20"/>
          <w:color w:val="auto"/>
        </w:rPr>
      </w:pPr>
      <w:r>
        <w:rPr>
          <w:rFonts w:ascii="Arial" w:cs="Arial" w:eastAsia="Arial" w:hAnsi="Arial"/>
          <w:sz w:val="18"/>
          <w:szCs w:val="18"/>
          <w:color w:val="auto"/>
        </w:rPr>
        <w:t>Inline Extensible Business Reporting Language (iXBRL): (i) Consolidated Balance</w:t>
      </w:r>
    </w:p>
    <w:p>
      <w:pPr>
        <w:ind w:left="1554" w:right="180" w:hanging="599"/>
        <w:spacing w:after="0" w:line="220" w:lineRule="auto"/>
        <w:tabs>
          <w:tab w:leader="none" w:pos="15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Sheets, (ii) Consolidated Statements of Income, (iii) the Consolidated Statements of Comprehensive Income, (iv) Consolidated Statements of Shareholders’ Equity, (v) Consolidated Statements of Cash Flows, and (vi) Notes to Consolidated Financial Statements, and (vii) the information set forth in Part II, Item 9B.</w:t>
      </w:r>
    </w:p>
    <w:p>
      <w:pPr>
        <w:spacing w:after="0" w:line="47" w:lineRule="exact"/>
        <w:rPr>
          <w:sz w:val="20"/>
          <w:szCs w:val="20"/>
          <w:color w:val="auto"/>
        </w:rPr>
      </w:pPr>
    </w:p>
    <w:p>
      <w:pPr>
        <w:ind w:left="954"/>
        <w:spacing w:after="0"/>
        <w:tabs>
          <w:tab w:leader="none" w:pos="153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115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w:t>
      </w:r>
    </w:p>
    <w:p>
      <w:pPr>
        <w:spacing w:after="0" w:line="183" w:lineRule="exact"/>
        <w:rPr>
          <w:sz w:val="20"/>
          <w:szCs w:val="20"/>
          <w:color w:val="auto"/>
        </w:rPr>
      </w:pPr>
    </w:p>
    <w:p>
      <w:pPr>
        <w:ind w:right="240"/>
        <w:spacing w:after="0" w:line="348" w:lineRule="auto"/>
        <w:rPr>
          <w:sz w:val="20"/>
          <w:szCs w:val="20"/>
          <w:color w:val="auto"/>
        </w:rPr>
      </w:pPr>
      <w:r>
        <w:rPr>
          <w:rFonts w:ascii="Arial" w:cs="Arial" w:eastAsia="Arial" w:hAnsi="Arial"/>
          <w:sz w:val="17"/>
          <w:szCs w:val="17"/>
          <w:color w:val="auto"/>
        </w:rPr>
        <w:t>Incorporated by Reference Filed Electronically Filed Electronically</w:t>
      </w: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ind w:right="240"/>
        <w:spacing w:after="0" w:line="401" w:lineRule="auto"/>
        <w:rPr>
          <w:sz w:val="20"/>
          <w:szCs w:val="20"/>
          <w:color w:val="auto"/>
        </w:rPr>
      </w:pPr>
      <w:r>
        <w:rPr>
          <w:rFonts w:ascii="Arial" w:cs="Arial" w:eastAsia="Arial" w:hAnsi="Arial"/>
          <w:sz w:val="17"/>
          <w:szCs w:val="17"/>
          <w:color w:val="auto"/>
        </w:rPr>
        <w:t>Filed Electronically Incorporated by Reference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58" w:lineRule="exact"/>
        <w:rPr>
          <w:sz w:val="20"/>
          <w:szCs w:val="20"/>
          <w:color w:val="auto"/>
        </w:rPr>
      </w:pPr>
    </w:p>
    <w:p>
      <w:pPr>
        <w:sectPr>
          <w:pgSz w:w="11900" w:h="16838" w:orient="portrait"/>
          <w:cols w:equalWidth="0" w:num="2">
            <w:col w:w="8394" w:space="220"/>
            <w:col w:w="2360"/>
          </w:cols>
          <w:pgMar w:left="346" w:top="931" w:right="579" w:bottom="1440" w:gutter="0" w:footer="0" w:header="0"/>
          <w:type w:val="continuous"/>
        </w:sectPr>
      </w:pPr>
    </w:p>
    <w:p>
      <w:pPr>
        <w:ind w:left="654" w:hanging="654"/>
        <w:spacing w:after="0"/>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Management contract or compensation plan or arrangement required to be filed as an exhibit to this Annual Report on Form 10-K.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5494"/>
        <w:spacing w:after="0"/>
        <w:rPr>
          <w:rFonts w:ascii="Arial" w:cs="Arial" w:eastAsia="Arial" w:hAnsi="Arial"/>
          <w:sz w:val="17"/>
          <w:szCs w:val="17"/>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4"/>
          </w:cols>
          <w:pgMar w:left="346" w:top="931" w:right="579" w:bottom="1440" w:gutter="0" w:footer="0" w:header="0"/>
          <w:type w:val="continuous"/>
        </w:sectPr>
      </w:pPr>
    </w:p>
    <w:bookmarkStart w:id="64" w:name="page65"/>
    <w:bookmarkEnd w:id="64"/>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filed March 2, 2021.</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November 3, 2009.</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Annual Report on Form 10-K for the fiscal year ended March 28, 2021.</w:t>
      </w:r>
    </w:p>
    <w:p>
      <w:pPr>
        <w:spacing w:after="0" w:line="171" w:lineRule="exact"/>
        <w:rPr>
          <w:rFonts w:ascii="Arial" w:cs="Arial" w:eastAsia="Arial" w:hAnsi="Arial"/>
          <w:sz w:val="18"/>
          <w:szCs w:val="18"/>
          <w:color w:val="auto"/>
        </w:rPr>
      </w:pPr>
    </w:p>
    <w:p>
      <w:pPr>
        <w:ind w:left="580" w:hanging="329"/>
        <w:spacing w:after="0" w:line="287" w:lineRule="auto"/>
        <w:tabs>
          <w:tab w:leader="none" w:pos="5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for the quarterly period ended September 29, 2024.</w:t>
      </w:r>
    </w:p>
    <w:p>
      <w:pPr>
        <w:spacing w:after="0" w:line="98"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99.1 to the Company’s Registration Statement on Form S-8 filed November 2, 2018.</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10.4 to the Company’s Annual Report on Form 10-K for the fiscal year ended April 2, 2023.</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April 1, 2022.</w:t>
      </w:r>
    </w:p>
    <w:p>
      <w:pPr>
        <w:spacing w:after="0" w:line="171" w:lineRule="exact"/>
        <w:rPr>
          <w:rFonts w:ascii="Arial" w:cs="Arial" w:eastAsia="Arial" w:hAnsi="Arial"/>
          <w:sz w:val="18"/>
          <w:szCs w:val="18"/>
          <w:color w:val="auto"/>
        </w:rPr>
      </w:pPr>
    </w:p>
    <w:p>
      <w:pPr>
        <w:ind w:left="580" w:hanging="329"/>
        <w:spacing w:after="0" w:line="287" w:lineRule="auto"/>
        <w:tabs>
          <w:tab w:leader="none" w:pos="5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quarterly period ended September 29, 2024.</w:t>
      </w:r>
    </w:p>
    <w:p>
      <w:pPr>
        <w:spacing w:after="0" w:line="98"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April 30, 2025.</w:t>
      </w:r>
    </w:p>
    <w:p>
      <w:pPr>
        <w:spacing w:after="0" w:line="171" w:lineRule="exact"/>
        <w:rPr>
          <w:rFonts w:ascii="Arial" w:cs="Arial" w:eastAsia="Arial" w:hAnsi="Arial"/>
          <w:sz w:val="18"/>
          <w:szCs w:val="18"/>
          <w:color w:val="auto"/>
        </w:rPr>
      </w:pPr>
    </w:p>
    <w:p>
      <w:pPr>
        <w:ind w:left="580" w:hanging="329"/>
        <w:spacing w:after="0" w:line="287" w:lineRule="auto"/>
        <w:tabs>
          <w:tab w:leader="none" w:pos="6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quarterly period ended September 28, 2025.</w:t>
      </w:r>
    </w:p>
    <w:p>
      <w:pPr>
        <w:spacing w:after="0" w:line="98" w:lineRule="exact"/>
        <w:rPr>
          <w:rFonts w:ascii="Arial" w:cs="Arial" w:eastAsia="Arial" w:hAnsi="Arial"/>
          <w:sz w:val="18"/>
          <w:szCs w:val="18"/>
          <w:color w:val="auto"/>
        </w:rPr>
      </w:pPr>
    </w:p>
    <w:p>
      <w:pPr>
        <w:ind w:left="580" w:hanging="329"/>
        <w:spacing w:after="0" w:line="287" w:lineRule="auto"/>
        <w:tabs>
          <w:tab w:leader="none" w:pos="5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for the quarterly period ended September 29, 2019.</w:t>
      </w:r>
    </w:p>
    <w:p>
      <w:pPr>
        <w:spacing w:after="0" w:line="98"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10.10 to the Company’s Annual Report on Form 10-K for the fiscal year ended March 29, 2020.</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19 to the Company’s Annual Report on Form 10-K for the fiscal year ended March 30, 2025.</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97 to the Company’s Annual Report on Form 10-K for the fiscal year ended March 31,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65" w:name="page66"/>
    <w:bookmarkEnd w:id="65"/>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HAWKINS, INC.</w:t>
      </w:r>
    </w:p>
    <w:p>
      <w:pPr>
        <w:spacing w:after="0" w:line="293" w:lineRule="exact"/>
        <w:rPr>
          <w:sz w:val="20"/>
          <w:szCs w:val="20"/>
          <w:color w:val="auto"/>
        </w:rPr>
      </w:pPr>
    </w:p>
    <w:p>
      <w:pPr>
        <w:ind w:left="610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17780</wp:posOffset>
            </wp:positionV>
            <wp:extent cx="25031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Patrick H. Hawkins</w:t>
      </w:r>
    </w:p>
    <w:p>
      <w:pPr>
        <w:ind w:left="6800"/>
        <w:spacing w:after="0"/>
        <w:rPr>
          <w:sz w:val="20"/>
          <w:szCs w:val="20"/>
          <w:color w:val="auto"/>
        </w:rPr>
      </w:pPr>
      <w:r>
        <w:rPr>
          <w:rFonts w:ascii="Arial" w:cs="Arial" w:eastAsia="Arial" w:hAnsi="Arial"/>
          <w:sz w:val="18"/>
          <w:szCs w:val="18"/>
          <w:color w:val="auto"/>
        </w:rPr>
        <w:t>Chief Executive Officer and President</w:t>
      </w:r>
    </w:p>
    <w:p>
      <w:pPr>
        <w:spacing w:after="0" w:line="18"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Dated:</w:t>
        <w:tab/>
        <w:t>May 13, 2026</w:t>
      </w:r>
    </w:p>
    <w:p>
      <w:pPr>
        <w:spacing w:after="0" w:line="333"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tcPr>
          <w:p>
            <w:pPr>
              <w:ind w:left="20"/>
              <w:spacing w:after="0"/>
              <w:rPr>
                <w:sz w:val="20"/>
                <w:szCs w:val="20"/>
                <w:color w:val="auto"/>
              </w:rPr>
            </w:pPr>
            <w:r>
              <w:rPr>
                <w:rFonts w:ascii="Arial" w:cs="Arial" w:eastAsia="Arial" w:hAnsi="Arial"/>
                <w:sz w:val="18"/>
                <w:szCs w:val="18"/>
                <w:color w:val="auto"/>
              </w:rPr>
              <w:t>Signature</w:t>
            </w:r>
          </w:p>
        </w:tc>
        <w:tc>
          <w:tcPr>
            <w:tcW w:w="26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166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466"/>
        </w:trPr>
        <w:tc>
          <w:tcPr>
            <w:tcW w:w="3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 Patrick H. Hawkins</w:t>
            </w:r>
          </w:p>
        </w:tc>
        <w:tc>
          <w:tcPr>
            <w:tcW w:w="260" w:type="dxa"/>
            <w:vAlign w:val="bottom"/>
          </w:tcPr>
          <w:p>
            <w:pPr>
              <w:spacing w:after="0"/>
              <w:rPr>
                <w:sz w:val="24"/>
                <w:szCs w:val="24"/>
                <w:color w:val="auto"/>
              </w:rPr>
            </w:pPr>
          </w:p>
        </w:tc>
        <w:tc>
          <w:tcPr>
            <w:tcW w:w="5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May 13, 2026</w:t>
            </w:r>
          </w:p>
        </w:tc>
      </w:tr>
      <w:tr>
        <w:trPr>
          <w:trHeight w:val="218"/>
        </w:trPr>
        <w:tc>
          <w:tcPr>
            <w:tcW w:w="3320" w:type="dxa"/>
            <w:vAlign w:val="bottom"/>
          </w:tcPr>
          <w:p>
            <w:pPr>
              <w:ind w:left="20"/>
              <w:spacing w:after="0"/>
              <w:rPr>
                <w:sz w:val="20"/>
                <w:szCs w:val="20"/>
                <w:color w:val="auto"/>
              </w:rPr>
            </w:pPr>
            <w:r>
              <w:rPr>
                <w:rFonts w:ascii="Arial" w:cs="Arial" w:eastAsia="Arial" w:hAnsi="Arial"/>
                <w:sz w:val="18"/>
                <w:szCs w:val="18"/>
                <w:color w:val="auto"/>
              </w:rPr>
              <w:t>Patrick H. Hawkins</w:t>
            </w:r>
          </w:p>
        </w:tc>
        <w:tc>
          <w:tcPr>
            <w:tcW w:w="26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660" w:type="dxa"/>
            <w:vAlign w:val="bottom"/>
          </w:tcPr>
          <w:p>
            <w:pPr>
              <w:spacing w:after="0"/>
              <w:rPr>
                <w:sz w:val="18"/>
                <w:szCs w:val="18"/>
                <w:color w:val="auto"/>
              </w:rPr>
            </w:pPr>
          </w:p>
        </w:tc>
      </w:tr>
      <w:tr>
        <w:trPr>
          <w:trHeight w:val="239"/>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660" w:type="dxa"/>
            <w:vAlign w:val="bottom"/>
          </w:tcPr>
          <w:p>
            <w:pPr>
              <w:spacing w:after="0"/>
              <w:rPr>
                <w:sz w:val="20"/>
                <w:szCs w:val="20"/>
                <w:color w:val="auto"/>
              </w:rPr>
            </w:pPr>
          </w:p>
        </w:tc>
      </w:tr>
      <w:tr>
        <w:trPr>
          <w:trHeight w:val="482"/>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P. Oldenkamp</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18"/>
        </w:trPr>
        <w:tc>
          <w:tcPr>
            <w:tcW w:w="3320" w:type="dxa"/>
            <w:vAlign w:val="bottom"/>
          </w:tcPr>
          <w:p>
            <w:pPr>
              <w:ind w:left="20"/>
              <w:spacing w:after="0"/>
              <w:rPr>
                <w:sz w:val="20"/>
                <w:szCs w:val="20"/>
                <w:color w:val="auto"/>
              </w:rPr>
            </w:pPr>
            <w:r>
              <w:rPr>
                <w:rFonts w:ascii="Arial" w:cs="Arial" w:eastAsia="Arial" w:hAnsi="Arial"/>
                <w:sz w:val="18"/>
                <w:szCs w:val="18"/>
                <w:color w:val="auto"/>
              </w:rPr>
              <w:t>Jeffrey P. Oldenkamp</w:t>
            </w:r>
          </w:p>
        </w:tc>
        <w:tc>
          <w:tcPr>
            <w:tcW w:w="26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660" w:type="dxa"/>
            <w:vAlign w:val="bottom"/>
          </w:tcPr>
          <w:p>
            <w:pPr>
              <w:spacing w:after="0"/>
              <w:rPr>
                <w:sz w:val="18"/>
                <w:szCs w:val="18"/>
                <w:color w:val="auto"/>
              </w:rPr>
            </w:pPr>
          </w:p>
        </w:tc>
      </w:tr>
      <w:tr>
        <w:trPr>
          <w:trHeight w:val="239"/>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660" w:type="dxa"/>
            <w:vAlign w:val="bottom"/>
          </w:tcPr>
          <w:p>
            <w:pPr>
              <w:spacing w:after="0"/>
              <w:rPr>
                <w:sz w:val="20"/>
                <w:szCs w:val="20"/>
                <w:color w:val="auto"/>
              </w:rPr>
            </w:pPr>
          </w:p>
        </w:tc>
      </w:tr>
      <w:tr>
        <w:trPr>
          <w:trHeight w:val="482"/>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James A. Faulconbridge</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Mary J. Schumacher</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Jeffrey E. Spethmann</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9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Daniel J. Stauber</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Yi "Faith" Tang</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James T. Thompson</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13, 2026</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Jeffrey L. Wright</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82" w:lineRule="exact"/>
        <w:rPr>
          <w:sz w:val="20"/>
          <w:szCs w:val="20"/>
          <w:color w:val="auto"/>
        </w:rPr>
      </w:pPr>
    </w:p>
    <w:p>
      <w:pPr>
        <w:ind w:right="220" w:firstLine="8"/>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Patrick H. Hawkins, by signing his name hereto, does hereby sign this document on behalf of each of the above-named directors of the registrant pursuant to Powers of Attorney duly executed by such persons.</w:t>
      </w:r>
    </w:p>
    <w:p>
      <w:pPr>
        <w:ind w:left="4860"/>
        <w:spacing w:after="0"/>
        <w:rPr>
          <w:sz w:val="20"/>
          <w:szCs w:val="20"/>
          <w:color w:val="auto"/>
        </w:rPr>
      </w:pPr>
      <w:r>
        <w:rPr>
          <w:rFonts w:ascii="Arial" w:cs="Arial" w:eastAsia="Arial" w:hAnsi="Arial"/>
          <w:sz w:val="18"/>
          <w:szCs w:val="18"/>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12065</wp:posOffset>
            </wp:positionV>
            <wp:extent cx="30772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Patrick H. Hawkins</w:t>
      </w:r>
    </w:p>
    <w:p>
      <w:pPr>
        <w:spacing w:after="0" w:line="3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66" w:name="page67"/>
    <w:bookmarkEnd w:id="66"/>
    <w:p>
      <w:pPr>
        <w:jc w:val="center"/>
        <w:ind w:right="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HAWKINS, INC.</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FISCAL YEARS ENDED March 29, 2026, March 30, 2025 AND March 31,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Additions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Charged to</w:t>
            </w:r>
          </w:p>
        </w:tc>
        <w:tc>
          <w:tcPr>
            <w:tcW w:w="240" w:type="dxa"/>
            <w:vAlign w:val="bottom"/>
          </w:tcPr>
          <w:p>
            <w:pPr>
              <w:spacing w:after="0"/>
              <w:rPr>
                <w:sz w:val="14"/>
                <w:szCs w:val="14"/>
                <w:color w:val="auto"/>
              </w:rPr>
            </w:pPr>
          </w:p>
        </w:tc>
        <w:tc>
          <w:tcPr>
            <w:tcW w:w="12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Charged to</w:t>
            </w:r>
          </w:p>
        </w:tc>
        <w:tc>
          <w:tcPr>
            <w:tcW w:w="280" w:type="dxa"/>
            <w:vAlign w:val="bottom"/>
          </w:tcPr>
          <w:p>
            <w:pPr>
              <w:spacing w:after="0"/>
              <w:rPr>
                <w:sz w:val="14"/>
                <w:szCs w:val="14"/>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Deductions</w:t>
            </w:r>
          </w:p>
        </w:tc>
        <w:tc>
          <w:tcPr>
            <w:tcW w:w="220" w:type="dxa"/>
            <w:vAlign w:val="bottom"/>
          </w:tcPr>
          <w:p>
            <w:pPr>
              <w:spacing w:after="0"/>
              <w:rPr>
                <w:sz w:val="14"/>
                <w:szCs w:val="14"/>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175"/>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5"/>
                <w:szCs w:val="15"/>
                <w:color w:val="auto"/>
              </w:rPr>
            </w:pPr>
          </w:p>
        </w:tc>
        <w:tc>
          <w:tcPr>
            <w:tcW w:w="134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9"/>
              </w:rPr>
              <w:t>Beginning</w:t>
            </w: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Costs and</w:t>
            </w:r>
          </w:p>
        </w:tc>
        <w:tc>
          <w:tcPr>
            <w:tcW w:w="24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Other</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8"/>
              </w:rPr>
              <w:t>of Year</w:t>
            </w:r>
          </w:p>
        </w:tc>
        <w:tc>
          <w:tcPr>
            <w:tcW w:w="160" w:type="dxa"/>
            <w:vAlign w:val="bottom"/>
          </w:tcPr>
          <w:p>
            <w:pPr>
              <w:spacing w:after="0"/>
              <w:rPr>
                <w:sz w:val="17"/>
                <w:szCs w:val="17"/>
                <w:color w:val="auto"/>
              </w:rPr>
            </w:pPr>
          </w:p>
        </w:tc>
        <w:tc>
          <w:tcPr>
            <w:tcW w:w="12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Expenses</w:t>
            </w:r>
          </w:p>
        </w:tc>
        <w:tc>
          <w:tcPr>
            <w:tcW w:w="24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Accounts</w:t>
            </w:r>
          </w:p>
        </w:tc>
        <w:tc>
          <w:tcPr>
            <w:tcW w:w="280" w:type="dxa"/>
            <w:vAlign w:val="bottom"/>
          </w:tcPr>
          <w:p>
            <w:pPr>
              <w:spacing w:after="0"/>
              <w:rPr>
                <w:sz w:val="17"/>
                <w:szCs w:val="17"/>
                <w:color w:val="auto"/>
              </w:rPr>
            </w:pPr>
          </w:p>
        </w:tc>
        <w:tc>
          <w:tcPr>
            <w:tcW w:w="12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Write-Offs</w:t>
            </w:r>
          </w:p>
        </w:tc>
        <w:tc>
          <w:tcPr>
            <w:tcW w:w="220" w:type="dxa"/>
            <w:vAlign w:val="bottom"/>
          </w:tcPr>
          <w:p>
            <w:pPr>
              <w:spacing w:after="0"/>
              <w:rPr>
                <w:sz w:val="17"/>
                <w:szCs w:val="17"/>
                <w:color w:val="auto"/>
              </w:rPr>
            </w:pP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End of Year</w:t>
            </w: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Reserve deducted from asset to which it</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spacing w:after="0"/>
              <w:rPr>
                <w:sz w:val="20"/>
                <w:szCs w:val="20"/>
                <w:color w:val="auto"/>
              </w:rPr>
            </w:pPr>
            <w:r>
              <w:rPr>
                <w:rFonts w:ascii="Arial" w:cs="Arial" w:eastAsia="Arial" w:hAnsi="Arial"/>
                <w:sz w:val="18"/>
                <w:szCs w:val="18"/>
                <w:color w:val="auto"/>
              </w:rPr>
              <w:t>applies: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Fiscal Year Ended March 29, 2026:</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Fiscal Year Ended March 30, 2025:</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356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Fiscal Year Ended March 31, 2024:</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190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ectPr>
          <w:pgSz w:w="11900" w:h="16838" w:orient="portrait"/>
          <w:cols w:equalWidth="0" w:num="1">
            <w:col w:w="11140"/>
          </w:cols>
          <w:pgMar w:left="400" w:top="931" w:right="35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0" w:type="dxa"/>
            <w:vAlign w:val="bottom"/>
          </w:tcPr>
          <w:p>
            <w:pPr>
              <w:spacing w:after="0"/>
              <w:rPr>
                <w:sz w:val="21"/>
                <w:szCs w:val="21"/>
                <w:color w:val="auto"/>
              </w:rPr>
            </w:pPr>
          </w:p>
        </w:tc>
        <w:tc>
          <w:tcPr>
            <w:tcW w:w="7940" w:type="dxa"/>
            <w:vAlign w:val="bottom"/>
            <w:vMerge w:val="restart"/>
          </w:tcPr>
          <w:p>
            <w:pPr>
              <w:ind w:left="3520"/>
              <w:spacing w:after="0"/>
              <w:rPr>
                <w:sz w:val="20"/>
                <w:szCs w:val="20"/>
                <w:color w:val="auto"/>
              </w:rPr>
            </w:pPr>
            <w:r>
              <w:rPr>
                <w:rFonts w:ascii="Arial" w:cs="Arial" w:eastAsia="Arial" w:hAnsi="Arial"/>
                <w:sz w:val="18"/>
                <w:szCs w:val="18"/>
                <w:b w:val="1"/>
                <w:bCs w:val="1"/>
                <w:color w:val="auto"/>
              </w:rPr>
              <w:t>Subsidiaries of Hawkins, Inc.</w:t>
            </w:r>
          </w:p>
        </w:tc>
        <w:tc>
          <w:tcPr>
            <w:tcW w:w="2440" w:type="dxa"/>
            <w:vAlign w:val="bottom"/>
            <w:gridSpan w:val="2"/>
          </w:tcPr>
          <w:p>
            <w:pPr>
              <w:ind w:left="1600"/>
              <w:spacing w:after="0"/>
              <w:rPr>
                <w:sz w:val="20"/>
                <w:szCs w:val="20"/>
                <w:color w:val="auto"/>
              </w:rPr>
            </w:pPr>
            <w:r>
              <w:rPr>
                <w:rFonts w:ascii="Arial" w:cs="Arial" w:eastAsia="Arial" w:hAnsi="Arial"/>
                <w:sz w:val="18"/>
                <w:szCs w:val="18"/>
                <w:b w:val="1"/>
                <w:bCs w:val="1"/>
                <w:color w:val="auto"/>
                <w:w w:val="96"/>
              </w:rPr>
              <w:t>Exhibit 21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9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0"/>
        </w:trPr>
        <w:tc>
          <w:tcPr>
            <w:tcW w:w="878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2440" w:type="dxa"/>
            <w:vAlign w:val="bottom"/>
            <w:gridSpan w:val="2"/>
          </w:tcPr>
          <w:p>
            <w:pPr>
              <w:spacing w:after="0"/>
              <w:rPr>
                <w:sz w:val="20"/>
                <w:szCs w:val="20"/>
                <w:color w:val="auto"/>
              </w:rPr>
            </w:pPr>
            <w:r>
              <w:rPr>
                <w:rFonts w:ascii="Arial" w:cs="Arial" w:eastAsia="Arial" w:hAnsi="Arial"/>
                <w:sz w:val="18"/>
                <w:szCs w:val="18"/>
                <w:color w:val="auto"/>
              </w:rPr>
              <w:t>State of Organization</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780" w:type="dxa"/>
            <w:vAlign w:val="bottom"/>
            <w:gridSpan w:val="2"/>
          </w:tcPr>
          <w:p>
            <w:pPr>
              <w:spacing w:after="0"/>
              <w:rPr>
                <w:sz w:val="20"/>
                <w:szCs w:val="20"/>
                <w:color w:val="auto"/>
              </w:rPr>
            </w:pPr>
            <w:r>
              <w:rPr>
                <w:rFonts w:ascii="Arial" w:cs="Arial" w:eastAsia="Arial" w:hAnsi="Arial"/>
                <w:sz w:val="18"/>
                <w:szCs w:val="18"/>
                <w:color w:val="auto"/>
              </w:rPr>
              <w:t>Stauber Holdings,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Stauber Performance Ingredients, Inc., a subsidiary of Stauber Holdings,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Water Solutions Unlimited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Superior Imports LLC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Preferred Ingredients LLC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WaterSurplus,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39"/>
        </w:trPr>
        <w:tc>
          <w:tcPr>
            <w:tcW w:w="8780" w:type="dxa"/>
            <w:vAlign w:val="bottom"/>
            <w:gridSpan w:val="2"/>
          </w:tcPr>
          <w:p>
            <w:pPr>
              <w:spacing w:after="0"/>
              <w:rPr>
                <w:sz w:val="20"/>
                <w:szCs w:val="20"/>
                <w:color w:val="auto"/>
              </w:rPr>
            </w:pPr>
            <w:r>
              <w:rPr>
                <w:rFonts w:ascii="Arial" w:cs="Arial" w:eastAsia="Arial" w:hAnsi="Arial"/>
                <w:sz w:val="18"/>
                <w:szCs w:val="18"/>
                <w:color w:val="auto"/>
              </w:rPr>
              <w:t>PhillTech Corporation</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1" w:lineRule="exact"/>
        <w:rPr>
          <w:sz w:val="20"/>
          <w:szCs w:val="20"/>
          <w:color w:val="auto"/>
        </w:rPr>
      </w:pPr>
    </w:p>
    <w:p>
      <w:pPr>
        <w:ind w:right="460"/>
        <w:spacing w:after="0" w:line="231" w:lineRule="auto"/>
        <w:rPr>
          <w:sz w:val="20"/>
          <w:szCs w:val="20"/>
          <w:color w:val="auto"/>
        </w:rPr>
      </w:pPr>
      <w:r>
        <w:rPr>
          <w:rFonts w:ascii="Arial" w:cs="Arial" w:eastAsia="Arial" w:hAnsi="Arial"/>
          <w:sz w:val="18"/>
          <w:szCs w:val="18"/>
          <w:color w:val="auto"/>
        </w:rPr>
        <w:t>We consent to the incorporation by reference in Registration Statement Nos. 333-87582, 333-123080, 333-172761, 333-174735, 333-228128, and 333-234432 on Form S-8 of our reports dated May 13, 2026 relating to the financial statements of Hawkins, Inc. and the effectiveness of Hawkins Inc.'s internal control over financial reporting appearing in this Annual Report on Form 10-K for the year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29,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May 13, 2026</w:t>
      </w:r>
    </w:p>
    <w:p>
      <w:pPr>
        <w:sectPr>
          <w:pgSz w:w="11900" w:h="16838" w:orient="portrait"/>
          <w:cols w:equalWidth="0" w:num="1">
            <w:col w:w="11240"/>
          </w:cols>
          <w:pgMar w:left="320" w:top="89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We have issued our report dated May 14, 2025 (except for Notes 3, 7, 15, 16 and 17, as to which the date is May 13, 2026), with respect to the consolidated financial statements­ included in the Annual Report of Hawkins, Inc.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March 29, 2026. We consent to the incorporation by reference of said reports in the Registration Statements of Hawkins, Inc. on Forms S-8 (File Nos. 333-87582, 333-123080, 333-172761, 333-174735, 333-228128, and 333-234432).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13, 2026</w:t>
      </w:r>
    </w:p>
    <w:p>
      <w:pPr>
        <w:sectPr>
          <w:pgSz w:w="11900" w:h="16838" w:orient="portrait"/>
          <w:cols w:equalWidth="0" w:num="1">
            <w:col w:w="11240"/>
          </w:cols>
          <w:pgMar w:left="320" w:top="890" w:right="339" w:bottom="1440" w:gutter="0" w:footer="0" w:header="0"/>
        </w:sectPr>
      </w:pPr>
    </w:p>
    <w:bookmarkStart w:id="70" w:name="page71"/>
    <w:bookmarkEnd w:id="70"/>
    <w:p>
      <w:pPr>
        <w:ind w:left="4900"/>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2026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A. Faulconbridge</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29, 2026</w:t>
      </w:r>
    </w:p>
    <w:p>
      <w:pPr>
        <w:sectPr>
          <w:pgSz w:w="11900" w:h="16838" w:orient="portrait"/>
          <w:cols w:equalWidth="0" w:num="1">
            <w:col w:w="11240"/>
          </w:cols>
          <w:pgMar w:left="320" w:top="1412" w:right="339" w:bottom="1440" w:gutter="0" w:footer="0" w:header="0"/>
        </w:sectPr>
      </w:pPr>
    </w:p>
    <w:bookmarkStart w:id="71" w:name="page72"/>
    <w:bookmarkEnd w:id="71"/>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2026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Mary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17780</wp:posOffset>
            </wp:positionV>
            <wp:extent cx="2091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Mary J. Schumacher</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April 29, 2026</w:t>
      </w:r>
    </w:p>
    <w:p>
      <w:pPr>
        <w:sectPr>
          <w:pgSz w:w="11900" w:h="16838" w:orient="portrait"/>
          <w:cols w:equalWidth="0" w:num="1">
            <w:col w:w="11240"/>
          </w:cols>
          <w:pgMar w:left="320" w:top="1412" w:right="339" w:bottom="1440" w:gutter="0" w:footer="0" w:header="0"/>
        </w:sectPr>
      </w:pPr>
    </w:p>
    <w:bookmarkStart w:id="72" w:name="page73"/>
    <w:bookmarkEnd w:id="72"/>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2026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Jeffrey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17780</wp:posOffset>
            </wp:positionV>
            <wp:extent cx="2091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Jeffrey E. Spethmann</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April 29, 2026</w:t>
      </w:r>
    </w:p>
    <w:p>
      <w:pPr>
        <w:sectPr>
          <w:pgSz w:w="11900" w:h="16838" w:orient="portrait"/>
          <w:cols w:equalWidth="0" w:num="1">
            <w:col w:w="11240"/>
          </w:cols>
          <w:pgMar w:left="320" w:top="1412" w:right="339" w:bottom="1440" w:gutter="0" w:footer="0" w:header="0"/>
        </w:sectPr>
      </w:pPr>
    </w:p>
    <w:bookmarkStart w:id="73" w:name="page74"/>
    <w:bookmarkEnd w:id="73"/>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2026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Daniel J.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Daniel J. Stauber</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29, 2026</w:t>
      </w:r>
    </w:p>
    <w:p>
      <w:pPr>
        <w:sectPr>
          <w:pgSz w:w="11900" w:h="16838" w:orient="portrait"/>
          <w:cols w:equalWidth="0" w:num="1">
            <w:col w:w="11240"/>
          </w:cols>
          <w:pgMar w:left="320" w:top="1412" w:right="339" w:bottom="1440" w:gutter="0" w:footer="0" w:header="0"/>
        </w:sectPr>
      </w:pPr>
    </w:p>
    <w:bookmarkStart w:id="74" w:name="page75"/>
    <w:bookmarkEnd w:id="74"/>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2026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Yi “Faith”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Yi “Faith” Tang</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29, 2026</w:t>
      </w:r>
    </w:p>
    <w:p>
      <w:pPr>
        <w:sectPr>
          <w:pgSz w:w="11900" w:h="16838" w:orient="portrait"/>
          <w:cols w:equalWidth="0" w:num="1">
            <w:col w:w="11240"/>
          </w:cols>
          <w:pgMar w:left="320" w:top="1412" w:right="339" w:bottom="1440" w:gutter="0" w:footer="0" w:header="0"/>
        </w:sectPr>
      </w:pPr>
    </w:p>
    <w:bookmarkStart w:id="75" w:name="page76"/>
    <w:bookmarkEnd w:id="75"/>
    <w:p>
      <w:pPr>
        <w:ind w:left="4900"/>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2026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Thompson</w:t>
      </w:r>
    </w:p>
    <w:p>
      <w:pPr>
        <w:spacing w:after="0" w:line="3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29, 2026</w:t>
      </w:r>
    </w:p>
    <w:p>
      <w:pPr>
        <w:sectPr>
          <w:pgSz w:w="11900" w:h="16838" w:orient="portrait"/>
          <w:cols w:equalWidth="0" w:num="1">
            <w:col w:w="11240"/>
          </w:cols>
          <w:pgMar w:left="320" w:top="1412" w:right="339" w:bottom="1440" w:gutter="0" w:footer="0" w:header="0"/>
        </w:sectPr>
      </w:pPr>
    </w:p>
    <w:bookmarkStart w:id="76" w:name="page77"/>
    <w:bookmarkEnd w:id="76"/>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2026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Jeffrey L. Wright</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29, 2026</w:t>
      </w:r>
    </w:p>
    <w:p>
      <w:pPr>
        <w:sectPr>
          <w:pgSz w:w="11900" w:h="16838" w:orient="portrait"/>
          <w:cols w:equalWidth="0" w:num="1">
            <w:col w:w="11240"/>
          </w:cols>
          <w:pgMar w:left="320" w:top="141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6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ind w:left="660" w:right="80" w:hanging="328"/>
        <w:spacing w:after="0" w:line="253" w:lineRule="auto"/>
        <w:tabs>
          <w:tab w:leader="none" w:pos="6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3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2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300" w:right="300" w:hanging="320"/>
        <w:spacing w:after="0" w:line="253" w:lineRule="auto"/>
        <w:tabs>
          <w:tab w:leader="none" w:pos="13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300" w:right="60" w:hanging="320"/>
        <w:spacing w:after="0" w:line="253" w:lineRule="auto"/>
        <w:tabs>
          <w:tab w:leader="none" w:pos="12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60" w:right="340" w:hanging="328"/>
        <w:spacing w:after="0" w:line="253" w:lineRule="auto"/>
        <w:tabs>
          <w:tab w:leader="none" w:pos="6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jc w:val="both"/>
        <w:ind w:left="1300" w:right="440" w:hanging="320"/>
        <w:spacing w:after="0" w:line="253" w:lineRule="auto"/>
        <w:tabs>
          <w:tab w:leader="none" w:pos="13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1300" w:right="800" w:hanging="320"/>
        <w:spacing w:after="0" w:line="271" w:lineRule="auto"/>
        <w:tabs>
          <w:tab w:leader="none" w:pos="12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Patrick H. Hawkins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9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ind w:left="660" w:right="8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3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2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300" w:right="300" w:hanging="320"/>
        <w:spacing w:after="0" w:line="253" w:lineRule="auto"/>
        <w:tabs>
          <w:tab w:leader="none" w:pos="13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300" w:right="60" w:hanging="320"/>
        <w:spacing w:after="0" w:line="253" w:lineRule="auto"/>
        <w:tabs>
          <w:tab w:leader="none" w:pos="12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60" w:right="34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jc w:val="both"/>
        <w:ind w:left="1300" w:right="440" w:hanging="320"/>
        <w:spacing w:after="0" w:line="253" w:lineRule="auto"/>
        <w:tabs>
          <w:tab w:leader="none" w:pos="13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1300" w:right="800" w:hanging="320"/>
        <w:spacing w:after="0" w:line="271" w:lineRule="auto"/>
        <w:tabs>
          <w:tab w:leader="none" w:pos="12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2026</w:t>
      </w:r>
    </w:p>
    <w:p>
      <w:pPr>
        <w:spacing w:after="0" w:line="50" w:lineRule="exact"/>
        <w:rPr>
          <w:sz w:val="20"/>
          <w:szCs w:val="20"/>
          <w:color w:val="auto"/>
        </w:rPr>
      </w:pPr>
    </w:p>
    <w:p>
      <w:pPr>
        <w:ind w:left="6040"/>
        <w:spacing w:after="0"/>
        <w:rPr>
          <w:sz w:val="20"/>
          <w:szCs w:val="20"/>
          <w:color w:val="auto"/>
        </w:rPr>
      </w:pPr>
      <w:r>
        <w:rPr>
          <w:rFonts w:ascii="Arial" w:cs="Arial" w:eastAsia="Arial" w:hAnsi="Arial"/>
          <w:sz w:val="18"/>
          <w:szCs w:val="18"/>
          <w:u w:val="single" w:color="auto"/>
          <w:color w:val="auto"/>
        </w:rPr>
        <w:t>/s/ Jeffrey P. Oldenkamp</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45"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29, 2026,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87"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Patrick H. Hawkins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13, 2026</w:t>
      </w:r>
    </w:p>
    <w:p>
      <w:pPr>
        <w:sectPr>
          <w:pgSz w:w="11900" w:h="16838" w:orient="portrait"/>
          <w:cols w:equalWidth="0" w:num="1">
            <w:col w:w="11240"/>
          </w:cols>
          <w:pgMar w:left="320" w:top="89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29, 2026,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87"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Jeffrey P. Oldenkamp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13,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lvl w:ilvl="1">
      <w:lvlJc w:val="left"/>
      <w:lvlText w:val="\endash "/>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9"/>
    </w:lvl>
  </w:abstractNum>
  <w:abstractNum w:abstractNumId="16">
    <w:nsid w:val="333AB105"/>
    <w:multiLevelType w:val="hybridMultilevel"/>
    <w:lvl w:ilvl="0">
      <w:lvlJc w:val="left"/>
      <w:lvlText w:val="%1"/>
      <w:numFmt w:val="decimal"/>
      <w:start w:val="21"/>
    </w:lvl>
  </w:abstractNum>
  <w:abstractNum w:abstractNumId="17">
    <w:nsid w:val="721DA317"/>
    <w:multiLevelType w:val="hybridMultilevel"/>
    <w:lvl w:ilvl="0">
      <w:lvlJc w:val="left"/>
      <w:lvlText w:val="%1"/>
      <w:numFmt w:val="decimal"/>
      <w:start w:val="97"/>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2"/>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81" Type="http://schemas.openxmlformats.org/officeDocument/2006/relationships/hyperlink" Target="https://www.sec.gov/Archives/edgar/data/46250/000004625021000012/exhibit32.htm" TargetMode="External"/><Relationship Id="rId82" Type="http://schemas.openxmlformats.org/officeDocument/2006/relationships/hyperlink" Target="https://www.sec.gov/Archives/edgar/data/46250/000089710109002205/hawkins095018_ex3-1.htm" TargetMode="External"/><Relationship Id="rId83" Type="http://schemas.openxmlformats.org/officeDocument/2006/relationships/hyperlink" Target="https://www.sec.gov/Archives/edgar/data/46250/000004625021000019/hwkn10k2021exhibit41.htm" TargetMode="External"/><Relationship Id="rId84" Type="http://schemas.openxmlformats.org/officeDocument/2006/relationships/hyperlink" Target="https://www.sec.gov/Archives/edgar/data/46250/000004625024000027/a10qfy2025q2092924ex102.htm" TargetMode="External"/><Relationship Id="rId85" Type="http://schemas.openxmlformats.org/officeDocument/2006/relationships/hyperlink" Target="https://www.sec.gov/Archives/edgar/data/46250/000119312518316437/d643918dex991.htm" TargetMode="External"/><Relationship Id="rId86" Type="http://schemas.openxmlformats.org/officeDocument/2006/relationships/hyperlink" Target="https://www.sec.gov/Archives/edgar/data/46250/000004625023000015/hwkn10k2023exhibit104.htm" TargetMode="External"/><Relationship Id="rId87" Type="http://schemas.openxmlformats.org/officeDocument/2006/relationships/hyperlink" Target="https://www.sec.gov/Archives/edgar/data/46250/000004625022000010/exhibit101.htm" TargetMode="External"/><Relationship Id="rId88" Type="http://schemas.openxmlformats.org/officeDocument/2006/relationships/hyperlink" Target="https://www.sec.gov/Archives/edgar/data/46250/000004625024000027/a10qfy2025q2092924ex101.htm" TargetMode="External"/><Relationship Id="rId89" Type="http://schemas.openxmlformats.org/officeDocument/2006/relationships/hyperlink" Target="https://www.sec.gov/Archives/edgar/data/46250/000004625025000021/exhibit101-2025debtmodific.htm" TargetMode="External"/><Relationship Id="rId90" Type="http://schemas.openxmlformats.org/officeDocument/2006/relationships/hyperlink" Target="https://www.sec.gov/Archives/edgar/data/46250/000004625025000057/a10qfy2026q2092825ex101.htm" TargetMode="External"/><Relationship Id="rId91" Type="http://schemas.openxmlformats.org/officeDocument/2006/relationships/hyperlink" Target="https://www.sec.gov/Archives/edgar/data/46250/000004625019000039/hawkins10qq2092919ex103.htm" TargetMode="External"/><Relationship Id="rId92" Type="http://schemas.openxmlformats.org/officeDocument/2006/relationships/hyperlink" Target="https://www.sec.gov/Archives/edgar/data/46250/000004625020000027/hwkn10k2020exhibit1010.htm" TargetMode="External"/><Relationship Id="rId93" Type="http://schemas.openxmlformats.org/officeDocument/2006/relationships/hyperlink" Target="https://www.sec.gov/Archives/edgar/data/46250/000004625025000025/hwkn10k2025exhibit19.htm" TargetMode="External"/><Relationship Id="rId94" Type="http://schemas.openxmlformats.org/officeDocument/2006/relationships/hyperlink" Target="https://www.sec.gov/Archives/edgar/data/46250/000004625024000013/hwkn10k2024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2026-05-13T15:33:28Z</dcterms:created>
  <dcterms:modified xsi:type="dcterms:W3CDTF">2026-05-13T15:33:28Z</dcterms:modified>
</cp:coreProperties>
</file>