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August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center"/>
              <w:ind w:left="324"/>
              <w:spacing w:after="0"/>
              <w:rPr>
                <w:sz w:val="20"/>
                <w:szCs w:val="20"/>
                <w:color w:val="auto"/>
              </w:rPr>
            </w:pPr>
            <w:r>
              <w:rPr>
                <w:rFonts w:ascii="Arial" w:cs="Arial" w:eastAsia="Arial" w:hAnsi="Arial"/>
                <w:sz w:val="18"/>
                <w:szCs w:val="18"/>
                <w:b w:val="1"/>
                <w:bCs w:val="1"/>
                <w:color w:val="auto"/>
                <w:w w:val="87"/>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jc w:val="center"/>
              <w:ind w:left="2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400" w:type="dxa"/>
            <w:vAlign w:val="bottom"/>
          </w:tcPr>
          <w:p>
            <w:pPr>
              <w:spacing w:after="0"/>
              <w:rPr>
                <w:sz w:val="24"/>
                <w:szCs w:val="24"/>
                <w:color w:val="auto"/>
              </w:rPr>
            </w:pPr>
          </w:p>
        </w:tc>
        <w:tc>
          <w:tcPr>
            <w:tcW w:w="6020" w:type="dxa"/>
            <w:vAlign w:val="bottom"/>
          </w:tcPr>
          <w:p>
            <w:pPr>
              <w:jc w:val="center"/>
              <w:ind w:right="36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62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16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62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444"/>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760"/>
          </w:cols>
          <w:pgMar w:left="240" w:top="314"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1, 2012, Hawkins, Inc. issued a press release announcing financial results for its fiscal 2013 first quarter ended July 1, 2012. A copy of the press release issued by the Registrant is furnished herewith as Exhibit 99.1 hereto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Exhibit 99.1—Press Release, dated August 1, 2012, announcing financial results of Hawkins, Inc. for its fiscal 2013 first quarter ended July 1, 2012.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460" w:val="left"/>
          <w:tab w:leader="none" w:pos="796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0540"/>
          </w:cols>
          <w:pgMar w:left="240" w:top="274" w:right="11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3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9"/>
        </w:trPr>
        <w:tc>
          <w:tcPr>
            <w:tcW w:w="4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No.</w:t>
            </w:r>
          </w:p>
        </w:tc>
        <w:tc>
          <w:tcPr>
            <w:tcW w:w="9920" w:type="dxa"/>
            <w:vAlign w:val="bottom"/>
            <w:gridSpan w:val="3"/>
          </w:tcPr>
          <w:p>
            <w:pPr>
              <w:ind w:left="360"/>
              <w:spacing w:after="0" w:line="139" w:lineRule="exact"/>
              <w:rPr>
                <w:sz w:val="20"/>
                <w:szCs w:val="20"/>
                <w:color w:val="auto"/>
              </w:rPr>
            </w:pPr>
            <w:r>
              <w:rPr>
                <w:rFonts w:ascii="Arial" w:cs="Arial" w:eastAsia="Arial" w:hAnsi="Arial"/>
                <w:sz w:val="14"/>
                <w:szCs w:val="14"/>
                <w:color w:val="auto"/>
              </w:rPr>
              <w:t>Description</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auto"/>
                <w:w w:val="92"/>
              </w:rPr>
              <w:t>Method of Filing</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3"/>
        </w:trPr>
        <w:tc>
          <w:tcPr>
            <w:tcW w:w="4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920" w:type="dxa"/>
            <w:vAlign w:val="bottom"/>
            <w:gridSpan w:val="3"/>
          </w:tcPr>
          <w:p>
            <w:pPr>
              <w:ind w:left="360"/>
              <w:spacing w:after="0"/>
              <w:rPr>
                <w:sz w:val="20"/>
                <w:szCs w:val="20"/>
                <w:color w:val="auto"/>
              </w:rPr>
            </w:pPr>
            <w:r>
              <w:rPr>
                <w:rFonts w:ascii="Arial" w:cs="Arial" w:eastAsia="Arial" w:hAnsi="Arial"/>
                <w:sz w:val="18"/>
                <w:szCs w:val="18"/>
                <w:color w:val="auto"/>
                <w:w w:val="94"/>
              </w:rPr>
              <w:t>Press Release, dated August 1, 2012, announcing financial results of Hawkins, Inc. for its fiscal 2013 first quarter ended July 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Electronic</w:t>
            </w:r>
          </w:p>
        </w:tc>
      </w:tr>
      <w:tr>
        <w:trPr>
          <w:trHeight w:val="222"/>
        </w:trPr>
        <w:tc>
          <w:tcPr>
            <w:tcW w:w="400" w:type="dxa"/>
            <w:vAlign w:val="bottom"/>
          </w:tcPr>
          <w:p>
            <w:pPr>
              <w:spacing w:after="0"/>
              <w:rPr>
                <w:sz w:val="19"/>
                <w:szCs w:val="19"/>
                <w:color w:val="auto"/>
              </w:rPr>
            </w:pP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w w:val="89"/>
              </w:rPr>
              <w:t>Exhibit 99.1</w:t>
            </w:r>
          </w:p>
        </w:tc>
      </w:tr>
      <w:tr>
        <w:trPr>
          <w:trHeight w:val="412"/>
        </w:trPr>
        <w:tc>
          <w:tcPr>
            <w:tcW w:w="48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6600" w:type="dxa"/>
            <w:vAlign w:val="bottom"/>
            <w:gridSpan w:val="4"/>
          </w:tcPr>
          <w:p>
            <w:pPr>
              <w:ind w:left="2500"/>
              <w:spacing w:after="0"/>
              <w:rPr>
                <w:sz w:val="20"/>
                <w:szCs w:val="20"/>
                <w:color w:val="auto"/>
              </w:rPr>
            </w:pPr>
            <w:r>
              <w:rPr>
                <w:rFonts w:ascii="Arial" w:cs="Arial" w:eastAsia="Arial" w:hAnsi="Arial"/>
                <w:sz w:val="18"/>
                <w:szCs w:val="18"/>
                <w:color w:val="auto"/>
              </w:rPr>
              <w:t>Contacts:   Patrick H. Hawkins</w:t>
            </w:r>
          </w:p>
        </w:tc>
      </w:tr>
      <w:tr>
        <w:trPr>
          <w:trHeight w:val="216"/>
        </w:trPr>
        <w:tc>
          <w:tcPr>
            <w:tcW w:w="4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August 1, 2012</w:t>
            </w:r>
          </w:p>
        </w:tc>
        <w:tc>
          <w:tcPr>
            <w:tcW w:w="5880" w:type="dxa"/>
            <w:vAlign w:val="bottom"/>
            <w:gridSpan w:val="2"/>
          </w:tcPr>
          <w:p>
            <w:pPr>
              <w:ind w:left="3380"/>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4"/>
        </w:trPr>
        <w:tc>
          <w:tcPr>
            <w:tcW w:w="482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380" w:type="dxa"/>
            <w:vAlign w:val="bottom"/>
          </w:tcPr>
          <w:p>
            <w:pPr>
              <w:spacing w:after="0"/>
              <w:rPr>
                <w:sz w:val="15"/>
                <w:szCs w:val="15"/>
                <w:color w:val="auto"/>
              </w:rPr>
            </w:pPr>
          </w:p>
        </w:tc>
        <w:tc>
          <w:tcPr>
            <w:tcW w:w="3220" w:type="dxa"/>
            <w:vAlign w:val="bottom"/>
            <w:gridSpan w:val="3"/>
          </w:tcPr>
          <w:p>
            <w:pPr>
              <w:spacing w:after="0" w:line="184" w:lineRule="exact"/>
              <w:rPr>
                <w:sz w:val="20"/>
                <w:szCs w:val="20"/>
                <w:color w:val="auto"/>
              </w:rPr>
            </w:pPr>
            <w:r>
              <w:rPr>
                <w:rFonts w:ascii="Arial" w:cs="Arial" w:eastAsia="Arial" w:hAnsi="Arial"/>
                <w:sz w:val="18"/>
                <w:szCs w:val="18"/>
                <w:color w:val="auto"/>
              </w:rPr>
              <w:t>Patrick.Hawkins@HawkinsInc.com</w:t>
            </w: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38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Minneapolis, MN 55413</w:t>
            </w:r>
          </w:p>
        </w:tc>
        <w:tc>
          <w:tcPr>
            <w:tcW w:w="3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820" w:type="dxa"/>
            <w:vAlign w:val="bottom"/>
          </w:tcPr>
          <w:p>
            <w:pPr>
              <w:spacing w:after="0"/>
              <w:rPr>
                <w:sz w:val="18"/>
                <w:szCs w:val="18"/>
                <w:color w:val="auto"/>
              </w:rPr>
            </w:pPr>
          </w:p>
        </w:tc>
        <w:tc>
          <w:tcPr>
            <w:tcW w:w="5880" w:type="dxa"/>
            <w:vAlign w:val="bottom"/>
            <w:gridSpan w:val="2"/>
          </w:tcPr>
          <w:p>
            <w:pPr>
              <w:ind w:left="3380"/>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4"/>
        </w:trPr>
        <w:tc>
          <w:tcPr>
            <w:tcW w:w="48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Kathleen.Pepski@HawkinsInc.com</w:t>
            </w:r>
          </w:p>
        </w:tc>
        <w:tc>
          <w:tcPr>
            <w:tcW w:w="720" w:type="dxa"/>
            <w:vAlign w:val="bottom"/>
            <w:gridSpan w:val="2"/>
          </w:tcPr>
          <w:p>
            <w:pPr>
              <w:spacing w:after="0"/>
              <w:rPr>
                <w:sz w:val="15"/>
                <w:szCs w:val="15"/>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FISCAL 2013 RESULTS</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Minneapolis, MN, August 1, 2012 – Hawkins, Inc. (Nasdaq: HWKN) today announced first quarter results for fiscal 2013. Sales of $90.1 million in the period represented an increase of 1.7% from $88.6 million in sales for the same period of the prior year.</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Adjusted net income from continuing operations for the first quarter of fiscal 2013 was $6.3 million, or $0.61 per share, fully diluted, compared to adjusted net income from continuing operations of $6.3 million or $0.61 per share, fully diluted, for the first quarter of fiscal 2012. Fiscal 2013 adjusted earnings exclude a previously announced pretax charge of $3.2 million (approximately $2.0 million, or $0.19 per share, fully diluted, after tax), resulting from a litigation settlement. Including the settlement charge, net income from continuing operations for the first quarter of fiscal 2013 was $4.4 million, or $0.42 per share, fully diluted (see reconciliation table).</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litigation settlement eliminates an uncertainty which was a distraction to our business. While the settlement charge significantly impacted our reported results for the quarter, I am pleased that we were able to restart a business relationship with a long-term supplier as part of the settlement,” said Patrick Hawkins, Chief Executive Officer and President. “Our Industrial segment’s on-going business was down slightly from last year due to lower sales volumes as price-competitive and difficult market conditions continue for this segment. Our Water Treatment segment, however, turned in a good quarter as the weather conditions improved from last year and we saw some rebound in our per-unit profit margins in this group. We continue to invest for growth in both segments. In addition to the new Rosemount site, we have recently added sales personnel within both segments and we continue to invest in our Water Treatment branch locations. Our Rosemount project is on schedule as we are nearing completion of the infrastructure on the site and have begun the installation of storage and production equipment. We continue to target the end of fiscal 2013 as the start of production at this site.”</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first quarter ended July 1, 2012, Industrial segment sales were $62.2 million, a decrease of 2.2% from first quarter fiscal 2012 sales of $63.6 million. The decrease was primarily due to reduced volumes partially offset by higher selling prices. Water Treatment segment sales for the first quarter ended July 1, 2012 were $27.9 million, an increase of 11.7% from first quarter fiscal 2012 sales of $25.0 million. The increase in sales was primarily due to higher selling prices as well as increased volumes due to more favorable weather conditions.</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Company-wide gross profit for the quarter was $15.3 million, or 17.0% of sales, compared to $17.9 million, or 20.2% of sales, for the same period in the prior year. Gross profit was adversely impacted by the $3.2 million charge resulting from the litigation settlement, which charge constituted 3.6% of sales for the quarter. The LIFO method of valuing inventory decreased gross profit by $0.1 million for the three months ended July 1, 2012 and by $0.3 million for the same period of the prior year.</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Gross profit for the Industrial segment was $7.3 million, or 11.7% of sales, for the three months ended July 1, 2012, as compared to $10.7 million, or 16.9% of sales, for the same period of the prior year. Gross profit for this segment was negatively impacted by the $3.2 million charge resulting from the litigation settlement, which charge constituted 5.2% of sales for this segment for the quarter. The remaining difference in gross profit dollars was $0.2 million, primarily due to the lower sales volumes. Gross profit for the Water Treatment segment was $8.0 million, or 28.7% of sales, for the quarter, as compared to $7.2 million, or 28.8% of sales, for the same period in the prior year. The increase in gross profit for this segment was primarily due to higher per-unit margins and increased volumes across most product lines.</w:t>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6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SG&amp;A expenses increased by $0.3 million in the first quarter of fiscal 2013 as compared to the first quarter of fiscal 2012. The increase was primarily due to additional sales staffing to support growth initiatives.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reconciliation of each non-GAAP financial measure used in this release to its most directly comparable financial measure calculated in accordance with GAAP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8"/>
              </w:rPr>
              <w:t>July 1,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July 3,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3"/>
          </w:tcPr>
          <w:p>
            <w:pPr>
              <w:jc w:val="center"/>
              <w:ind w:right="20"/>
              <w:spacing w:after="0" w:line="131" w:lineRule="exact"/>
              <w:rPr>
                <w:sz w:val="20"/>
                <w:szCs w:val="20"/>
                <w:color w:val="auto"/>
              </w:rPr>
            </w:pPr>
            <w:r>
              <w:rPr>
                <w:rFonts w:ascii="Arial" w:cs="Arial" w:eastAsia="Arial" w:hAnsi="Arial"/>
                <w:sz w:val="14"/>
                <w:szCs w:val="14"/>
                <w:color w:val="auto"/>
                <w:w w:val="89"/>
              </w:rPr>
              <w:t>Income from</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center"/>
              <w:ind w:right="20"/>
              <w:spacing w:after="0" w:line="131" w:lineRule="exact"/>
              <w:rPr>
                <w:sz w:val="20"/>
                <w:szCs w:val="20"/>
                <w:color w:val="auto"/>
              </w:rPr>
            </w:pPr>
            <w:r>
              <w:rPr>
                <w:rFonts w:ascii="Arial" w:cs="Arial" w:eastAsia="Arial" w:hAnsi="Arial"/>
                <w:sz w:val="14"/>
                <w:szCs w:val="14"/>
                <w:color w:val="auto"/>
                <w:w w:val="92"/>
              </w:rPr>
              <w:t>Income from</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continuing</w:t>
            </w:r>
          </w:p>
        </w:tc>
        <w:tc>
          <w:tcPr>
            <w:tcW w:w="360" w:type="dxa"/>
            <w:vAlign w:val="bottom"/>
          </w:tcPr>
          <w:p>
            <w:pPr>
              <w:spacing w:after="0"/>
              <w:rPr>
                <w:sz w:val="12"/>
                <w:szCs w:val="12"/>
                <w:color w:val="auto"/>
              </w:rPr>
            </w:pP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87"/>
              </w:rPr>
              <w:t>Income from</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continuing</w:t>
            </w:r>
          </w:p>
        </w:tc>
        <w:tc>
          <w:tcPr>
            <w:tcW w:w="34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9"/>
              </w:rPr>
              <w:t>Income from</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operations</w:t>
            </w:r>
          </w:p>
        </w:tc>
        <w:tc>
          <w:tcPr>
            <w:tcW w:w="36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continuing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Diluted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operations</w:t>
            </w:r>
          </w:p>
        </w:tc>
        <w:tc>
          <w:tcPr>
            <w:tcW w:w="34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7"/>
              </w:rPr>
              <w:t>continuing</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before income</w:t>
            </w:r>
          </w:p>
        </w:tc>
        <w:tc>
          <w:tcPr>
            <w:tcW w:w="36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6"/>
              </w:rPr>
              <w:t>operations,</w:t>
            </w:r>
          </w:p>
        </w:tc>
        <w:tc>
          <w:tcPr>
            <w:tcW w:w="10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2"/>
              </w:rPr>
              <w:t>earnings per</w:t>
            </w:r>
          </w:p>
        </w:tc>
        <w:tc>
          <w:tcPr>
            <w:tcW w:w="18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before income</w:t>
            </w:r>
          </w:p>
        </w:tc>
        <w:tc>
          <w:tcPr>
            <w:tcW w:w="34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6"/>
              </w:rPr>
              <w:t>operations,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95"/>
              </w:rPr>
              <w:t>earnings per</w:t>
            </w: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3"/>
              </w:rPr>
              <w:t>taxes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6"/>
              </w:rPr>
              <w:t>net of tax</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5"/>
              </w:rPr>
              <w:t>share (1)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3"/>
              </w:rPr>
              <w:t>taxes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90"/>
              </w:rPr>
              <w:t>net of tax</w:t>
            </w: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 (2)</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200"/>
              <w:spacing w:after="0"/>
              <w:rPr>
                <w:sz w:val="20"/>
                <w:szCs w:val="20"/>
                <w:color w:val="auto"/>
              </w:rPr>
            </w:pPr>
            <w:r>
              <w:rPr>
                <w:rFonts w:ascii="Arial" w:cs="Arial" w:eastAsia="Arial" w:hAnsi="Arial"/>
                <w:sz w:val="18"/>
                <w:szCs w:val="18"/>
                <w:color w:val="auto"/>
                <w:w w:val="85"/>
              </w:rPr>
              <w:t>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Add Impact of Litigation Settlement</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200"/>
              <w:spacing w:after="0"/>
              <w:rPr>
                <w:sz w:val="20"/>
                <w:szCs w:val="20"/>
                <w:color w:val="auto"/>
              </w:rPr>
            </w:pPr>
            <w:r>
              <w:rPr>
                <w:rFonts w:ascii="Arial" w:cs="Arial" w:eastAsia="Arial" w:hAnsi="Arial"/>
                <w:sz w:val="18"/>
                <w:szCs w:val="18"/>
                <w:color w:val="auto"/>
                <w:w w:val="85"/>
              </w:rPr>
              <w:t>0.61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10,496,437 shares used in calculating earnings per share.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10,362,172 shares used in calculating earnings per share.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6"/>
              </w:rPr>
              <w:t>July 1, 2012</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July 3,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(74,792)</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(8,227)</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10,430,874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10,307,177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10,496,437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10,362,172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2019-12-09T07:30:26Z</dcterms:created>
  <dcterms:modified xsi:type="dcterms:W3CDTF">2019-12-09T07:30:26Z</dcterms:modified>
</cp:coreProperties>
</file>