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HAWKINS JOHN R</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HAWKINS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HWKN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02/08/2011</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18"/>
          <w:szCs w:val="18"/>
          <w:color w:val="0000FF"/>
        </w:rPr>
        <w:t>Chief Executive Officer</w:t>
      </w:r>
    </w:p>
    <w:p>
      <w:pPr>
        <w:spacing w:after="0" w:line="26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260" w:type="dxa"/>
            <w:vAlign w:val="bottom"/>
            <w:tcBorders>
              <w:right w:val="single" w:sz="8" w:color="9A9A9A"/>
            </w:tcBorders>
            <w:shd w:val="clear" w:color="auto" w:fill="9A9A9A"/>
          </w:tcPr>
          <w:p>
            <w:pPr>
              <w:spacing w:after="0"/>
              <w:rPr>
                <w:sz w:val="3"/>
                <w:szCs w:val="3"/>
                <w:color w:val="auto"/>
              </w:rPr>
            </w:pPr>
          </w:p>
        </w:tc>
        <w:tc>
          <w:tcPr>
            <w:tcW w:w="3840" w:type="dxa"/>
            <w:vAlign w:val="bottom"/>
            <w:gridSpan w:val="6"/>
            <w:vMerge w:val="restart"/>
          </w:tcPr>
          <w:p>
            <w:pPr>
              <w:jc w:val="center"/>
              <w:ind w:right="34"/>
              <w:spacing w:after="0"/>
              <w:rPr>
                <w:sz w:val="20"/>
                <w:szCs w:val="20"/>
                <w:color w:val="auto"/>
              </w:rPr>
            </w:pPr>
            <w:r>
              <w:rPr>
                <w:rFonts w:ascii="Arial" w:cs="Arial" w:eastAsia="Arial" w:hAnsi="Arial"/>
                <w:sz w:val="14"/>
                <w:szCs w:val="14"/>
                <w:color w:val="auto"/>
                <w:w w:val="95"/>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40" w:type="dxa"/>
            <w:vAlign w:val="bottom"/>
            <w:gridSpan w:val="6"/>
            <w:vMerge w:val="continue"/>
          </w:tcPr>
          <w:p>
            <w:pPr>
              <w:spacing w:after="0"/>
              <w:rPr>
                <w:sz w:val="10"/>
                <w:szCs w:val="10"/>
                <w:color w:val="auto"/>
              </w:rPr>
            </w:pPr>
          </w:p>
        </w:tc>
        <w:tc>
          <w:tcPr>
            <w:tcW w:w="36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MINNEAPOLIS MN</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0000FF"/>
              </w:rPr>
              <w:t>55413</w:t>
            </w: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4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8120" w:type="dxa"/>
            <w:vAlign w:val="bottom"/>
            <w:tcBorders>
              <w:top w:val="single" w:sz="8" w:color="2C2C2C"/>
            </w:tcBorders>
            <w:gridSpan w:val="12"/>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0000FF"/>
              </w:rPr>
              <w:t>08/30/2010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4"/>
                <w:szCs w:val="14"/>
                <w:color w:val="0000FF"/>
                <w:w w:val="98"/>
              </w:rPr>
              <w:t>G</w:t>
            </w:r>
          </w:p>
        </w:tc>
        <w:tc>
          <w:tcPr>
            <w:tcW w:w="740" w:type="dxa"/>
            <w:vAlign w:val="bottom"/>
          </w:tcPr>
          <w:p>
            <w:pPr>
              <w:jc w:val="center"/>
              <w:ind w:left="49"/>
              <w:spacing w:after="0"/>
              <w:rPr>
                <w:sz w:val="20"/>
                <w:szCs w:val="20"/>
                <w:color w:val="auto"/>
              </w:rPr>
            </w:pPr>
            <w:r>
              <w:rPr>
                <w:rFonts w:ascii="Times New Roman" w:cs="Times New Roman" w:eastAsia="Times New Roman" w:hAnsi="Times New Roman"/>
                <w:sz w:val="18"/>
                <w:szCs w:val="18"/>
                <w:color w:val="0000FF"/>
                <w:w w:val="96"/>
              </w:rPr>
              <w:t>300</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73,459</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0000FF"/>
              </w:rPr>
              <w:t>12/15/2010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4"/>
                <w:szCs w:val="14"/>
                <w:color w:val="0000FF"/>
                <w:w w:val="98"/>
              </w:rPr>
              <w:t>G</w:t>
            </w:r>
          </w:p>
        </w:tc>
        <w:tc>
          <w:tcPr>
            <w:tcW w:w="740" w:type="dxa"/>
            <w:vAlign w:val="bottom"/>
          </w:tcPr>
          <w:p>
            <w:pPr>
              <w:jc w:val="center"/>
              <w:ind w:left="69"/>
              <w:spacing w:after="0"/>
              <w:rPr>
                <w:sz w:val="20"/>
                <w:szCs w:val="20"/>
                <w:color w:val="auto"/>
              </w:rPr>
            </w:pPr>
            <w:r>
              <w:rPr>
                <w:rFonts w:ascii="Times New Roman" w:cs="Times New Roman" w:eastAsia="Times New Roman" w:hAnsi="Times New Roman"/>
                <w:sz w:val="18"/>
                <w:szCs w:val="18"/>
                <w:color w:val="0000FF"/>
                <w:w w:val="98"/>
              </w:rPr>
              <w:t>2,500</w:t>
            </w:r>
          </w:p>
        </w:tc>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0000FF"/>
              </w:rPr>
              <w:t>70,959</w:t>
            </w:r>
          </w:p>
        </w:tc>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8"/>
                <w:szCs w:val="18"/>
                <w:color w:val="0000FF"/>
              </w:rPr>
              <w:t>02/08/2011</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Times New Roman" w:cs="Times New Roman" w:eastAsia="Times New Roman" w:hAnsi="Times New Roman"/>
                <w:sz w:val="14"/>
                <w:szCs w:val="14"/>
                <w:color w:val="0000FF"/>
              </w:rPr>
              <w:t>S</w:t>
            </w:r>
          </w:p>
        </w:tc>
        <w:tc>
          <w:tcPr>
            <w:tcW w:w="740" w:type="dxa"/>
            <w:vAlign w:val="bottom"/>
            <w:tcBorders>
              <w:bottom w:val="single" w:sz="8" w:color="2C2C2C"/>
            </w:tcBorders>
          </w:tcPr>
          <w:p>
            <w:pPr>
              <w:jc w:val="center"/>
              <w:ind w:left="69"/>
              <w:spacing w:after="0"/>
              <w:rPr>
                <w:sz w:val="20"/>
                <w:szCs w:val="20"/>
                <w:color w:val="auto"/>
              </w:rPr>
            </w:pPr>
            <w:r>
              <w:rPr>
                <w:rFonts w:ascii="Times New Roman" w:cs="Times New Roman" w:eastAsia="Times New Roman" w:hAnsi="Times New Roman"/>
                <w:sz w:val="18"/>
                <w:szCs w:val="18"/>
                <w:color w:val="0000FF"/>
                <w:w w:val="96"/>
              </w:rPr>
              <w:t>10,000</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38.44</w:t>
            </w:r>
            <w:r>
              <w:rPr>
                <w:rFonts w:ascii="Times New Roman" w:cs="Times New Roman" w:eastAsia="Times New Roman" w:hAnsi="Times New Roman"/>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8"/>
                <w:szCs w:val="18"/>
                <w:color w:val="0000FF"/>
              </w:rPr>
              <w:t>60,959</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20" w:type="dxa"/>
            <w:vAlign w:val="bottom"/>
            <w:gridSpan w:val="9"/>
          </w:tcPr>
          <w:p>
            <w:pPr>
              <w:jc w:val="center"/>
              <w:ind w:left="2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6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the volume weighted average sale price. These shares were sold in multiple transactions at prices ranging from $38.50 to $39.04, inclusive. The reporting person undertakes to provide to Hawkins, Inc., any security holder of Hawkins, Inc., or the staff of the Secrities and Exchange Commission, upon request, full information regarding the number of shares sold at each price within the ranges set forth in this footnote (1) to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Joshua L. Colburn, Attorney-</w:t>
            </w:r>
          </w:p>
        </w:tc>
        <w:tc>
          <w:tcPr>
            <w:tcW w:w="100" w:type="dxa"/>
            <w:vAlign w:val="bottom"/>
          </w:tcPr>
          <w:p>
            <w:pPr>
              <w:spacing w:after="0"/>
              <w:rPr>
                <w:sz w:val="18"/>
                <w:szCs w:val="18"/>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2"/>
              </w:rPr>
              <w:t>02/10/2011</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696"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2019-12-17T10:04:10Z</dcterms:created>
  <dcterms:modified xsi:type="dcterms:W3CDTF">2019-12-17T10:04:10Z</dcterms:modified>
</cp:coreProperties>
</file>