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SCHEDULE 14A INFORMATION</w:t>
      </w:r>
    </w:p>
    <w:p>
      <w:pPr>
        <w:spacing w:after="0" w:line="2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Exchange Act of 1934 (Amendment No.___)</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Times New Roman" w:cs="Times New Roman" w:eastAsia="Times New Roman" w:hAnsi="Times New Roman"/>
          <w:sz w:val="21"/>
          <w:szCs w:val="21"/>
          <w:color w:val="auto"/>
        </w:rPr>
        <w:t>x</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2" w:lineRule="exact"/>
        <w:rPr>
          <w:sz w:val="24"/>
          <w:szCs w:val="24"/>
          <w:color w:val="auto"/>
        </w:rPr>
      </w:pPr>
    </w:p>
    <w:p>
      <w:pPr>
        <w:ind w:left="200" w:hanging="192"/>
        <w:spacing w:after="0"/>
        <w:tabs>
          <w:tab w:leader="none" w:pos="2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Preliminary proxy statement.</w:t>
      </w:r>
    </w:p>
    <w:p>
      <w:pPr>
        <w:spacing w:after="0" w:line="206" w:lineRule="exact"/>
        <w:rPr>
          <w:rFonts w:ascii="Times New Roman" w:cs="Times New Roman" w:eastAsia="Times New Roman" w:hAnsi="Times New Roman"/>
          <w:sz w:val="22"/>
          <w:szCs w:val="22"/>
          <w:color w:val="auto"/>
        </w:rPr>
      </w:pPr>
    </w:p>
    <w:p>
      <w:pPr>
        <w:ind w:left="200" w:hanging="192"/>
        <w:spacing w:after="0"/>
        <w:tabs>
          <w:tab w:leader="none" w:pos="2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06" w:lineRule="exact"/>
        <w:rPr>
          <w:sz w:val="24"/>
          <w:szCs w:val="24"/>
          <w:color w:val="auto"/>
        </w:rPr>
      </w:pPr>
    </w:p>
    <w:p>
      <w:pPr>
        <w:ind w:left="200" w:hanging="192"/>
        <w:spacing w:after="0"/>
        <w:tabs>
          <w:tab w:leader="none" w:pos="2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Definitive proxy statement.</w:t>
      </w:r>
    </w:p>
    <w:p>
      <w:pPr>
        <w:spacing w:after="0" w:line="206" w:lineRule="exact"/>
        <w:rPr>
          <w:sz w:val="24"/>
          <w:szCs w:val="24"/>
          <w:color w:val="auto"/>
        </w:rPr>
      </w:pPr>
    </w:p>
    <w:p>
      <w:pPr>
        <w:ind w:left="200" w:hanging="192"/>
        <w:spacing w:after="0"/>
        <w:tabs>
          <w:tab w:leader="none" w:pos="2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Definitive additional materials.</w:t>
      </w:r>
    </w:p>
    <w:p>
      <w:pPr>
        <w:spacing w:after="0" w:line="206" w:lineRule="exact"/>
        <w:rPr>
          <w:rFonts w:ascii="Times New Roman" w:cs="Times New Roman" w:eastAsia="Times New Roman" w:hAnsi="Times New Roman"/>
          <w:sz w:val="22"/>
          <w:szCs w:val="22"/>
          <w:color w:val="auto"/>
        </w:rPr>
      </w:pPr>
    </w:p>
    <w:p>
      <w:pPr>
        <w:ind w:left="200" w:hanging="192"/>
        <w:spacing w:after="0"/>
        <w:tabs>
          <w:tab w:leader="none" w:pos="2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Soliciting material pursuant to section 240.14a-11(c) or Section 240.14a-12.</w:t>
      </w:r>
    </w:p>
    <w:p>
      <w:pPr>
        <w:spacing w:after="0" w:line="2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4"/>
          <w:szCs w:val="24"/>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1480185</wp:posOffset>
            </wp:positionH>
            <wp:positionV relativeFrom="paragraph">
              <wp:posOffset>22860</wp:posOffset>
            </wp:positionV>
            <wp:extent cx="42964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6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7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1480185</wp:posOffset>
            </wp:positionH>
            <wp:positionV relativeFrom="paragraph">
              <wp:posOffset>-130175</wp:posOffset>
            </wp:positionV>
            <wp:extent cx="42964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2" w:lineRule="exact"/>
        <w:rPr>
          <w:sz w:val="24"/>
          <w:szCs w:val="24"/>
          <w:color w:val="auto"/>
        </w:rPr>
      </w:pPr>
    </w:p>
    <w:p>
      <w:pPr>
        <w:ind w:left="200" w:hanging="192"/>
        <w:spacing w:after="0"/>
        <w:tabs>
          <w:tab w:leader="none" w:pos="2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fee required.</w:t>
      </w:r>
    </w:p>
    <w:p>
      <w:pPr>
        <w:spacing w:after="0" w:line="206" w:lineRule="exact"/>
        <w:rPr>
          <w:sz w:val="24"/>
          <w:szCs w:val="24"/>
          <w:color w:val="auto"/>
        </w:rPr>
      </w:pPr>
    </w:p>
    <w:p>
      <w:pPr>
        <w:ind w:left="200" w:hanging="192"/>
        <w:spacing w:after="0"/>
        <w:tabs>
          <w:tab w:leader="none" w:pos="2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03" w:lineRule="exact"/>
        <w:rPr>
          <w:rFonts w:ascii="Times New Roman" w:cs="Times New Roman" w:eastAsia="Times New Roman" w:hAnsi="Times New Roman"/>
          <w:sz w:val="22"/>
          <w:szCs w:val="22"/>
          <w:color w:val="auto"/>
        </w:rPr>
      </w:pPr>
    </w:p>
    <w:p>
      <w:pPr>
        <w:ind w:left="800" w:hanging="338"/>
        <w:spacing w:after="0"/>
        <w:tabs>
          <w:tab w:leader="none" w:pos="8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5" w:lineRule="exact"/>
        <w:rPr>
          <w:rFonts w:ascii="Times New Roman" w:cs="Times New Roman" w:eastAsia="Times New Roman" w:hAnsi="Times New Roman"/>
          <w:sz w:val="18"/>
          <w:szCs w:val="18"/>
          <w:color w:val="auto"/>
        </w:rPr>
      </w:pPr>
    </w:p>
    <w:p>
      <w:pPr>
        <w:ind w:left="780" w:hanging="318"/>
        <w:spacing w:after="0"/>
        <w:tabs>
          <w:tab w:leader="none" w:pos="7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5" w:lineRule="exact"/>
        <w:rPr>
          <w:rFonts w:ascii="Times New Roman" w:cs="Times New Roman" w:eastAsia="Times New Roman" w:hAnsi="Times New Roman"/>
          <w:sz w:val="18"/>
          <w:szCs w:val="18"/>
          <w:color w:val="auto"/>
        </w:rPr>
      </w:pPr>
    </w:p>
    <w:p>
      <w:pPr>
        <w:ind w:left="740" w:right="100" w:hanging="291"/>
        <w:spacing w:after="0" w:line="275" w:lineRule="auto"/>
        <w:tabs>
          <w:tab w:leader="none" w:pos="7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3"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25"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7"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Fee paid previously with preliminary materials.</w:t>
      </w:r>
    </w:p>
    <w:p>
      <w:pPr>
        <w:spacing w:after="0" w:line="231" w:lineRule="exact"/>
        <w:rPr>
          <w:sz w:val="24"/>
          <w:szCs w:val="24"/>
          <w:color w:val="auto"/>
        </w:rPr>
      </w:pPr>
    </w:p>
    <w:p>
      <w:pPr>
        <w:ind w:left="300" w:hanging="279"/>
        <w:spacing w:after="0" w:line="231" w:lineRule="auto"/>
        <w:tabs>
          <w:tab w:leader="none" w:pos="21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5" w:lineRule="exact"/>
        <w:rPr>
          <w:rFonts w:ascii="Times New Roman" w:cs="Times New Roman" w:eastAsia="Times New Roman" w:hAnsi="Times New Roman"/>
          <w:sz w:val="22"/>
          <w:szCs w:val="22"/>
          <w:color w:val="auto"/>
        </w:rPr>
      </w:pPr>
    </w:p>
    <w:p>
      <w:pPr>
        <w:ind w:left="780" w:hanging="318"/>
        <w:spacing w:after="0"/>
        <w:tabs>
          <w:tab w:leader="none" w:pos="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5"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5"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5"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623570</wp:posOffset>
            </wp:positionV>
            <wp:extent cx="1886585" cy="1003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1003300"/>
                    </a:xfrm>
                    <a:prstGeom prst="rect">
                      <a:avLst/>
                    </a:prstGeom>
                    <a:noFill/>
                  </pic:spPr>
                </pic:pic>
              </a:graphicData>
            </a:graphic>
          </wp:anchor>
        </w:drawing>
      </w:r>
    </w:p>
    <w:p>
      <w:pPr>
        <w:sectPr>
          <w:pgSz w:w="11900" w:h="16838" w:orient="portrait"/>
          <w:cols w:equalWidth="0" w:num="1">
            <w:col w:w="11300"/>
          </w:cols>
          <w:pgMar w:left="240" w:top="717" w:right="3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HAWKINS, INC.</w:t>
      </w:r>
    </w:p>
    <w:p>
      <w:pPr>
        <w:spacing w:after="0" w:line="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3100 East Hennepin Avenue</w:t>
      </w:r>
    </w:p>
    <w:p>
      <w:pPr>
        <w:ind w:left="4420"/>
        <w:spacing w:after="0"/>
        <w:rPr>
          <w:sz w:val="20"/>
          <w:szCs w:val="20"/>
          <w:color w:val="auto"/>
        </w:rPr>
      </w:pPr>
      <w:r>
        <w:rPr>
          <w:rFonts w:ascii="Times New Roman" w:cs="Times New Roman" w:eastAsia="Times New Roman" w:hAnsi="Times New Roman"/>
          <w:sz w:val="20"/>
          <w:szCs w:val="20"/>
          <w:b w:val="1"/>
          <w:bCs w:val="1"/>
          <w:color w:val="auto"/>
        </w:rPr>
        <w:t>Minneapolis, Minnesota 55413</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NOTICE OF ANNUAL MEETING OF SHAREHOLDERS</w:t>
      </w:r>
    </w:p>
    <w:p>
      <w:pPr>
        <w:spacing w:after="0" w:line="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To Be Held</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August 7, 2007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Annual Meeting of Shareholders of Hawkins, Inc. will be held at the Midland Hills Country Club, 2001 Fulham Street, Roseville, Minnesota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Tuesday, August 7, 2007, at 3:00 p.m., Central Daylight Time, for the following purposes:</w:t>
      </w:r>
    </w:p>
    <w:p>
      <w:pPr>
        <w:spacing w:after="0" w:line="220" w:lineRule="exact"/>
        <w:rPr>
          <w:sz w:val="20"/>
          <w:szCs w:val="20"/>
          <w:color w:val="auto"/>
        </w:rPr>
      </w:pPr>
    </w:p>
    <w:p>
      <w:pPr>
        <w:ind w:left="1020" w:hanging="472"/>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and</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39"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July 2, 2007 as the record date for determining the shareholders entitled to vote at the Annual Meeting. Accordingly, only shareholders of record at the close of business on that date will be entitled to vote. Our transfer books will not be closed.</w:t>
      </w:r>
    </w:p>
    <w:p>
      <w:pPr>
        <w:spacing w:after="0" w:line="17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18"/>
          <w:szCs w:val="18"/>
          <w:color w:val="auto"/>
        </w:rPr>
        <w:t>Dated:  July 9, 2007</w:t>
      </w:r>
      <w:r>
        <w:rPr>
          <w:sz w:val="20"/>
          <w:szCs w:val="20"/>
          <w:color w:val="auto"/>
        </w:rPr>
        <w:tab/>
      </w:r>
      <w:r>
        <w:rPr>
          <w:rFonts w:ascii="Times New Roman" w:cs="Times New Roman" w:eastAsia="Times New Roman" w:hAnsi="Times New Roman"/>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 xml:space="preserve">MARVIN E. DEE, </w:t>
      </w:r>
      <w:r>
        <w:rPr>
          <w:rFonts w:ascii="Times New Roman" w:cs="Times New Roman" w:eastAsia="Times New Roman" w:hAnsi="Times New Roman"/>
          <w:sz w:val="18"/>
          <w:szCs w:val="18"/>
          <w:i w:val="1"/>
          <w:iCs w:val="1"/>
          <w:color w:val="auto"/>
        </w:rPr>
        <w:t>Secretary</w:t>
      </w:r>
    </w:p>
    <w:p>
      <w:pPr>
        <w:spacing w:after="0" w:line="2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772160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HAWKINS, INC.</w:t>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3100 East Hennepin Avenue</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Minneapolis, Minnesota 55413</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July 9, 2007</w:t>
      </w:r>
    </w:p>
    <w:p>
      <w:pPr>
        <w:spacing w:after="0" w:line="189" w:lineRule="exact"/>
        <w:rPr>
          <w:sz w:val="20"/>
          <w:szCs w:val="20"/>
          <w:color w:val="auto"/>
        </w:rPr>
      </w:pPr>
    </w:p>
    <w:p>
      <w:pPr>
        <w:jc w:val="both"/>
        <w:ind w:right="360" w:firstLine="360"/>
        <w:spacing w:after="0" w:line="289" w:lineRule="auto"/>
        <w:rPr>
          <w:sz w:val="20"/>
          <w:szCs w:val="20"/>
          <w:color w:val="auto"/>
        </w:rPr>
      </w:pPr>
      <w:r>
        <w:rPr>
          <w:rFonts w:ascii="Times New Roman" w:cs="Times New Roman" w:eastAsia="Times New Roman" w:hAnsi="Times New Roman"/>
          <w:sz w:val="17"/>
          <w:szCs w:val="17"/>
          <w:color w:val="auto"/>
        </w:rPr>
        <w:t>The following statement is furnished in connection with the solicitation of proxies by our Board of Directors to be voted at the Annual Meeting of Shareholders to be held on Tuesday, August 7, 2007 at the Midland Hills Country Club, 2001 Fulham Street, Roseville, Minnesota, at 3:00 p.m., Central Daylight Time, and at any adjournments of such meeting. Distribution of this Proxy Statement and proxy to shareholders began on or about July 9, 2007.</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SOLICITATION</w:t>
      </w:r>
    </w:p>
    <w:p>
      <w:pPr>
        <w:spacing w:after="0" w:line="219" w:lineRule="exact"/>
        <w:rPr>
          <w:sz w:val="20"/>
          <w:szCs w:val="20"/>
          <w:color w:val="auto"/>
        </w:rPr>
      </w:pPr>
    </w:p>
    <w:p>
      <w:pPr>
        <w:ind w:right="200" w:firstLine="360"/>
        <w:spacing w:after="0" w:line="261" w:lineRule="auto"/>
        <w:rPr>
          <w:sz w:val="20"/>
          <w:szCs w:val="20"/>
          <w:color w:val="auto"/>
        </w:rPr>
      </w:pPr>
      <w:r>
        <w:rPr>
          <w:rFonts w:ascii="Times New Roman" w:cs="Times New Roman" w:eastAsia="Times New Roman" w:hAnsi="Times New Roman"/>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REVOCATION AND VOTING OF PROXY</w:t>
      </w:r>
    </w:p>
    <w:p>
      <w:pPr>
        <w:spacing w:after="0" w:line="219" w:lineRule="exact"/>
        <w:rPr>
          <w:sz w:val="20"/>
          <w:szCs w:val="20"/>
          <w:color w:val="auto"/>
        </w:rPr>
      </w:pPr>
    </w:p>
    <w:p>
      <w:pPr>
        <w:jc w:val="both"/>
        <w:ind w:right="120" w:firstLine="360"/>
        <w:spacing w:after="0" w:line="261" w:lineRule="auto"/>
        <w:rPr>
          <w:sz w:val="20"/>
          <w:szCs w:val="20"/>
          <w:color w:val="auto"/>
        </w:rPr>
      </w:pPr>
      <w:r>
        <w:rPr>
          <w:rFonts w:ascii="Times New Roman" w:cs="Times New Roman" w:eastAsia="Times New Roman" w:hAnsi="Times New Roman"/>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our Secretary at our offices, (2) signing and forwarding to us at our offices a later dated proxy, or (3) attending the Annual Meeting and casting his or her votes personally.</w:t>
      </w:r>
    </w:p>
    <w:p>
      <w:pPr>
        <w:spacing w:after="0" w:line="153" w:lineRule="exact"/>
        <w:rPr>
          <w:sz w:val="20"/>
          <w:szCs w:val="20"/>
          <w:color w:val="auto"/>
        </w:rPr>
      </w:pPr>
    </w:p>
    <w:p>
      <w:pPr>
        <w:ind w:right="140" w:firstLine="360"/>
        <w:spacing w:after="0" w:line="289" w:lineRule="auto"/>
        <w:rPr>
          <w:sz w:val="20"/>
          <w:szCs w:val="20"/>
          <w:color w:val="auto"/>
        </w:rPr>
      </w:pPr>
      <w:r>
        <w:rPr>
          <w:rFonts w:ascii="Times New Roman" w:cs="Times New Roman" w:eastAsia="Times New Roman" w:hAnsi="Times New Roman"/>
          <w:sz w:val="17"/>
          <w:szCs w:val="17"/>
          <w:color w:val="auto"/>
        </w:rPr>
        <w:t>Unless otherwise directed in the accompanying proxy, the persons named therein will vote FOR the nominees for director as set forth in this Proxy Statement. Our management is not aware of any other business that will, or is likely to, come before the meeting. If any other business does properly come before the meeting, the persons named in the accompanying proxy will vote in accordance with their judgment as to what is in our company’s best interests.</w:t>
      </w:r>
    </w:p>
    <w:p>
      <w:pPr>
        <w:spacing w:after="0" w:line="118"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A majority of the outstanding shares will constitute a quorum at the Annual Meeting. Abstentions and broker non-votes are counted for purposes of determining the presence or absence of a quorum for the transaction of business. Abstentions are counted in determining the total number of the votes cast on proposals presented to shareholders, but will not be treated as votes in favor of the proposals. Accordingly, a withholding or an abstention will have the effect of a negative vote. Broker non-votes are not counted for purposes of determining the total number of votes cast on proposals presented to shareholders.</w:t>
      </w:r>
    </w:p>
    <w:p>
      <w:pPr>
        <w:sectPr>
          <w:pgSz w:w="11900" w:h="16838" w:orient="portrait"/>
          <w:cols w:equalWidth="0" w:num="1">
            <w:col w:w="11380"/>
          </w:cols>
          <w:pgMar w:left="240" w:top="110" w:right="27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OUTSTANDING SHARES AND VOTING RIGHTS</w:t>
      </w:r>
    </w:p>
    <w:p>
      <w:pPr>
        <w:spacing w:after="0" w:line="220"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At the close of business on July 2, 2007, the record date, there were 10,257,084 shares of our common stock, par value $.05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1)</w:t>
      </w:r>
    </w:p>
    <w:p>
      <w:pPr>
        <w:spacing w:after="0" w:line="191"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18"/>
          <w:szCs w:val="18"/>
          <w:color w:val="auto"/>
        </w:rPr>
        <w:t>At the Annual Meeting, eight persons are to be elected to our Board of Directors, each to hold office for the ensuing year or until his successor is duly elected and qualified. Our By-laws provide for a Board of Directors of not fewer than three nor more than eleven directors. Our By-laws provide that the nominees must be elected by the affirmative vote of the holders of a majority of the voting power of the shares represented at the meeting (whether in person or by proxy). Abstentions have the effect of a vote against the nominees.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147"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has nominated John S. McKeon, John R. Hawkins, Howard M. Hawkins, Duane M. Jergenson, G. Robert Gey, Daryl I. Skaar, Eapen Chacko and James A. Faulconbridge for election to the Board of Directors. On November 2, 2006, our Board of Directors elected James A. Faulconbridge to our Board of Directors and appointed him to serve on the Compensation Committee.</w:t>
      </w:r>
    </w:p>
    <w:p>
      <w:pPr>
        <w:spacing w:after="0" w:line="145" w:lineRule="exact"/>
        <w:rPr>
          <w:sz w:val="20"/>
          <w:szCs w:val="20"/>
          <w:color w:val="auto"/>
        </w:rPr>
      </w:pPr>
    </w:p>
    <w:p>
      <w:pPr>
        <w:ind w:right="34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SHAREHOLDERS VOTE “FOR” THE ELECTION OF ALL NOMINEES FOR DIRECTOR.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Directors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directors, including the nominees, have served as our directors continuously since the year indicated below. The following information,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2007, including the principal occupation or employment of each director, has been furnished to us by the respective directors. All positions are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 unless otherwise noted.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60" w:type="dxa"/>
            <w:vAlign w:val="bottom"/>
          </w:tcPr>
          <w:p>
            <w:pPr>
              <w:spacing w:after="0"/>
              <w:rPr>
                <w:sz w:val="13"/>
                <w:szCs w:val="13"/>
                <w:color w:val="auto"/>
              </w:rPr>
            </w:pPr>
          </w:p>
        </w:tc>
        <w:tc>
          <w:tcPr>
            <w:tcW w:w="6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58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56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90"/>
        </w:trPr>
        <w:tc>
          <w:tcPr>
            <w:tcW w:w="23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6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Employment</w:t>
            </w:r>
          </w:p>
        </w:tc>
        <w:tc>
          <w:tcPr>
            <w:tcW w:w="5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80" w:type="dxa"/>
            <w:vAlign w:val="bottom"/>
            <w:shd w:val="clear" w:color="auto" w:fill="D6F3E8"/>
          </w:tcPr>
          <w:p>
            <w:pPr>
              <w:spacing w:after="0" w:line="198" w:lineRule="exact"/>
              <w:rPr>
                <w:sz w:val="20"/>
                <w:szCs w:val="20"/>
                <w:color w:val="auto"/>
              </w:rPr>
            </w:pPr>
            <w:r>
              <w:rPr>
                <w:rFonts w:ascii="Times New Roman" w:cs="Times New Roman" w:eastAsia="Times New Roman" w:hAnsi="Times New Roman"/>
                <w:sz w:val="18"/>
                <w:szCs w:val="18"/>
                <w:color w:val="auto"/>
              </w:rPr>
              <w:t>John S. McKeon</w:t>
            </w:r>
          </w:p>
        </w:tc>
        <w:tc>
          <w:tcPr>
            <w:tcW w:w="6740" w:type="dxa"/>
            <w:vAlign w:val="bottom"/>
            <w:gridSpan w:val="2"/>
            <w:shd w:val="clear" w:color="auto" w:fill="D6F3E8"/>
          </w:tcPr>
          <w:p>
            <w:pPr>
              <w:ind w:left="560"/>
              <w:spacing w:after="0" w:line="198" w:lineRule="exact"/>
              <w:rPr>
                <w:sz w:val="20"/>
                <w:szCs w:val="20"/>
                <w:color w:val="auto"/>
              </w:rPr>
            </w:pPr>
            <w:r>
              <w:rPr>
                <w:rFonts w:ascii="Times New Roman" w:cs="Times New Roman" w:eastAsia="Times New Roman" w:hAnsi="Times New Roman"/>
                <w:sz w:val="18"/>
                <w:szCs w:val="18"/>
                <w:color w:val="auto"/>
              </w:rPr>
              <w:t>Chairman of the Board since September 2005; Retired; President and Chief</w:t>
            </w:r>
          </w:p>
        </w:tc>
        <w:tc>
          <w:tcPr>
            <w:tcW w:w="1140" w:type="dxa"/>
            <w:vAlign w:val="bottom"/>
            <w:gridSpan w:val="2"/>
            <w:shd w:val="clear" w:color="auto" w:fill="D6F3E8"/>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w w:val="99"/>
              </w:rPr>
              <w:t>62</w:t>
            </w:r>
          </w:p>
        </w:tc>
        <w:tc>
          <w:tcPr>
            <w:tcW w:w="1140" w:type="dxa"/>
            <w:vAlign w:val="bottom"/>
            <w:gridSpan w:val="2"/>
            <w:shd w:val="clear" w:color="auto" w:fill="D6F3E8"/>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w w:val="99"/>
              </w:rPr>
              <w:t>1984</w:t>
            </w: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D6F3E8"/>
          </w:tcPr>
          <w:p>
            <w:pPr>
              <w:spacing w:after="0"/>
              <w:rPr>
                <w:sz w:val="18"/>
                <w:szCs w:val="18"/>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Operating Officer of ConAgra Foods, Inc. Venture Development Group from</w:t>
            </w:r>
          </w:p>
        </w:tc>
        <w:tc>
          <w:tcPr>
            <w:tcW w:w="5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D6F3E8"/>
          </w:tcPr>
          <w:p>
            <w:pPr>
              <w:spacing w:after="0"/>
              <w:rPr>
                <w:sz w:val="18"/>
                <w:szCs w:val="18"/>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November 2003 to June 2005; President and Chief Operating Officer of ConAgra</w:t>
            </w:r>
          </w:p>
        </w:tc>
        <w:tc>
          <w:tcPr>
            <w:tcW w:w="5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D6F3E8"/>
          </w:tcPr>
          <w:p>
            <w:pPr>
              <w:spacing w:after="0"/>
              <w:rPr>
                <w:sz w:val="18"/>
                <w:szCs w:val="18"/>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Foods Snack Group (formerly Golden Valley Microwave Foods, Inc. from August</w:t>
            </w:r>
          </w:p>
        </w:tc>
        <w:tc>
          <w:tcPr>
            <w:tcW w:w="5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D6F3E8"/>
          </w:tcPr>
          <w:p>
            <w:pPr>
              <w:spacing w:after="0"/>
              <w:rPr>
                <w:sz w:val="18"/>
                <w:szCs w:val="18"/>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1993 to November 2003; President of McKeon Associates, Inc. (corporate finance</w:t>
            </w:r>
          </w:p>
        </w:tc>
        <w:tc>
          <w:tcPr>
            <w:tcW w:w="5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D6F3E8"/>
          </w:tcPr>
          <w:p>
            <w:pPr>
              <w:spacing w:after="0"/>
              <w:rPr>
                <w:sz w:val="18"/>
                <w:szCs w:val="18"/>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w w:val="99"/>
              </w:rPr>
              <w:t>consulting) from 1991 to 1993; Vice President of Northstar Industries, Inc. from 1976</w:t>
            </w:r>
          </w:p>
        </w:tc>
        <w:tc>
          <w:tcPr>
            <w:tcW w:w="5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shd w:val="clear" w:color="auto" w:fill="D6F3E8"/>
          </w:tcPr>
          <w:p>
            <w:pPr>
              <w:spacing w:after="0"/>
              <w:rPr>
                <w:sz w:val="20"/>
                <w:szCs w:val="20"/>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to 1990.</w:t>
            </w:r>
          </w:p>
        </w:tc>
        <w:tc>
          <w:tcPr>
            <w:tcW w:w="580" w:type="dxa"/>
            <w:vAlign w:val="bottom"/>
            <w:shd w:val="clear" w:color="auto" w:fill="D6F3E8"/>
          </w:tcPr>
          <w:p>
            <w:pPr>
              <w:spacing w:after="0"/>
              <w:rPr>
                <w:sz w:val="20"/>
                <w:szCs w:val="20"/>
                <w:color w:val="auto"/>
              </w:rPr>
            </w:pPr>
          </w:p>
        </w:tc>
        <w:tc>
          <w:tcPr>
            <w:tcW w:w="560" w:type="dxa"/>
            <w:vAlign w:val="bottom"/>
            <w:shd w:val="clear" w:color="auto" w:fill="D6F3E8"/>
          </w:tcPr>
          <w:p>
            <w:pPr>
              <w:spacing w:after="0"/>
              <w:rPr>
                <w:sz w:val="20"/>
                <w:szCs w:val="20"/>
                <w:color w:val="auto"/>
              </w:rPr>
            </w:pPr>
          </w:p>
        </w:tc>
        <w:tc>
          <w:tcPr>
            <w:tcW w:w="560" w:type="dxa"/>
            <w:vAlign w:val="bottom"/>
            <w:shd w:val="clear" w:color="auto" w:fill="D6F3E8"/>
          </w:tcPr>
          <w:p>
            <w:pPr>
              <w:spacing w:after="0"/>
              <w:rPr>
                <w:sz w:val="20"/>
                <w:szCs w:val="20"/>
                <w:color w:val="auto"/>
              </w:rPr>
            </w:pPr>
          </w:p>
        </w:tc>
        <w:tc>
          <w:tcPr>
            <w:tcW w:w="58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R. Hawkins</w:t>
            </w:r>
          </w:p>
        </w:tc>
        <w:tc>
          <w:tcPr>
            <w:tcW w:w="6740" w:type="dxa"/>
            <w:vAlign w:val="bottom"/>
            <w:gridSpan w:val="2"/>
          </w:tcPr>
          <w:p>
            <w:pPr>
              <w:ind w:left="560"/>
              <w:spacing w:after="0" w:line="198" w:lineRule="exact"/>
              <w:rPr>
                <w:sz w:val="20"/>
                <w:szCs w:val="20"/>
                <w:color w:val="auto"/>
              </w:rPr>
            </w:pPr>
            <w:r>
              <w:rPr>
                <w:rFonts w:ascii="Times New Roman" w:cs="Times New Roman" w:eastAsia="Times New Roman" w:hAnsi="Times New Roman"/>
                <w:sz w:val="18"/>
                <w:szCs w:val="18"/>
                <w:color w:val="auto"/>
              </w:rPr>
              <w:t>Chief Executive Officer since February 2000; Chairman of the Board from 2000 to</w:t>
            </w:r>
          </w:p>
        </w:tc>
        <w:tc>
          <w:tcPr>
            <w:tcW w:w="1140" w:type="dxa"/>
            <w:vAlign w:val="bottom"/>
            <w:gridSpan w:val="2"/>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w w:val="99"/>
              </w:rPr>
              <w:t>55</w:t>
            </w:r>
          </w:p>
        </w:tc>
        <w:tc>
          <w:tcPr>
            <w:tcW w:w="1140" w:type="dxa"/>
            <w:vAlign w:val="bottom"/>
            <w:gridSpan w:val="2"/>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w w:val="99"/>
              </w:rPr>
              <w:t>1989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2005; President from December 1998 to February 2000; Executive Vice President</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from 1997 to December 1998; Vice President of Sales from 1987 to 1997; Secretary</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from 1991 to 1999.</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Howard M. Hawkins</w:t>
            </w: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Retired; Treasurer from 1973 to 1999; Vice President from 1996 to 1999.</w:t>
            </w:r>
          </w:p>
        </w:tc>
        <w:tc>
          <w:tcPr>
            <w:tcW w:w="1140" w:type="dxa"/>
            <w:vAlign w:val="bottom"/>
            <w:gridSpan w:val="2"/>
            <w:shd w:val="clear" w:color="auto" w:fill="D6F3E8"/>
          </w:tcPr>
          <w:p>
            <w:pPr>
              <w:jc w:val="center"/>
              <w:ind w:left="470"/>
              <w:spacing w:after="0"/>
              <w:rPr>
                <w:sz w:val="20"/>
                <w:szCs w:val="20"/>
                <w:color w:val="auto"/>
              </w:rPr>
            </w:pPr>
            <w:r>
              <w:rPr>
                <w:rFonts w:ascii="Times New Roman" w:cs="Times New Roman" w:eastAsia="Times New Roman" w:hAnsi="Times New Roman"/>
                <w:sz w:val="18"/>
                <w:szCs w:val="18"/>
                <w:color w:val="auto"/>
                <w:w w:val="99"/>
              </w:rPr>
              <w:t>63</w:t>
            </w:r>
          </w:p>
        </w:tc>
        <w:tc>
          <w:tcPr>
            <w:tcW w:w="1140" w:type="dxa"/>
            <w:vAlign w:val="bottom"/>
            <w:gridSpan w:val="2"/>
            <w:shd w:val="clear" w:color="auto" w:fill="D6F3E8"/>
          </w:tcPr>
          <w:p>
            <w:pPr>
              <w:jc w:val="center"/>
              <w:ind w:left="450"/>
              <w:spacing w:after="0"/>
              <w:rPr>
                <w:sz w:val="20"/>
                <w:szCs w:val="20"/>
                <w:color w:val="auto"/>
              </w:rPr>
            </w:pPr>
            <w:r>
              <w:rPr>
                <w:rFonts w:ascii="Times New Roman" w:cs="Times New Roman" w:eastAsia="Times New Roman" w:hAnsi="Times New Roman"/>
                <w:sz w:val="18"/>
                <w:szCs w:val="18"/>
                <w:color w:val="auto"/>
                <w:w w:val="99"/>
              </w:rPr>
              <w:t>1976</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60" w:type="dxa"/>
            <w:vAlign w:val="bottom"/>
          </w:tcPr>
          <w:p>
            <w:pPr>
              <w:spacing w:after="0"/>
              <w:rPr>
                <w:sz w:val="13"/>
                <w:szCs w:val="13"/>
                <w:color w:val="auto"/>
              </w:rPr>
            </w:pPr>
          </w:p>
        </w:tc>
        <w:tc>
          <w:tcPr>
            <w:tcW w:w="6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58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56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6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Employment</w:t>
            </w:r>
          </w:p>
        </w:tc>
        <w:tc>
          <w:tcPr>
            <w:tcW w:w="5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91"/>
        </w:trPr>
        <w:tc>
          <w:tcPr>
            <w:tcW w:w="23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Duane M. Jergenson</w:t>
            </w:r>
          </w:p>
        </w:tc>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Retired; Vice President of Operations of Taylor Corporation from 1985 to 1999;</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60</w:t>
            </w:r>
          </w:p>
        </w:tc>
        <w:tc>
          <w:tcPr>
            <w:tcW w:w="11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1996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various positions with Taylor Corporation from 1966 to 1985.</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D6F3E8"/>
          </w:tcPr>
          <w:p>
            <w:pPr>
              <w:spacing w:after="0" w:line="198" w:lineRule="exact"/>
              <w:rPr>
                <w:sz w:val="20"/>
                <w:szCs w:val="20"/>
                <w:color w:val="auto"/>
              </w:rPr>
            </w:pPr>
            <w:r>
              <w:rPr>
                <w:rFonts w:ascii="Times New Roman" w:cs="Times New Roman" w:eastAsia="Times New Roman" w:hAnsi="Times New Roman"/>
                <w:sz w:val="18"/>
                <w:szCs w:val="18"/>
                <w:color w:val="auto"/>
              </w:rPr>
              <w:t>G. Robert Gey</w:t>
            </w:r>
          </w:p>
        </w:tc>
        <w:tc>
          <w:tcPr>
            <w:tcW w:w="6740" w:type="dxa"/>
            <w:vAlign w:val="bottom"/>
            <w:gridSpan w:val="2"/>
            <w:shd w:val="clear" w:color="auto" w:fill="D6F3E8"/>
          </w:tcPr>
          <w:p>
            <w:pPr>
              <w:ind w:left="560"/>
              <w:spacing w:after="0" w:line="198" w:lineRule="exact"/>
              <w:rPr>
                <w:sz w:val="20"/>
                <w:szCs w:val="20"/>
                <w:color w:val="auto"/>
              </w:rPr>
            </w:pPr>
            <w:r>
              <w:rPr>
                <w:rFonts w:ascii="Times New Roman" w:cs="Times New Roman" w:eastAsia="Times New Roman" w:hAnsi="Times New Roman"/>
                <w:sz w:val="18"/>
                <w:szCs w:val="18"/>
                <w:color w:val="auto"/>
              </w:rPr>
              <w:t>Retired; President of Fuller Brands from 2003 to 2006 and President of The Fuller</w:t>
            </w:r>
          </w:p>
        </w:tc>
        <w:tc>
          <w:tcPr>
            <w:tcW w:w="1140" w:type="dxa"/>
            <w:vAlign w:val="bottom"/>
            <w:gridSpan w:val="2"/>
            <w:shd w:val="clear" w:color="auto" w:fill="D6F3E8"/>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w w:val="99"/>
              </w:rPr>
              <w:t>62</w:t>
            </w:r>
          </w:p>
        </w:tc>
        <w:tc>
          <w:tcPr>
            <w:tcW w:w="1140" w:type="dxa"/>
            <w:vAlign w:val="bottom"/>
            <w:gridSpan w:val="2"/>
            <w:shd w:val="clear" w:color="auto" w:fill="D6F3E8"/>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w w:val="99"/>
              </w:rPr>
              <w:t>1999</w:t>
            </w: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D6F3E8"/>
          </w:tcPr>
          <w:p>
            <w:pPr>
              <w:spacing w:after="0"/>
              <w:rPr>
                <w:sz w:val="18"/>
                <w:szCs w:val="18"/>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w w:val="99"/>
              </w:rPr>
              <w:t>Brush Company from 2002 to 2006; President of Pentair Service Equipment Business</w:t>
            </w:r>
          </w:p>
        </w:tc>
        <w:tc>
          <w:tcPr>
            <w:tcW w:w="5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D6F3E8"/>
          </w:tcPr>
          <w:p>
            <w:pPr>
              <w:spacing w:after="0"/>
              <w:rPr>
                <w:sz w:val="18"/>
                <w:szCs w:val="18"/>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from 1996 to 2001; Vice President of Pentair Corporate Development from 1995 to</w:t>
            </w:r>
          </w:p>
        </w:tc>
        <w:tc>
          <w:tcPr>
            <w:tcW w:w="5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D6F3E8"/>
          </w:tcPr>
          <w:p>
            <w:pPr>
              <w:spacing w:after="0"/>
              <w:rPr>
                <w:sz w:val="18"/>
                <w:szCs w:val="18"/>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1996; President of Niagara Paper Corp. from 1992 to 1995; various positions with</w:t>
            </w:r>
          </w:p>
        </w:tc>
        <w:tc>
          <w:tcPr>
            <w:tcW w:w="5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D6F3E8"/>
          </w:tcPr>
          <w:p>
            <w:pPr>
              <w:spacing w:after="0"/>
              <w:rPr>
                <w:sz w:val="20"/>
                <w:szCs w:val="20"/>
                <w:color w:val="auto"/>
              </w:rPr>
            </w:pPr>
          </w:p>
        </w:tc>
        <w:tc>
          <w:tcPr>
            <w:tcW w:w="67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Pentair, Inc. from 1983 to 1992.</w:t>
            </w:r>
          </w:p>
        </w:tc>
        <w:tc>
          <w:tcPr>
            <w:tcW w:w="580" w:type="dxa"/>
            <w:vAlign w:val="bottom"/>
            <w:shd w:val="clear" w:color="auto" w:fill="D6F3E8"/>
          </w:tcPr>
          <w:p>
            <w:pPr>
              <w:spacing w:after="0"/>
              <w:rPr>
                <w:sz w:val="20"/>
                <w:szCs w:val="20"/>
                <w:color w:val="auto"/>
              </w:rPr>
            </w:pPr>
          </w:p>
        </w:tc>
        <w:tc>
          <w:tcPr>
            <w:tcW w:w="560" w:type="dxa"/>
            <w:vAlign w:val="bottom"/>
            <w:shd w:val="clear" w:color="auto" w:fill="D6F3E8"/>
          </w:tcPr>
          <w:p>
            <w:pPr>
              <w:spacing w:after="0"/>
              <w:rPr>
                <w:sz w:val="20"/>
                <w:szCs w:val="20"/>
                <w:color w:val="auto"/>
              </w:rPr>
            </w:pPr>
          </w:p>
        </w:tc>
        <w:tc>
          <w:tcPr>
            <w:tcW w:w="560" w:type="dxa"/>
            <w:vAlign w:val="bottom"/>
            <w:shd w:val="clear" w:color="auto" w:fill="D6F3E8"/>
          </w:tcPr>
          <w:p>
            <w:pPr>
              <w:spacing w:after="0"/>
              <w:rPr>
                <w:sz w:val="20"/>
                <w:szCs w:val="20"/>
                <w:color w:val="auto"/>
              </w:rPr>
            </w:pPr>
          </w:p>
        </w:tc>
        <w:tc>
          <w:tcPr>
            <w:tcW w:w="58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Daryl I. Skaar</w:t>
            </w:r>
          </w:p>
        </w:tc>
        <w:tc>
          <w:tcPr>
            <w:tcW w:w="6740" w:type="dxa"/>
            <w:vAlign w:val="bottom"/>
            <w:gridSpan w:val="2"/>
          </w:tcPr>
          <w:p>
            <w:pPr>
              <w:ind w:left="560"/>
              <w:spacing w:after="0" w:line="198" w:lineRule="exact"/>
              <w:rPr>
                <w:sz w:val="20"/>
                <w:szCs w:val="20"/>
                <w:color w:val="auto"/>
              </w:rPr>
            </w:pPr>
            <w:r>
              <w:rPr>
                <w:rFonts w:ascii="Times New Roman" w:cs="Times New Roman" w:eastAsia="Times New Roman" w:hAnsi="Times New Roman"/>
                <w:sz w:val="18"/>
                <w:szCs w:val="18"/>
                <w:color w:val="auto"/>
              </w:rPr>
              <w:t>Retired; Vice President and Chief Procurement Officer of Lucent Technologies from</w:t>
            </w:r>
          </w:p>
        </w:tc>
        <w:tc>
          <w:tcPr>
            <w:tcW w:w="1140" w:type="dxa"/>
            <w:vAlign w:val="bottom"/>
            <w:gridSpan w:val="2"/>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w w:val="99"/>
              </w:rPr>
              <w:t>65</w:t>
            </w:r>
          </w:p>
        </w:tc>
        <w:tc>
          <w:tcPr>
            <w:tcW w:w="1140" w:type="dxa"/>
            <w:vAlign w:val="bottom"/>
            <w:gridSpan w:val="2"/>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w w:val="99"/>
              </w:rPr>
              <w:t>2001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1997 to 2000; various positions at 3M from 1965 to 1997, most recently as Vice</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President of Purchasing and Packaging Engineering.</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Eapen Chacko</w:t>
            </w:r>
          </w:p>
        </w:tc>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Vice President and Chief Financial Officer of MedicalCV, Inc. since 2006; Vice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59</w:t>
            </w:r>
          </w:p>
        </w:tc>
        <w:tc>
          <w:tcPr>
            <w:tcW w:w="11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President and Chief Financial Officer of Possis Medical, Inc. from 2000 to 2005;</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782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82320"/>
                    </a:xfrm>
                    <a:prstGeom prst="rect">
                      <a:avLst/>
                    </a:prstGeom>
                    <a:noFill/>
                  </pic:spPr>
                </pic:pic>
              </a:graphicData>
            </a:graphic>
          </wp:anchor>
        </w:drawing>
      </w:r>
    </w:p>
    <w:p>
      <w:pPr>
        <w:ind w:left="2860" w:right="2420"/>
        <w:spacing w:after="0" w:line="277" w:lineRule="auto"/>
        <w:rPr>
          <w:sz w:val="20"/>
          <w:szCs w:val="20"/>
          <w:color w:val="auto"/>
        </w:rPr>
      </w:pPr>
      <w:r>
        <w:rPr>
          <w:rFonts w:ascii="Times New Roman" w:cs="Times New Roman" w:eastAsia="Times New Roman" w:hAnsi="Times New Roman"/>
          <w:sz w:val="17"/>
          <w:szCs w:val="17"/>
          <w:color w:val="auto"/>
        </w:rPr>
        <w:t>Vice President for Investor and Public Relations, Corporate Communications of Possis Medical, Inc. from 1999 to 2000; Director of Investor Relations of Fingerhut Companies from 1995 to 1999; Vice President of Equity Capital Markets Research at</w:t>
      </w:r>
    </w:p>
    <w:p>
      <w:pPr>
        <w:sectPr>
          <w:pgSz w:w="11900" w:h="16838" w:orient="portrait"/>
          <w:cols w:equalWidth="0" w:num="1">
            <w:col w:w="11420"/>
          </w:cols>
          <w:pgMar w:left="240" w:top="108"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300" w:type="dxa"/>
            <w:vAlign w:val="bottom"/>
            <w:shd w:val="clear" w:color="auto" w:fill="D6F3E8"/>
          </w:tcPr>
          <w:p>
            <w:pPr>
              <w:spacing w:after="0"/>
              <w:rPr>
                <w:sz w:val="17"/>
                <w:szCs w:val="17"/>
                <w:color w:val="auto"/>
              </w:rPr>
            </w:pPr>
          </w:p>
        </w:tc>
        <w:tc>
          <w:tcPr>
            <w:tcW w:w="7000" w:type="dxa"/>
            <w:vAlign w:val="bottom"/>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Dain Bosworth from 1992 to 1995; Vice President of Equity Research of Roulston</w:t>
            </w:r>
          </w:p>
        </w:tc>
        <w:tc>
          <w:tcPr>
            <w:tcW w:w="1120" w:type="dxa"/>
            <w:vAlign w:val="bottom"/>
            <w:shd w:val="clear" w:color="auto" w:fill="D6F3E8"/>
          </w:tcPr>
          <w:p>
            <w:pPr>
              <w:spacing w:after="0"/>
              <w:rPr>
                <w:sz w:val="17"/>
                <w:szCs w:val="17"/>
                <w:color w:val="auto"/>
              </w:rPr>
            </w:pPr>
          </w:p>
        </w:tc>
        <w:tc>
          <w:tcPr>
            <w:tcW w:w="1000" w:type="dxa"/>
            <w:vAlign w:val="bottom"/>
            <w:shd w:val="clear" w:color="auto" w:fill="D6F3E8"/>
          </w:tcPr>
          <w:p>
            <w:pPr>
              <w:spacing w:after="0"/>
              <w:rPr>
                <w:sz w:val="17"/>
                <w:szCs w:val="17"/>
                <w:color w:val="auto"/>
              </w:rPr>
            </w:pPr>
          </w:p>
        </w:tc>
      </w:tr>
      <w:tr>
        <w:trPr>
          <w:trHeight w:val="216"/>
        </w:trPr>
        <w:tc>
          <w:tcPr>
            <w:tcW w:w="2300" w:type="dxa"/>
            <w:vAlign w:val="bottom"/>
            <w:shd w:val="clear" w:color="auto" w:fill="D6F3E8"/>
          </w:tcPr>
          <w:p>
            <w:pPr>
              <w:spacing w:after="0"/>
              <w:rPr>
                <w:sz w:val="18"/>
                <w:szCs w:val="18"/>
                <w:color w:val="auto"/>
              </w:rPr>
            </w:pPr>
          </w:p>
        </w:tc>
        <w:tc>
          <w:tcPr>
            <w:tcW w:w="7000" w:type="dxa"/>
            <w:vAlign w:val="bottom"/>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Research Corporation from 1988 to 1992; Vice President and Chief Economist of</w:t>
            </w:r>
          </w:p>
        </w:tc>
        <w:tc>
          <w:tcPr>
            <w:tcW w:w="112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r>
      <w:tr>
        <w:trPr>
          <w:trHeight w:val="234"/>
        </w:trPr>
        <w:tc>
          <w:tcPr>
            <w:tcW w:w="2300" w:type="dxa"/>
            <w:vAlign w:val="bottom"/>
            <w:shd w:val="clear" w:color="auto" w:fill="D6F3E8"/>
          </w:tcPr>
          <w:p>
            <w:pPr>
              <w:spacing w:after="0"/>
              <w:rPr>
                <w:sz w:val="20"/>
                <w:szCs w:val="20"/>
                <w:color w:val="auto"/>
              </w:rPr>
            </w:pPr>
          </w:p>
        </w:tc>
        <w:tc>
          <w:tcPr>
            <w:tcW w:w="7000" w:type="dxa"/>
            <w:vAlign w:val="bottom"/>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Safian Investment Research from 1985 to 1987.</w:t>
            </w:r>
          </w:p>
        </w:tc>
        <w:tc>
          <w:tcPr>
            <w:tcW w:w="1120" w:type="dxa"/>
            <w:vAlign w:val="bottom"/>
            <w:shd w:val="clear" w:color="auto" w:fill="D6F3E8"/>
          </w:tcPr>
          <w:p>
            <w:pPr>
              <w:spacing w:after="0"/>
              <w:rPr>
                <w:sz w:val="20"/>
                <w:szCs w:val="20"/>
                <w:color w:val="auto"/>
              </w:rPr>
            </w:pPr>
          </w:p>
        </w:tc>
        <w:tc>
          <w:tcPr>
            <w:tcW w:w="1000" w:type="dxa"/>
            <w:vAlign w:val="bottom"/>
            <w:shd w:val="clear" w:color="auto" w:fill="D6F3E8"/>
          </w:tcPr>
          <w:p>
            <w:pPr>
              <w:spacing w:after="0"/>
              <w:rPr>
                <w:sz w:val="20"/>
                <w:szCs w:val="20"/>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James A. Faulconbridge</w:t>
            </w:r>
          </w:p>
        </w:tc>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of Kargas-Faulconbridge since 1996.</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2006</w:t>
            </w:r>
          </w:p>
        </w:tc>
      </w:tr>
    </w:tbl>
    <w:p>
      <w:pPr>
        <w:spacing w:after="0" w:line="396" w:lineRule="exact"/>
        <w:rPr>
          <w:sz w:val="20"/>
          <w:szCs w:val="20"/>
          <w:color w:val="auto"/>
        </w:rPr>
      </w:pPr>
    </w:p>
    <w:p>
      <w:pPr>
        <w:ind w:right="480" w:firstLine="360"/>
        <w:spacing w:after="0" w:line="454" w:lineRule="auto"/>
        <w:rPr>
          <w:sz w:val="20"/>
          <w:szCs w:val="20"/>
          <w:color w:val="auto"/>
        </w:rPr>
      </w:pPr>
      <w:r>
        <w:rPr>
          <w:rFonts w:ascii="Times New Roman" w:cs="Times New Roman" w:eastAsia="Times New Roman" w:hAnsi="Times New Roman"/>
          <w:sz w:val="18"/>
          <w:szCs w:val="18"/>
          <w:color w:val="auto"/>
        </w:rPr>
        <w:t xml:space="preserve">Howard M. Hawkins and John R. Hawkins are brothers. There are no other family relationships between any of our executive officers or directors. </w:t>
      </w:r>
      <w:r>
        <w:rPr>
          <w:rFonts w:ascii="Times New Roman" w:cs="Times New Roman" w:eastAsia="Times New Roman" w:hAnsi="Times New Roman"/>
          <w:sz w:val="18"/>
          <w:szCs w:val="18"/>
          <w:b w:val="1"/>
          <w:bCs w:val="1"/>
          <w:color w:val="auto"/>
        </w:rPr>
        <w:t>Director Independence</w:t>
      </w: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all of our directors, except Howard M. Hawkins, John R. Hawkins and John S. McKeon, are “independent” as that term is defined under the applicable independence listing standards of the NASDAQ Stock Market. Accordingly, a majority of our directors 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02" w:lineRule="exact"/>
        <w:rPr>
          <w:sz w:val="20"/>
          <w:szCs w:val="20"/>
          <w:color w:val="auto"/>
        </w:rPr>
      </w:pPr>
    </w:p>
    <w:p>
      <w:pPr>
        <w:ind w:right="580"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held five meetings in fiscal 2007. All directors attended at least 75% of the meetings of our Board of Directors and the committees on which they served. All directors attended our annual meeting of shareholders in 2006. Our Board of Directors encourages, but does not require, director attendance at annual meetings of shareholders.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89"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which consists of Daryl I. Skaar (Chair), G. Robert Gey and Eapen Chacko,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four meetings during fiscal 2007.</w:t>
      </w:r>
    </w:p>
    <w:p>
      <w:pPr>
        <w:spacing w:after="0" w:line="153"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All members of the Audit Committee are “independent” as that term is defined in the applicable standards of the NASDAQ Stock Market, Section 301 of the Sarbanes-Oxley Act of 2002 (“Sarbanes-Oxley”) and the rules adopted by the Securities and Exchange Commission (the “SEC”) pursuant to Sarbanes-Oxley. Our Board of Directors has determined that Daryl I. Skaar, G. Robert Gey and Eapen Chacko are “audit committee financial experts,” as the term is defined under Section 407 of the Sarbanes-Oxley Act and the rules promulgated by the SEC in furtherance of Section 407.</w:t>
      </w:r>
    </w:p>
    <w:p>
      <w:pPr>
        <w:spacing w:after="0" w:line="140" w:lineRule="exact"/>
        <w:rPr>
          <w:sz w:val="20"/>
          <w:szCs w:val="20"/>
          <w:color w:val="auto"/>
        </w:rPr>
      </w:pPr>
    </w:p>
    <w:p>
      <w:pPr>
        <w:ind w:right="500" w:firstLine="360"/>
        <w:spacing w:after="0" w:line="282" w:lineRule="auto"/>
        <w:rPr>
          <w:sz w:val="20"/>
          <w:szCs w:val="20"/>
          <w:color w:val="auto"/>
        </w:rPr>
      </w:pPr>
      <w:r>
        <w:rPr>
          <w:rFonts w:ascii="Times New Roman" w:cs="Times New Roman" w:eastAsia="Times New Roman" w:hAnsi="Times New Roman"/>
          <w:sz w:val="18"/>
          <w:szCs w:val="18"/>
          <w:color w:val="auto"/>
        </w:rPr>
        <w:t>The responsibilities of the Audit Committee are set forth in the Audit Committee Charter. A current copy of the charter is available on our website (www.hawkinsinc.com).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2" w:lineRule="exact"/>
        <w:rPr>
          <w:sz w:val="20"/>
          <w:szCs w:val="20"/>
          <w:color w:val="auto"/>
        </w:rPr>
      </w:pPr>
    </w:p>
    <w:p>
      <w:pPr>
        <w:ind w:right="300"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which consists of Duane M. Jergenson (Chair), Daryl I. Skaar and James A. Faulconbridge, is responsible for establishing compensation policies for our company and for reviewing and setting compensation for our executive officers. The Compensation Committee held six meetings during fiscal 2007.</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All members of the Compensation Committee are “independent” as that term is defined in the applicable standards of the NASDAQ Stock Market.</w:t>
      </w:r>
    </w:p>
    <w:p>
      <w:pPr>
        <w:spacing w:after="0" w:line="185"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18"/>
          <w:szCs w:val="18"/>
          <w:color w:val="auto"/>
        </w:rPr>
        <w:t>In fiscal 2007, the Compensation Committee retained independent compensation consultant Towers Perrin, a nationally recognized compensation consulting firm with expertise in our industry, to provide the committee with independent advice regarding industry practices and peer company compensation programs. The Compensation Committee also regularly consults with our Chief Executive Officer, who makes recommendations to the committee regarding compensation of our executive officers other than the Chief Executive Officer. Additional information on the role of the compensation consultant and management in the Compensation Committee’s processes and procedures can be found in the Compensation Discussion and Analysis section below.</w:t>
      </w:r>
    </w:p>
    <w:p>
      <w:pPr>
        <w:spacing w:after="0" w:line="161"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The responsibilities of the Compensation Committee are set forth in the Compensation Committee Charter. A current copy of the charter is available on our website (www.hawkinsinc.com).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189"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The Corporate Governance and Nominating Committee, which consists of John S. McKeon (Chair), Duane M. Jergenson, G. Robert Gey and Eapen Chacko, is responsible for identifying individuals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qualified to become directors and recommending nominees to our Board for election at annual meetings of shareholders. In addition, the Corporate Governance and Nominating Committee monitors developments in director compensation and, as appropriate, recommends changes in director compensation to our Board. The Corporate Governance and Nominating Committee is also responsible for developing and recommending to our Board corporate</w:t>
      </w:r>
    </w:p>
    <w:p>
      <w:pPr>
        <w:sectPr>
          <w:pgSz w:w="11900" w:h="16838" w:orient="portrait"/>
          <w:cols w:equalWidth="0" w:num="1">
            <w:col w:w="11420"/>
          </w:cols>
          <w:pgMar w:left="240" w:top="130" w:right="239" w:bottom="0" w:gutter="0" w:footer="0" w:header="0"/>
        </w:sectPr>
      </w:pPr>
    </w:p>
    <w:bookmarkStart w:id="4" w:name="page5"/>
    <w:bookmarkEnd w:id="4"/>
    <w:p>
      <w:pPr>
        <w:ind w:right="240"/>
        <w:spacing w:after="0" w:line="282" w:lineRule="auto"/>
        <w:rPr>
          <w:sz w:val="20"/>
          <w:szCs w:val="20"/>
          <w:color w:val="auto"/>
        </w:rPr>
      </w:pPr>
      <w:r>
        <w:rPr>
          <w:rFonts w:ascii="Times New Roman" w:cs="Times New Roman" w:eastAsia="Times New Roman" w:hAnsi="Times New Roman"/>
          <w:sz w:val="18"/>
          <w:szCs w:val="18"/>
          <w:color w:val="auto"/>
        </w:rPr>
        <w:t>governance principles applicable to us. Finally, the Corporate Governance and Nominating Committee oversees public policy matters and compliance with our Code of Conduct. The Corporate Governance and Nominating Committee held one meeting during fiscal 2007.</w:t>
      </w:r>
    </w:p>
    <w:p>
      <w:pPr>
        <w:spacing w:after="0" w:line="121" w:lineRule="exact"/>
        <w:rPr>
          <w:sz w:val="20"/>
          <w:szCs w:val="20"/>
          <w:color w:val="auto"/>
        </w:rPr>
      </w:pPr>
    </w:p>
    <w:p>
      <w:pPr>
        <w:ind w:right="380" w:firstLine="360"/>
        <w:spacing w:after="0" w:line="282" w:lineRule="auto"/>
        <w:rPr>
          <w:sz w:val="20"/>
          <w:szCs w:val="20"/>
          <w:color w:val="auto"/>
        </w:rPr>
      </w:pPr>
      <w:r>
        <w:rPr>
          <w:rFonts w:ascii="Times New Roman" w:cs="Times New Roman" w:eastAsia="Times New Roman" w:hAnsi="Times New Roman"/>
          <w:sz w:val="18"/>
          <w:szCs w:val="18"/>
          <w:color w:val="auto"/>
        </w:rPr>
        <w:t>All members of the Corporate Governance and Nominating Committee, except for John S. McKeon, are “independent” as that term is defined in the applicable standards of the NASDAQ Stock Market.</w:t>
      </w:r>
    </w:p>
    <w:p>
      <w:pPr>
        <w:spacing w:after="0" w:line="135"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The responsibilities of the Corporate Governance and Nominating Committee are set forth in the Corporate Governance and Nominating Committee Charter. A current copy of the charter is available on our website (www.hawkinsinc.com).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Process</w:t>
      </w:r>
    </w:p>
    <w:p>
      <w:pPr>
        <w:spacing w:after="0" w:line="18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During fiscal 2007, we created a Corporate Governance and Nominating Committee, whose responsibilities include identifying individuals qualified to become directors and recommending nominees to our Board for election at annual meetings of shareholders. Following such recommendation, all members of our Board of Directors participate in the consideration of director nominees, and the approval of a majority of the independent directors is required to nominate a director candidate. In order to maintain flexibility in its consideration of candidates, our Board of Directors does not have a formal policy regarding the consideration of any director candidates recommended by shareholders. However, the Corporate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and a completed director nominee questionnaire (available from our Secretary upon request) to our Secretary no later than 60 days after the end of our fiscal year. The proposing shareholder should also include his or her contact information and a statement of his or her share ownership (how many shares of our company owned and for how long). The Corporate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SEC rules and NASDAQ Stock Market listing standards, and willingness, ability and availability for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Shareholders can contact the full Board of Directors, the independent directors as a group or any of the individual directors by writing to our Secretary at</w:t>
      </w:r>
    </w:p>
    <w:p>
      <w:pPr>
        <w:spacing w:after="0" w:line="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3100 East Hennepin Avenue, Minneapolis, Minnesota 55413. All communications will be compiled by the Secretary and submitted to the addressees on a periodic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THE AUDIT COMMITTEE OF THE BOARD OF DIRECTORS</w:t>
      </w:r>
    </w:p>
    <w:p>
      <w:pPr>
        <w:spacing w:after="0" w:line="21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has (i) reviewed and discussed our audited financial statements for the fiscal year ended April 1, 2007 with both our management and our independent registered public accounting firm, Deloitte &amp; Touche LLP (“Deloitte”); (ii) discussed with Deloitte the matters required to be discussed by Statement of Auditing Standards No. 61, as amended, regarding communications with audit committees; (iii) received from Deloitte the written disclosures and the letter required by Independence Standards Board Standard No. 1 and discussed with Deloitte its independence; and (iv) considered whether the level of non-audit services provided by Deloitte is compatible with maintaining the independence of Deloitte.</w:t>
      </w:r>
    </w:p>
    <w:p>
      <w:pPr>
        <w:spacing w:after="0" w:line="143"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our Board of Directors that our audited financial statements be included in our Annual Report on Form 10-K for the fiscal year ended April 1, 2007 for filing with the SEC.</w:t>
      </w:r>
    </w:p>
    <w:p>
      <w:pPr>
        <w:spacing w:after="0" w:line="133" w:lineRule="exact"/>
        <w:rPr>
          <w:sz w:val="20"/>
          <w:szCs w:val="20"/>
          <w:color w:val="auto"/>
        </w:rPr>
      </w:pPr>
    </w:p>
    <w:p>
      <w:pPr>
        <w:jc w:val="center"/>
        <w:ind w:right="40"/>
        <w:spacing w:after="0"/>
        <w:tabs>
          <w:tab w:leader="none" w:pos="220" w:val="left"/>
          <w:tab w:leader="none" w:pos="200" w:val="left"/>
        </w:tabs>
        <w:rPr>
          <w:sz w:val="20"/>
          <w:szCs w:val="20"/>
          <w:color w:val="auto"/>
        </w:rPr>
      </w:pPr>
      <w:r>
        <w:rPr>
          <w:rFonts w:ascii="Times New Roman" w:cs="Times New Roman" w:eastAsia="Times New Roman" w:hAnsi="Times New Roman"/>
          <w:sz w:val="18"/>
          <w:szCs w:val="18"/>
          <w:i w:val="1"/>
          <w:iCs w:val="1"/>
          <w:color w:val="auto"/>
        </w:rPr>
        <w:t>Daryl I. Skaar (Chair)</w:t>
        <w:tab/>
        <w:t>G. Robert Gey</w:t>
        <w:tab/>
        <w:t>Eapen Chacko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Audit Committee of the Board of Directors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ACCOUNTING FIRM’S FEES</w:t>
      </w:r>
    </w:p>
    <w:p>
      <w:pPr>
        <w:spacing w:after="0" w:line="219"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aggregate fees billed to us by Deloitte for services rendered during the fiscal years 2007 and 2006. The Audit Committee pre-approved 100% of the services described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Fees</w:t>
            </w:r>
          </w:p>
        </w:tc>
        <w:tc>
          <w:tcPr>
            <w:tcW w:w="238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2007</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Fiscal 2006</w:t>
            </w:r>
          </w:p>
        </w:tc>
      </w:tr>
      <w:tr>
        <w:trPr>
          <w:trHeight w:val="91"/>
        </w:trPr>
        <w:tc>
          <w:tcPr>
            <w:tcW w:w="144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02"/>
        </w:trPr>
        <w:tc>
          <w:tcPr>
            <w:tcW w:w="1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4040" w:type="dxa"/>
            <w:vAlign w:val="bottom"/>
            <w:gridSpan w:val="3"/>
            <w:shd w:val="clear" w:color="auto" w:fill="D6F3E8"/>
          </w:tcPr>
          <w:p>
            <w:pPr>
              <w:spacing w:after="0"/>
              <w:rPr>
                <w:sz w:val="20"/>
                <w:szCs w:val="20"/>
                <w:color w:val="auto"/>
              </w:rPr>
            </w:pPr>
            <w:r>
              <w:rPr>
                <w:rFonts w:ascii="Times New Roman" w:cs="Times New Roman" w:eastAsia="Times New Roman" w:hAnsi="Times New Roman"/>
                <w:sz w:val="18"/>
                <w:szCs w:val="18"/>
                <w:color w:val="auto"/>
              </w:rPr>
              <w:t>Audit Fees</w:t>
            </w:r>
          </w:p>
        </w:tc>
        <w:tc>
          <w:tcPr>
            <w:tcW w:w="25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D6F3E8"/>
          </w:tcPr>
          <w:p>
            <w:pPr>
              <w:jc w:val="right"/>
              <w:ind w:right="500"/>
              <w:spacing w:after="0"/>
              <w:rPr>
                <w:sz w:val="20"/>
                <w:szCs w:val="20"/>
                <w:color w:val="auto"/>
              </w:rPr>
            </w:pPr>
            <w:r>
              <w:rPr>
                <w:rFonts w:ascii="Times New Roman" w:cs="Times New Roman" w:eastAsia="Times New Roman" w:hAnsi="Times New Roman"/>
                <w:sz w:val="18"/>
                <w:szCs w:val="18"/>
                <w:color w:val="auto"/>
              </w:rPr>
              <w:t>396,000</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D6F3E8"/>
          </w:tcPr>
          <w:p>
            <w:pPr>
              <w:jc w:val="right"/>
              <w:ind w:right="80"/>
              <w:spacing w:after="0"/>
              <w:rPr>
                <w:sz w:val="20"/>
                <w:szCs w:val="20"/>
                <w:color w:val="auto"/>
              </w:rPr>
            </w:pPr>
            <w:r>
              <w:rPr>
                <w:rFonts w:ascii="Times New Roman" w:cs="Times New Roman" w:eastAsia="Times New Roman" w:hAnsi="Times New Roman"/>
                <w:sz w:val="18"/>
                <w:szCs w:val="18"/>
                <w:color w:val="auto"/>
              </w:rPr>
              <w:t>333,000</w:t>
            </w:r>
          </w:p>
        </w:tc>
      </w:tr>
      <w:tr>
        <w:trPr>
          <w:trHeight w:val="216"/>
        </w:trPr>
        <w:tc>
          <w:tcPr>
            <w:tcW w:w="144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Audit-Related Fees (a)</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22,000</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19,000</w:t>
            </w:r>
          </w:p>
        </w:tc>
      </w:tr>
      <w:tr>
        <w:trPr>
          <w:trHeight w:val="216"/>
        </w:trPr>
        <w:tc>
          <w:tcPr>
            <w:tcW w:w="1440" w:type="dxa"/>
            <w:vAlign w:val="bottom"/>
          </w:tcPr>
          <w:p>
            <w:pPr>
              <w:spacing w:after="0"/>
              <w:rPr>
                <w:sz w:val="18"/>
                <w:szCs w:val="18"/>
                <w:color w:val="auto"/>
              </w:rPr>
            </w:pPr>
          </w:p>
        </w:tc>
        <w:tc>
          <w:tcPr>
            <w:tcW w:w="4040" w:type="dxa"/>
            <w:vAlign w:val="bottom"/>
            <w:gridSpan w:val="3"/>
            <w:shd w:val="clear" w:color="auto" w:fill="D6F3E8"/>
          </w:tcPr>
          <w:p>
            <w:pPr>
              <w:spacing w:after="0"/>
              <w:rPr>
                <w:sz w:val="20"/>
                <w:szCs w:val="20"/>
                <w:color w:val="auto"/>
              </w:rPr>
            </w:pPr>
            <w:r>
              <w:rPr>
                <w:rFonts w:ascii="Times New Roman" w:cs="Times New Roman" w:eastAsia="Times New Roman" w:hAnsi="Times New Roman"/>
                <w:sz w:val="18"/>
                <w:szCs w:val="18"/>
                <w:color w:val="auto"/>
              </w:rPr>
              <w:t>Tax Fees (b)</w:t>
            </w:r>
          </w:p>
        </w:tc>
        <w:tc>
          <w:tcPr>
            <w:tcW w:w="23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500"/>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shd w:val="clear" w:color="auto" w:fill="D6F3E8"/>
          </w:tcPr>
          <w:p>
            <w:pPr>
              <w:spacing w:after="0"/>
              <w:rPr>
                <w:sz w:val="18"/>
                <w:szCs w:val="18"/>
                <w:color w:val="auto"/>
              </w:rPr>
            </w:pPr>
          </w:p>
        </w:tc>
        <w:tc>
          <w:tcPr>
            <w:tcW w:w="700" w:type="dxa"/>
            <w:vAlign w:val="bottom"/>
            <w:gridSpan w:val="2"/>
            <w:shd w:val="clear" w:color="auto" w:fill="D6F3E8"/>
          </w:tcPr>
          <w:p>
            <w:pPr>
              <w:jc w:val="right"/>
              <w:ind w:right="80"/>
              <w:spacing w:after="0"/>
              <w:rPr>
                <w:sz w:val="20"/>
                <w:szCs w:val="20"/>
                <w:color w:val="auto"/>
              </w:rPr>
            </w:pPr>
            <w:r>
              <w:rPr>
                <w:rFonts w:ascii="Times New Roman" w:cs="Times New Roman" w:eastAsia="Times New Roman" w:hAnsi="Times New Roman"/>
                <w:sz w:val="18"/>
                <w:szCs w:val="18"/>
                <w:color w:val="auto"/>
              </w:rPr>
              <w:t>2,000</w:t>
            </w:r>
          </w:p>
        </w:tc>
      </w:tr>
      <w:tr>
        <w:trPr>
          <w:trHeight w:val="108"/>
        </w:trPr>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160" w:type="dxa"/>
            <w:vAlign w:val="bottom"/>
            <w:gridSpan w:val="2"/>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18"/>
        </w:trPr>
        <w:tc>
          <w:tcPr>
            <w:tcW w:w="1440" w:type="dxa"/>
            <w:vAlign w:val="bottom"/>
          </w:tcPr>
          <w:p>
            <w:pPr>
              <w:spacing w:after="0"/>
              <w:rPr>
                <w:sz w:val="24"/>
                <w:szCs w:val="24"/>
                <w:color w:val="auto"/>
              </w:rPr>
            </w:pPr>
          </w:p>
        </w:tc>
        <w:tc>
          <w:tcPr>
            <w:tcW w:w="4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458,000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354,000</w:t>
            </w:r>
          </w:p>
        </w:tc>
      </w:tr>
      <w:tr>
        <w:trPr>
          <w:trHeight w:val="108"/>
        </w:trPr>
        <w:tc>
          <w:tcPr>
            <w:tcW w:w="14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252" w:lineRule="exact"/>
        <w:rPr>
          <w:sz w:val="20"/>
          <w:szCs w:val="20"/>
          <w:color w:val="auto"/>
        </w:rPr>
      </w:pPr>
    </w:p>
    <w:p>
      <w:pPr>
        <w:ind w:left="1020" w:hanging="47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audits in connection with our benefit plans.</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tax preparation fees of $32,000 and tax consulting fees of $8,000 for fiscal 2007.</w:t>
      </w:r>
    </w:p>
    <w:p>
      <w:pPr>
        <w:spacing w:after="0" w:line="239"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Committee’s current practice on pre-approval of services performed by the independent registered public accounting firm is to approve annually all audit services and, on a case-by-case basis, recurring permissible non-audit services to be provided by Deloitte during the fiscal year. The Audit Committee reviews each non-audit service to be provided and assesses the impact of the service on the auditors’ independence.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OF EXECUTIVE OFFICERS AND DIRECTORS</w:t>
      </w:r>
    </w:p>
    <w:p>
      <w:pPr>
        <w:sectPr>
          <w:pgSz w:w="11900" w:h="16838" w:orient="portrait"/>
          <w:cols w:equalWidth="0" w:num="1">
            <w:col w:w="11420"/>
          </w:cols>
          <w:pgMar w:left="240" w:top="121" w:right="239" w:bottom="0" w:gutter="0" w:footer="0" w:header="0"/>
        </w:sect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ectPr>
          <w:pgSz w:w="11900" w:h="16838" w:orient="portrait"/>
          <w:cols w:equalWidth="0" w:num="1">
            <w:col w:w="11420"/>
          </w:cols>
          <w:pgMar w:left="240" w:top="121" w:right="239" w:bottom="0" w:gutter="0" w:footer="0" w:header="0"/>
          <w:type w:val="continuous"/>
        </w:sectPr>
      </w:pPr>
    </w:p>
    <w:bookmarkStart w:id="5" w:name="page6"/>
    <w:bookmarkEnd w:id="5"/>
    <w:p>
      <w:pPr>
        <w:spacing w:after="0" w:line="18"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is designed to attract and retain executives who will lead our company to achieve long-term success and growth in shareholder value. Consistent with that goal, our executive compensation is based on both individual performance and company performance and the alignment of the interests of our executive officers with those of our shareholders and is used to encourage our executive officers to remain with our company. We seek to reward current results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motivate long-term performance through a combination of short- and long-term incentives that meet our performance, alignment and retention objectives.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Determining Executive Compensation for Fiscal 2007</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executive compensation program for the last fiscal year consisted of the following elements:</w:t>
      </w:r>
    </w:p>
    <w:p>
      <w:pPr>
        <w:spacing w:after="0" w:line="239" w:lineRule="exact"/>
        <w:rPr>
          <w:sz w:val="20"/>
          <w:szCs w:val="20"/>
          <w:color w:val="auto"/>
        </w:rPr>
      </w:pPr>
    </w:p>
    <w:p>
      <w:pPr>
        <w:ind w:left="1020" w:hanging="47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 compensation,</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long-term benefit plans,</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equity awards in the form of restricted stock grants,</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contributions to our employee stock purchase plan, and</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w:t>
      </w:r>
    </w:p>
    <w:p>
      <w:pPr>
        <w:spacing w:after="0" w:line="252"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did not apply a mechanical formula or target a specific amount relative to comparative data for each individual, nor did the committee target a specific amount or relative weight for each component of compensation. Rather, the committee members considered all elements of compensation together and utilized their experience and judgment in determining the total compensation opportunity and mix of compensation elements appropriate for each executive officer in light of our compensation objectives. The Compensation Committee also regularly consults with our Chief Executive Officer, who makes recommendations to the committee regarding compensation of our executive officers other than the Chief Executive Officer. Our Chief Executive Officer participates in the Compensation Committee’s deliberations regarding compensation for our other executive officers, although all determinations are made by the Compensation Committee.</w:t>
      </w:r>
    </w:p>
    <w:p>
      <w:pPr>
        <w:spacing w:after="0" w:line="14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During the second half of fiscal 2007, the Compensation Committee retained independent compensation consultant Towers Perrin, a nationally recognized compensation consulting firm with expertise in our industry, to provide the committee with independent advice regarding industry practices and peer company compensation programs. The Compensation Committee views the information provided by Towers Perrin as one of a number of tools available to the committee in assessing executive compensation. The comparative information provided by them was from companies offering products similar to ours and from companies of comparable size to us.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Officer Compensation for Fiscal 2007</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87"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18"/>
          <w:szCs w:val="18"/>
          <w:color w:val="auto"/>
        </w:rPr>
        <w:t>We provide base salaries to our executive officers to compensate them for fulfilling their primary responsibilities and to provide financial stability. Base salaries for our executive officers are reviewed annually by the Compensation Committee. Adjustments are typically made effective December 1st of each year and are generally based on changes in cost of living due to inflation, consistent with adjustments made to the salary or wages of our other employees. In addition, the Compensation Committee considers each executive officer’s performance for the prior year; his or her experience, expertise and position within our company; overall company performance; and compensation levels for comparable positions at other competitive companies. Following the methodology described above, the Compensation Committee determined that modest increases in base salaries were appropriate for all executive officers in fiscal 2007. The base salaries paid to our executive officers during fiscal 2007 are listed in the Summary Compensation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Annual Cash Bonus Compensation</w:t>
      </w:r>
    </w:p>
    <w:p>
      <w:pPr>
        <w:spacing w:after="0" w:line="200" w:lineRule="exact"/>
        <w:rPr>
          <w:sz w:val="20"/>
          <w:szCs w:val="20"/>
          <w:color w:val="auto"/>
        </w:rPr>
      </w:pPr>
    </w:p>
    <w:p>
      <w:pPr>
        <w:ind w:right="400" w:firstLine="360"/>
        <w:spacing w:after="0" w:line="266" w:lineRule="auto"/>
        <w:rPr>
          <w:sz w:val="20"/>
          <w:szCs w:val="20"/>
          <w:color w:val="auto"/>
        </w:rPr>
      </w:pPr>
      <w:r>
        <w:rPr>
          <w:rFonts w:ascii="Times New Roman" w:cs="Times New Roman" w:eastAsia="Times New Roman" w:hAnsi="Times New Roman"/>
          <w:sz w:val="18"/>
          <w:szCs w:val="18"/>
          <w:color w:val="auto"/>
        </w:rPr>
        <w:t>Annual cash bonus compensation is a key component of our executive compensation strategy. The purpose of annual cash bonus compensation is to provide cash compensation that is variable based on the achievement of performance goals established by the Compensation Committee. Our executive officers do not have a contractual right to receive a fixed bonus for any fiscal year.</w:t>
      </w:r>
    </w:p>
    <w:p>
      <w:pPr>
        <w:spacing w:after="0" w:line="136" w:lineRule="exact"/>
        <w:rPr>
          <w:sz w:val="20"/>
          <w:szCs w:val="20"/>
          <w:color w:val="auto"/>
        </w:rPr>
      </w:pPr>
    </w:p>
    <w:p>
      <w:pPr>
        <w:ind w:right="300" w:firstLine="360"/>
        <w:spacing w:after="0" w:line="266" w:lineRule="auto"/>
        <w:rPr>
          <w:sz w:val="20"/>
          <w:szCs w:val="20"/>
          <w:color w:val="auto"/>
        </w:rPr>
      </w:pPr>
      <w:r>
        <w:rPr>
          <w:rFonts w:ascii="Times New Roman" w:cs="Times New Roman" w:eastAsia="Times New Roman" w:hAnsi="Times New Roman"/>
          <w:sz w:val="18"/>
          <w:szCs w:val="18"/>
          <w:color w:val="auto"/>
        </w:rPr>
        <w:t>Bonuses are paid twice each year with 60% of the bonus opportunity based on the first six months of our fiscal year and 40% based on the last six months. This split reflects the fact that we have historically generated a higher level of profits during the first six months of our fiscal year than the second half of our fiscal year.</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fiscal 2007, the Compensation Committee designated the following factors for determining whether a bonus would be paid and in what amount:</w:t>
      </w:r>
    </w:p>
    <w:p>
      <w:pPr>
        <w:spacing w:after="0" w:line="252" w:lineRule="exact"/>
        <w:rPr>
          <w:sz w:val="20"/>
          <w:szCs w:val="20"/>
          <w:color w:val="auto"/>
        </w:rPr>
      </w:pPr>
    </w:p>
    <w:p>
      <w:pPr>
        <w:ind w:left="1020" w:hanging="47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performance,</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unit performance,</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company initiatives, and</w:t>
      </w:r>
    </w:p>
    <w:p>
      <w:pPr>
        <w:spacing w:after="0" w:line="90" w:lineRule="exact"/>
        <w:rPr>
          <w:rFonts w:ascii="Times New Roman" w:cs="Times New Roman" w:eastAsia="Times New Roman" w:hAnsi="Times New Roman"/>
          <w:sz w:val="18"/>
          <w:szCs w:val="18"/>
          <w:color w:val="auto"/>
        </w:rPr>
      </w:pPr>
    </w:p>
    <w:p>
      <w:pPr>
        <w:ind w:left="1020" w:hanging="47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w:t>
      </w:r>
    </w:p>
    <w:p>
      <w:pPr>
        <w:sectPr>
          <w:pgSz w:w="11900" w:h="16856" w:orient="portrait"/>
          <w:cols w:equalWidth="0" w:num="1">
            <w:col w:w="11420"/>
          </w:cols>
          <w:pgMar w:left="240" w:top="121" w:right="239" w:bottom="0" w:gutter="0" w:footer="0" w:header="0"/>
        </w:sectPr>
      </w:pPr>
    </w:p>
    <w:bookmarkStart w:id="6" w:name="page7"/>
    <w:bookmarkEnd w:id="6"/>
    <w:p>
      <w:pPr>
        <w:ind w:firstLine="360"/>
        <w:spacing w:after="0" w:line="255" w:lineRule="auto"/>
        <w:rPr>
          <w:sz w:val="20"/>
          <w:szCs w:val="20"/>
          <w:color w:val="auto"/>
        </w:rPr>
      </w:pPr>
      <w:r>
        <w:rPr>
          <w:rFonts w:ascii="Times New Roman" w:cs="Times New Roman" w:eastAsia="Times New Roman" w:hAnsi="Times New Roman"/>
          <w:sz w:val="18"/>
          <w:szCs w:val="18"/>
          <w:color w:val="auto"/>
        </w:rPr>
        <w:t>The corporate performance portion of the bonus is based on our company-wide results for our current fiscal year as compared to the results for our prior fiscal year as measured by income before taxes. The business unit performance portion of the bonus is based on business unit profitability in our current fiscal year as compared to the performance in our prior fiscal year. The identified company initiatives were progress in implementing our new Enterprise Resource Planning, or ERP, system and complying with the requirements of Section 404 of Sarbanes-Oxley. Leadership is based on a general perception of an individual’s guidance and ability to direct others within our company. The Compensation Committee consulted with the Chief Executive Officer for his assessment of the degree to which the other executive officers had met their respective company initiatives and leadership goals. In fiscal 2007, the Compensation Committee excluded certain costs relating to the implementation of our new ERP system and compliance with Section 404 of Sarbanes-Oxley as well as a gain during fiscal 2006 related to a litigation settlement when determining the level of corporate and business unit performance.</w:t>
      </w:r>
    </w:p>
    <w:p>
      <w:pPr>
        <w:spacing w:after="0" w:line="145" w:lineRule="exact"/>
        <w:rPr>
          <w:sz w:val="20"/>
          <w:szCs w:val="20"/>
          <w:color w:val="auto"/>
        </w:rPr>
      </w:pPr>
    </w:p>
    <w:p>
      <w:pPr>
        <w:ind w:right="220" w:firstLine="360"/>
        <w:spacing w:after="0" w:line="258" w:lineRule="auto"/>
        <w:rPr>
          <w:sz w:val="20"/>
          <w:szCs w:val="20"/>
          <w:color w:val="auto"/>
        </w:rPr>
      </w:pPr>
      <w:r>
        <w:rPr>
          <w:rFonts w:ascii="Times New Roman" w:cs="Times New Roman" w:eastAsia="Times New Roman" w:hAnsi="Times New Roman"/>
          <w:sz w:val="18"/>
          <w:szCs w:val="18"/>
          <w:color w:val="auto"/>
        </w:rPr>
        <w:t>The bonus opportunity for our Chief Executive Officer for the first six months of fiscal 2007 was weighted as follows: 50% based upon our company-wide performance against our income targets, 20% based on combined business unit performance, 20% based upon our progress in implementing our ERP system and complying with Section 404 of Sarbanes-Oxley, and 10% based upon leadership abilities. For the second six months of fiscal 2007, the bonus opportunity for our Chief Executive Officer was weighted as follows: 80% based upon our performance against our income targets, 10% based upon our progress in implementing our ERP system and complying with Section 404 of Sarbanes-Oxley, and 10% based upon leadership abilities.</w:t>
      </w:r>
    </w:p>
    <w:p>
      <w:pPr>
        <w:spacing w:after="0" w:line="15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The bonus opportunity for our Chief Financial Officer for the first six months of fiscal 2007 was weighted as follows: 50% based upon our company-wide performance against our income targets, 40% based upon our progress in implementing our ERP system and complying with Section 404 of Sarbanes-Oxley, and 10% based upon leadership abilities. For the second six months of fiscal 2007, the bonus opportunity for our Chief Financial Officer was weighted as follows: 80% based upon our performance against our income targets, 10% based upon our progress in implementing our ERP system and complying with Section 404 of Sarbanes-Oxley, and 10% based upon leadership 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40" w:firstLine="360"/>
        <w:spacing w:after="0" w:line="289" w:lineRule="auto"/>
        <w:rPr>
          <w:sz w:val="20"/>
          <w:szCs w:val="20"/>
          <w:color w:val="auto"/>
        </w:rPr>
      </w:pPr>
      <w:r>
        <w:rPr>
          <w:rFonts w:ascii="Times New Roman" w:cs="Times New Roman" w:eastAsia="Times New Roman" w:hAnsi="Times New Roman"/>
          <w:sz w:val="17"/>
          <w:szCs w:val="17"/>
          <w:color w:val="auto"/>
        </w:rPr>
        <w:t>Our remaining executive officers were each responsible for one of our business units and their bonuses for both periods of fiscal 2007 were weighted as follows: 40% based upon our company-wide performance against our income targets, 40% based upon the performance of their respective business unit, 10% based upon our progress in implementing our ERP system and complying with Section 404 of Sarbanes-Oxley, and 10% based upon leadership abilities.</w:t>
      </w:r>
    </w:p>
    <w:p>
      <w:pPr>
        <w:spacing w:after="0" w:line="118"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The targeted bonus opportunity for our executive officers ranged from 35% to 50% of the respective executive officer’s base salary. Our participants are able to receive more than the targeted bonus opportunity if the Compensation Committee determines that they have exceeded their respective goals. Partial achievement of the goals will result in reduced bonus payments as determined by the Compensation Committee.</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Contributions to Long-Term Benefit Plans</w:t>
      </w:r>
    </w:p>
    <w:p>
      <w:pPr>
        <w:spacing w:after="0" w:line="187"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All of our executive officers as well as all other non-bargaining employees generally participate in two separate long-term benefit plans: our Money Purchase Pension Plan and our Employee Stock Ownership Plan, or ESOP. Contributions to these two plans by our company on behalf of our executive officers are a key component of our retention objectives since contributed benefits vest over a six-year period. In addition, contributions to our ESOP permit our executive officers to develop a meaningful stake in our company over time that better aligns their interests with those of our shareholders.</w:t>
      </w:r>
    </w:p>
    <w:p>
      <w:pPr>
        <w:spacing w:after="0" w:line="140"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Under both plans, our executive officers participate on the same terms as all other eligible employees, with the annual compensation that was used to determine plan benefits being capped at $220,000 for fiscal 2007. This limit will be adjusted in future years under federal tax law for cost-of-living increases. In addition, the aggregate amount contributed by our company in the current plan year for a participant under our Money Purchase Pension Plan and the ESOP was limited to $44,000 for fiscal 2007.</w:t>
      </w:r>
    </w:p>
    <w:p>
      <w:pPr>
        <w:spacing w:after="0" w:line="153" w:lineRule="exact"/>
        <w:rPr>
          <w:sz w:val="20"/>
          <w:szCs w:val="20"/>
          <w:color w:val="auto"/>
        </w:rPr>
      </w:pPr>
    </w:p>
    <w:p>
      <w:pPr>
        <w:ind w:right="240" w:firstLine="360"/>
        <w:spacing w:after="0" w:line="261" w:lineRule="auto"/>
        <w:rPr>
          <w:sz w:val="20"/>
          <w:szCs w:val="20"/>
          <w:color w:val="auto"/>
        </w:rPr>
      </w:pPr>
      <w:r>
        <w:rPr>
          <w:rFonts w:ascii="Times New Roman" w:cs="Times New Roman" w:eastAsia="Times New Roman" w:hAnsi="Times New Roman"/>
          <w:sz w:val="18"/>
          <w:szCs w:val="18"/>
          <w:color w:val="auto"/>
        </w:rPr>
        <w:t>Under our Money Purchase Pension Plan, we contribute a percentage of each eligible participant’s compensation to an account maintained for the participant under the plan. Participant accounts are credited with the appropriate gains or losses resulting from employee-directed investments made by the plan. During recent years, including fiscal 2007, we made contributions to this plan equal to 15% of each participant’s compensation. For fiscal 2007, we contributed $33,000 on behalf of each executive officer other than Daniel E. Soderlund, on whose behalf we contributed $32,316.</w:t>
      </w:r>
    </w:p>
    <w:p>
      <w:pPr>
        <w:spacing w:after="0" w:line="140"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Under our ESOP, we contribute a percentage of each eligible participant’s compensation to the plan, which is then credited to individual accounts maintained for participants under the plan. Contributions are made at the discretion of our Board of Directors. During recent years, including fiscal 2007, we made contributions to this plan equal to 5% of each participant’s compensation. For fiscal 2007, we contributed $11,000 on behalf of each executive officer other than Daniel E. Soderlund, on whose behalf we contributed $10,772. Participant accounts in the plan are credited with the appropriate gains or losses resulting from plan investments.</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87"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17"/>
          <w:szCs w:val="17"/>
          <w:color w:val="auto"/>
        </w:rPr>
        <w:t>We have not traditionally used long-term equity incentive awards as part of our executive compensation program. More recently, the Compensation Committee has approved two separate grants of restricted stock in fiscal 2005 and fiscal 2007 to certain executive officers and other key employees in connection with the implementation of our ERP system and our efforts to comply with Section 404 of Sarbanes-Oxley. These grants were intended to reward participants for the extraordinary effort required to complete these important company initiatives and to retain participants through the one-year vesting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period. We believe these restricted stock awards also serve to align the interests of the participants with those of our shareholders. The Compensation Committee’s action approving the grant of the restricted stock in fiscal 2007 was made effective several weeks following the grant’s approval in order for our</w:t>
      </w:r>
    </w:p>
    <w:p>
      <w:pPr>
        <w:sectPr>
          <w:pgSz w:w="11900" w:h="16838" w:orient="portrait"/>
          <w:cols w:equalWidth="0" w:num="1">
            <w:col w:w="11400"/>
          </w:cols>
          <w:pgMar w:left="240" w:top="324" w:right="259" w:bottom="0" w:gutter="0" w:footer="0" w:header="0"/>
        </w:sectPr>
      </w:pPr>
    </w:p>
    <w:bookmarkStart w:id="7" w:name="page8"/>
    <w:bookmarkEnd w:id="7"/>
    <w:p>
      <w:pPr>
        <w:ind w:right="380"/>
        <w:spacing w:after="0" w:line="282" w:lineRule="auto"/>
        <w:rPr>
          <w:sz w:val="20"/>
          <w:szCs w:val="20"/>
          <w:color w:val="auto"/>
        </w:rPr>
      </w:pPr>
      <w:r>
        <w:rPr>
          <w:rFonts w:ascii="Times New Roman" w:cs="Times New Roman" w:eastAsia="Times New Roman" w:hAnsi="Times New Roman"/>
          <w:sz w:val="18"/>
          <w:szCs w:val="18"/>
          <w:color w:val="auto"/>
        </w:rPr>
        <w:t>management to perform the administrative details required for the issuance of the stock. In fiscal 2007, the Compensation Committee approved restricted stock grants to three of our executive officers as reflected in the Grants of Plan-Based Awards in Fiscal 2007 table below.</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00"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Our employees, including our executive officers, may acquire our stock through an employee stock purchase plan, which is generally available to all employees. Purchases of common stock under this plan are made from accumulated contributions at the end of each month at the prevailing market price on the designated purchase date, with the objective of allowing our employees to profit when the value of our stock increases over time. Currently, a participant in this plan may authorize us to deduct up to $500 a month from his or her paycheck, and we generally make a matching contribution of 75% of a participant’s purchases under the plan.</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187"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we must offer a competitive benefits program to attract and retain our executive officers. During fiscal 2007, we provided medical and other benefits to our executive officers that are generally available to our other employees.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Compensation</w:t>
      </w:r>
    </w:p>
    <w:p>
      <w:pPr>
        <w:spacing w:after="0" w:line="189" w:lineRule="exact"/>
        <w:rPr>
          <w:sz w:val="20"/>
          <w:szCs w:val="20"/>
          <w:color w:val="auto"/>
        </w:rPr>
      </w:pPr>
    </w:p>
    <w:p>
      <w:pPr>
        <w:ind w:right="280" w:firstLine="360"/>
        <w:spacing w:after="0" w:line="256" w:lineRule="auto"/>
        <w:rPr>
          <w:sz w:val="20"/>
          <w:szCs w:val="20"/>
          <w:color w:val="auto"/>
        </w:rPr>
      </w:pPr>
      <w:r>
        <w:rPr>
          <w:rFonts w:ascii="Times New Roman" w:cs="Times New Roman" w:eastAsia="Times New Roman" w:hAnsi="Times New Roman"/>
          <w:sz w:val="18"/>
          <w:szCs w:val="18"/>
          <w:color w:val="auto"/>
        </w:rPr>
        <w:t>Mr. John R. Hawkins has been serving as our Chief Executive Officer since February 2000. For fiscal 2007, the Compensation Committee set Mr. Hawkins’ base salary at $271,780, which represented a 3.5% increase over fiscal 2006. For purposes of setting Mr. Hawkins’ base salary, the Compensation Committee utilized the executive compensation practices and methodology described above. For fiscal 2007, Mr. Hawkins received a cash bonus pursuant to our executive bonus plan described above in the amount of $135,873, which is equal to 50% of his base salary as of the end of the fiscal year. During fiscal 2007, Mr. Hawkins received 5,000 shares of restricted stock as described above. We believe Mr. Hawkins’ salary and bonus potential continue to be competitive based on market data, his experience and his performance.</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 and Policies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Post-Retirement Healthcare Coverage</w:t>
      </w:r>
    </w:p>
    <w:p>
      <w:pPr>
        <w:spacing w:after="0" w:line="187"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We currently permit any employee who retires after working for us for at least 25 years to continue to participate in our healthcare insurance coverage until that person reaches the age of 65. The cost to the retired employee for that coverage is equal to the amount that the retiree would have been obligated to pay for the coverage under COBRA (the Consolidated Omnibus Budget Reconciliation Act). This policy is based on the importance we place on the retention of executive officers and other employees.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Tax Deductibility of Compensation</w:t>
      </w:r>
    </w:p>
    <w:p>
      <w:pPr>
        <w:spacing w:after="0" w:line="200"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Section 162(m) of the Internal Revenue Code imposes a $1 million limit on the amount that a public company may deduct for compensation paid to the company’s Chief Executive Officer or its other four most highly paid executive officers. This limitation does not apply to compensation that meets the requirements under Section 162(m) for “qualifying performance-based” compensation (i.e., compensation paid only if the individual’s performance meets pre-established objective goals based on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criteria approved by shareholders). We did not believe that the cash bonus opportunity under our fiscal 2007 bonus plan for any of our covered executive officers would have exceeded the $1 million limit when combined with other applicable cash compensation, and as a result the Compensation Committee did not take steps to have the potential bonus payments qualified as performance-based compensation for Section 162(m)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02" w:lineRule="exact"/>
        <w:rPr>
          <w:sz w:val="20"/>
          <w:szCs w:val="20"/>
          <w:color w:val="auto"/>
        </w:rPr>
      </w:pPr>
    </w:p>
    <w:p>
      <w:pPr>
        <w:jc w:val="both"/>
        <w:ind w:right="240"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134" w:lineRule="exact"/>
        <w:rPr>
          <w:sz w:val="20"/>
          <w:szCs w:val="20"/>
          <w:color w:val="auto"/>
        </w:rPr>
      </w:pPr>
    </w:p>
    <w:p>
      <w:pPr>
        <w:jc w:val="center"/>
        <w:ind w:right="40"/>
        <w:spacing w:after="0"/>
        <w:tabs>
          <w:tab w:leader="none" w:pos="220" w:val="left"/>
          <w:tab w:leader="none" w:pos="220" w:val="left"/>
        </w:tabs>
        <w:rPr>
          <w:sz w:val="20"/>
          <w:szCs w:val="20"/>
          <w:color w:val="auto"/>
        </w:rPr>
      </w:pPr>
      <w:r>
        <w:rPr>
          <w:rFonts w:ascii="Times New Roman" w:cs="Times New Roman" w:eastAsia="Times New Roman" w:hAnsi="Times New Roman"/>
          <w:sz w:val="18"/>
          <w:szCs w:val="18"/>
          <w:i w:val="1"/>
          <w:iCs w:val="1"/>
          <w:color w:val="auto"/>
        </w:rPr>
        <w:t>Duane M. Jergenson (Chair)</w:t>
        <w:tab/>
        <w:t>Daryl I. Skaar</w:t>
      </w:r>
      <w:r>
        <w:rPr>
          <w:sz w:val="20"/>
          <w:szCs w:val="20"/>
          <w:color w:val="auto"/>
        </w:rPr>
        <w:tab/>
      </w:r>
      <w:r>
        <w:rPr>
          <w:rFonts w:ascii="Times New Roman" w:cs="Times New Roman" w:eastAsia="Times New Roman" w:hAnsi="Times New Roman"/>
          <w:sz w:val="17"/>
          <w:szCs w:val="17"/>
          <w:i w:val="1"/>
          <w:iCs w:val="1"/>
          <w:color w:val="auto"/>
        </w:rPr>
        <w:t>James A. Faulconbridge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Compensation Committee of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2" w:lineRule="exact"/>
        <w:rPr>
          <w:sz w:val="20"/>
          <w:szCs w:val="20"/>
          <w:color w:val="auto"/>
        </w:rPr>
      </w:pPr>
    </w:p>
    <w:p>
      <w:pPr>
        <w:ind w:right="5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of our Chief Executive Officer, Chief Financial Officer and the three other highest paid executive officers (collectively, the named executive officers):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5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560" w:type="dxa"/>
            <w:vAlign w:val="bottom"/>
          </w:tcPr>
          <w:p>
            <w:pPr>
              <w:spacing w:after="0"/>
              <w:rPr>
                <w:sz w:val="13"/>
                <w:szCs w:val="13"/>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900" w:type="dxa"/>
            <w:vAlign w:val="bottom"/>
          </w:tcPr>
          <w:p>
            <w:pPr>
              <w:spacing w:after="0"/>
              <w:rPr>
                <w:sz w:val="12"/>
                <w:szCs w:val="12"/>
                <w:color w:val="auto"/>
              </w:rPr>
            </w:pP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80" w:type="dxa"/>
            <w:vAlign w:val="bottom"/>
            <w:gridSpan w:val="2"/>
            <w:vMerge w:val="continue"/>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3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5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560" w:type="dxa"/>
            <w:vAlign w:val="bottom"/>
          </w:tcPr>
          <w:p>
            <w:pPr>
              <w:spacing w:after="0"/>
              <w:rPr>
                <w:sz w:val="16"/>
                <w:szCs w:val="16"/>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($)(c)(d)(e)</w:t>
            </w: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John R. Hawkins</w:t>
            </w:r>
          </w:p>
        </w:tc>
        <w:tc>
          <w:tcPr>
            <w:tcW w:w="2580" w:type="dxa"/>
            <w:vAlign w:val="bottom"/>
            <w:gridSpan w:val="2"/>
            <w:shd w:val="clear" w:color="auto" w:fill="D6F3E8"/>
          </w:tcPr>
          <w:p>
            <w:pPr>
              <w:ind w:left="2120"/>
              <w:spacing w:after="0"/>
              <w:rPr>
                <w:sz w:val="20"/>
                <w:szCs w:val="20"/>
                <w:color w:val="auto"/>
              </w:rPr>
            </w:pPr>
            <w:r>
              <w:rPr>
                <w:rFonts w:ascii="Times New Roman" w:cs="Times New Roman" w:eastAsia="Times New Roman" w:hAnsi="Times New Roman"/>
                <w:sz w:val="18"/>
                <w:szCs w:val="18"/>
                <w:color w:val="auto"/>
              </w:rPr>
              <w:t>2007</w:t>
            </w:r>
          </w:p>
        </w:tc>
        <w:tc>
          <w:tcPr>
            <w:tcW w:w="13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271,780</w:t>
            </w:r>
          </w:p>
        </w:tc>
        <w:tc>
          <w:tcPr>
            <w:tcW w:w="1340" w:type="dxa"/>
            <w:vAlign w:val="bottom"/>
            <w:gridSpan w:val="2"/>
            <w:shd w:val="clear" w:color="auto" w:fill="D6F3E8"/>
          </w:tcPr>
          <w:p>
            <w:pPr>
              <w:jc w:val="center"/>
              <w:ind w:left="570"/>
              <w:spacing w:after="0"/>
              <w:rPr>
                <w:sz w:val="20"/>
                <w:szCs w:val="20"/>
                <w:color w:val="auto"/>
              </w:rPr>
            </w:pPr>
            <w:r>
              <w:rPr>
                <w:rFonts w:ascii="Times New Roman" w:cs="Times New Roman" w:eastAsia="Times New Roman" w:hAnsi="Times New Roman"/>
                <w:sz w:val="18"/>
                <w:szCs w:val="18"/>
                <w:color w:val="auto"/>
              </w:rPr>
              <w:t>135,873</w:t>
            </w:r>
          </w:p>
        </w:tc>
        <w:tc>
          <w:tcPr>
            <w:tcW w:w="1400" w:type="dxa"/>
            <w:vAlign w:val="bottom"/>
            <w:gridSpan w:val="2"/>
            <w:shd w:val="clear" w:color="auto" w:fill="D6F3E8"/>
          </w:tcPr>
          <w:p>
            <w:pPr>
              <w:jc w:val="center"/>
              <w:ind w:left="590"/>
              <w:spacing w:after="0"/>
              <w:rPr>
                <w:sz w:val="20"/>
                <w:szCs w:val="20"/>
                <w:color w:val="auto"/>
              </w:rPr>
            </w:pPr>
            <w:r>
              <w:rPr>
                <w:rFonts w:ascii="Times New Roman" w:cs="Times New Roman" w:eastAsia="Times New Roman" w:hAnsi="Times New Roman"/>
                <w:sz w:val="18"/>
                <w:szCs w:val="18"/>
                <w:color w:val="auto"/>
                <w:w w:val="96"/>
              </w:rPr>
              <w:t>20,548</w:t>
            </w:r>
          </w:p>
        </w:tc>
        <w:tc>
          <w:tcPr>
            <w:tcW w:w="1440" w:type="dxa"/>
            <w:vAlign w:val="bottom"/>
            <w:gridSpan w:val="2"/>
            <w:shd w:val="clear" w:color="auto" w:fill="D6F3E8"/>
          </w:tcPr>
          <w:p>
            <w:pPr>
              <w:jc w:val="right"/>
              <w:ind w:right="68"/>
              <w:spacing w:after="0"/>
              <w:rPr>
                <w:sz w:val="20"/>
                <w:szCs w:val="20"/>
                <w:color w:val="auto"/>
              </w:rPr>
            </w:pPr>
            <w:r>
              <w:rPr>
                <w:rFonts w:ascii="Times New Roman" w:cs="Times New Roman" w:eastAsia="Times New Roman" w:hAnsi="Times New Roman"/>
                <w:sz w:val="18"/>
                <w:szCs w:val="18"/>
                <w:color w:val="auto"/>
              </w:rPr>
              <w:t>48,500</w:t>
            </w:r>
          </w:p>
        </w:tc>
        <w:tc>
          <w:tcPr>
            <w:tcW w:w="5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476,701</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Marvin E. Dee</w:t>
            </w:r>
          </w:p>
        </w:tc>
        <w:tc>
          <w:tcPr>
            <w:tcW w:w="25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2007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194,128</w:t>
            </w:r>
          </w:p>
        </w:tc>
        <w:tc>
          <w:tcPr>
            <w:tcW w:w="13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6"/>
              </w:rPr>
              <w:t>74,190</w:t>
            </w:r>
          </w:p>
        </w:tc>
        <w:tc>
          <w:tcPr>
            <w:tcW w:w="14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6"/>
              </w:rPr>
              <w:t>10,274</w:t>
            </w: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47,431</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Keenan A. Paulson</w:t>
            </w:r>
          </w:p>
        </w:tc>
        <w:tc>
          <w:tcPr>
            <w:tcW w:w="2580" w:type="dxa"/>
            <w:vAlign w:val="bottom"/>
            <w:gridSpan w:val="2"/>
            <w:shd w:val="clear" w:color="auto" w:fill="D6F3E8"/>
          </w:tcPr>
          <w:p>
            <w:pPr>
              <w:ind w:left="2120"/>
              <w:spacing w:after="0"/>
              <w:rPr>
                <w:sz w:val="20"/>
                <w:szCs w:val="20"/>
                <w:color w:val="auto"/>
              </w:rPr>
            </w:pPr>
            <w:r>
              <w:rPr>
                <w:rFonts w:ascii="Times New Roman" w:cs="Times New Roman" w:eastAsia="Times New Roman" w:hAnsi="Times New Roman"/>
                <w:sz w:val="18"/>
                <w:szCs w:val="18"/>
                <w:color w:val="auto"/>
              </w:rPr>
              <w:t>2007</w:t>
            </w:r>
          </w:p>
        </w:tc>
        <w:tc>
          <w:tcPr>
            <w:tcW w:w="13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175,556</w:t>
            </w:r>
          </w:p>
        </w:tc>
        <w:tc>
          <w:tcPr>
            <w:tcW w:w="1340" w:type="dxa"/>
            <w:vAlign w:val="bottom"/>
            <w:gridSpan w:val="2"/>
            <w:shd w:val="clear" w:color="auto" w:fill="D6F3E8"/>
          </w:tcPr>
          <w:p>
            <w:pPr>
              <w:jc w:val="center"/>
              <w:ind w:left="570"/>
              <w:spacing w:after="0"/>
              <w:rPr>
                <w:sz w:val="20"/>
                <w:szCs w:val="20"/>
                <w:color w:val="auto"/>
              </w:rPr>
            </w:pPr>
            <w:r>
              <w:rPr>
                <w:rFonts w:ascii="Times New Roman" w:cs="Times New Roman" w:eastAsia="Times New Roman" w:hAnsi="Times New Roman"/>
                <w:sz w:val="18"/>
                <w:szCs w:val="18"/>
                <w:color w:val="auto"/>
                <w:w w:val="96"/>
              </w:rPr>
              <w:t>79,067</w:t>
            </w:r>
          </w:p>
        </w:tc>
        <w:tc>
          <w:tcPr>
            <w:tcW w:w="1400" w:type="dxa"/>
            <w:vAlign w:val="bottom"/>
            <w:gridSpan w:val="2"/>
            <w:shd w:val="clear" w:color="auto" w:fill="D6F3E8"/>
          </w:tcPr>
          <w:p>
            <w:pPr>
              <w:jc w:val="center"/>
              <w:ind w:left="590"/>
              <w:spacing w:after="0"/>
              <w:rPr>
                <w:sz w:val="20"/>
                <w:szCs w:val="20"/>
                <w:color w:val="auto"/>
              </w:rPr>
            </w:pPr>
            <w:r>
              <w:rPr>
                <w:rFonts w:ascii="Times New Roman" w:cs="Times New Roman" w:eastAsia="Times New Roman" w:hAnsi="Times New Roman"/>
                <w:sz w:val="18"/>
                <w:szCs w:val="18"/>
                <w:color w:val="auto"/>
                <w:w w:val="98"/>
              </w:rPr>
              <w:t>4,249</w:t>
            </w:r>
          </w:p>
        </w:tc>
        <w:tc>
          <w:tcPr>
            <w:tcW w:w="1440" w:type="dxa"/>
            <w:vAlign w:val="bottom"/>
            <w:gridSpan w:val="2"/>
            <w:shd w:val="clear" w:color="auto" w:fill="D6F3E8"/>
          </w:tcPr>
          <w:p>
            <w:pPr>
              <w:jc w:val="right"/>
              <w:ind w:right="68"/>
              <w:spacing w:after="0"/>
              <w:rPr>
                <w:sz w:val="20"/>
                <w:szCs w:val="20"/>
                <w:color w:val="auto"/>
              </w:rPr>
            </w:pPr>
            <w:r>
              <w:rPr>
                <w:rFonts w:ascii="Times New Roman" w:cs="Times New Roman" w:eastAsia="Times New Roman" w:hAnsi="Times New Roman"/>
                <w:sz w:val="18"/>
                <w:szCs w:val="18"/>
                <w:color w:val="auto"/>
              </w:rPr>
              <w:t>48,500</w:t>
            </w:r>
          </w:p>
        </w:tc>
        <w:tc>
          <w:tcPr>
            <w:tcW w:w="5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307,372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John R. Sevenich</w:t>
            </w:r>
          </w:p>
        </w:tc>
        <w:tc>
          <w:tcPr>
            <w:tcW w:w="25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2007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168,248</w:t>
            </w:r>
          </w:p>
        </w:tc>
        <w:tc>
          <w:tcPr>
            <w:tcW w:w="13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6"/>
              </w:rPr>
              <w:t>74,855</w:t>
            </w:r>
          </w:p>
        </w:tc>
        <w:tc>
          <w:tcPr>
            <w:tcW w:w="560" w:type="dxa"/>
            <w:vAlign w:val="bottom"/>
          </w:tcPr>
          <w:p>
            <w:pPr>
              <w:spacing w:after="0"/>
              <w:rPr>
                <w:sz w:val="18"/>
                <w:szCs w:val="18"/>
                <w:color w:val="auto"/>
              </w:rPr>
            </w:pPr>
          </w:p>
        </w:tc>
        <w:tc>
          <w:tcPr>
            <w:tcW w:w="84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48,500</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Daniel E. Soderlund</w:t>
            </w:r>
          </w:p>
        </w:tc>
        <w:tc>
          <w:tcPr>
            <w:tcW w:w="2580" w:type="dxa"/>
            <w:vAlign w:val="bottom"/>
            <w:gridSpan w:val="2"/>
            <w:shd w:val="clear" w:color="auto" w:fill="D6F3E8"/>
          </w:tcPr>
          <w:p>
            <w:pPr>
              <w:ind w:left="2120"/>
              <w:spacing w:after="0"/>
              <w:rPr>
                <w:sz w:val="20"/>
                <w:szCs w:val="20"/>
                <w:color w:val="auto"/>
              </w:rPr>
            </w:pPr>
            <w:r>
              <w:rPr>
                <w:rFonts w:ascii="Times New Roman" w:cs="Times New Roman" w:eastAsia="Times New Roman" w:hAnsi="Times New Roman"/>
                <w:sz w:val="18"/>
                <w:szCs w:val="18"/>
                <w:color w:val="auto"/>
              </w:rPr>
              <w:t>2007</w:t>
            </w:r>
          </w:p>
        </w:tc>
        <w:tc>
          <w:tcPr>
            <w:tcW w:w="13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156,024</w:t>
            </w:r>
          </w:p>
        </w:tc>
        <w:tc>
          <w:tcPr>
            <w:tcW w:w="1340" w:type="dxa"/>
            <w:vAlign w:val="bottom"/>
            <w:gridSpan w:val="2"/>
            <w:shd w:val="clear" w:color="auto" w:fill="D6F3E8"/>
          </w:tcPr>
          <w:p>
            <w:pPr>
              <w:jc w:val="center"/>
              <w:ind w:left="570"/>
              <w:spacing w:after="0"/>
              <w:rPr>
                <w:sz w:val="20"/>
                <w:szCs w:val="20"/>
                <w:color w:val="auto"/>
              </w:rPr>
            </w:pPr>
            <w:r>
              <w:rPr>
                <w:rFonts w:ascii="Times New Roman" w:cs="Times New Roman" w:eastAsia="Times New Roman" w:hAnsi="Times New Roman"/>
                <w:sz w:val="18"/>
                <w:szCs w:val="18"/>
                <w:color w:val="auto"/>
                <w:w w:val="96"/>
              </w:rPr>
              <w:t>55,233</w:t>
            </w:r>
          </w:p>
        </w:tc>
        <w:tc>
          <w:tcPr>
            <w:tcW w:w="560" w:type="dxa"/>
            <w:vAlign w:val="bottom"/>
            <w:shd w:val="clear" w:color="auto" w:fill="D6F3E8"/>
          </w:tcPr>
          <w:p>
            <w:pPr>
              <w:spacing w:after="0"/>
              <w:rPr>
                <w:sz w:val="18"/>
                <w:szCs w:val="18"/>
                <w:color w:val="auto"/>
              </w:rPr>
            </w:pPr>
          </w:p>
        </w:tc>
        <w:tc>
          <w:tcPr>
            <w:tcW w:w="840" w:type="dxa"/>
            <w:vAlign w:val="bottom"/>
            <w:shd w:val="clear" w:color="auto" w:fill="D6F3E8"/>
          </w:tcPr>
          <w:p>
            <w:pPr>
              <w:jc w:val="center"/>
              <w:ind w:left="19"/>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shd w:val="clear" w:color="auto" w:fill="D6F3E8"/>
          </w:tcPr>
          <w:p>
            <w:pPr>
              <w:jc w:val="right"/>
              <w:ind w:right="68"/>
              <w:spacing w:after="0"/>
              <w:rPr>
                <w:sz w:val="20"/>
                <w:szCs w:val="20"/>
                <w:color w:val="auto"/>
              </w:rPr>
            </w:pPr>
            <w:r>
              <w:rPr>
                <w:rFonts w:ascii="Times New Roman" w:cs="Times New Roman" w:eastAsia="Times New Roman" w:hAnsi="Times New Roman"/>
                <w:sz w:val="18"/>
                <w:szCs w:val="18"/>
                <w:color w:val="auto"/>
              </w:rPr>
              <w:t>47,588</w:t>
            </w:r>
          </w:p>
        </w:tc>
        <w:tc>
          <w:tcPr>
            <w:tcW w:w="5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258,845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w:t>
      </w:r>
    </w:p>
    <w:p>
      <w:pPr>
        <w:spacing w:after="0" w:line="117"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description of the factors used to determine annual cash bonuses in the Compensation Discussion and Analysis section above.</w:t>
      </w:r>
    </w:p>
    <w:p>
      <w:pPr>
        <w:sectPr>
          <w:pgSz w:w="11900" w:h="16838" w:orient="portrait"/>
          <w:cols w:equalWidth="0" w:num="1">
            <w:col w:w="11420"/>
          </w:cols>
          <w:pgMar w:left="240" w:top="121" w:right="239" w:bottom="0" w:gutter="0" w:footer="0" w:header="0"/>
        </w:sectPr>
      </w:pPr>
    </w:p>
    <w:bookmarkStart w:id="8" w:name="page9"/>
    <w:bookmarkEnd w:id="8"/>
    <w:p>
      <w:pPr>
        <w:spacing w:after="0"/>
        <w:tabs>
          <w:tab w:leader="none" w:pos="3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Restricted Stock Grants</w:t>
      </w:r>
    </w:p>
    <w:p>
      <w:pPr>
        <w:spacing w:after="0" w:line="117"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Three of our named executive officers received restricted stock grants on December 15, 2006 pursuant to our 2004 Omnibus Stock Plan (the “Stock Plan”), which was adopted by shareholders on July 23, 2004. The values shown are derived by multiplying the number of shares awarded by the market price of the shares on the date of grant. The portion of the grant-date market value expensed in fiscal 2007 in accordance with FAS 123R is reflected in the table. The three named executive officers holding restricted stock held the following shares of restricted stock as of April 1, 2007: John R. Hawkins (5,000 shares), Marvin E. Dee (2,500 shares) and Keenan A. Paulson (1,034 shares). All of these shares vest in full on December 15, 2007 and are eligible to receive dividends paid on our common stock. As of April 1, 2007, we had a total of 45,257 shares of restricted stock outstanding with an aggregate value on that date of $667,993 based on the market price of our common stock.</w:t>
      </w:r>
    </w:p>
    <w:p>
      <w:pPr>
        <w:spacing w:after="0" w:line="14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(c)</w:t>
        <w:tab/>
        <w:t>Employee Stock Purchase Plan</w:t>
      </w:r>
    </w:p>
    <w:p>
      <w:pPr>
        <w:spacing w:after="0" w:line="117"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All of our employees age 18 and over who have been employed by us for 90 days are eligible to participate in our Employee Stock Purchase Plan. Under the plan, each participant authorizes us to deduct a specified amount, not to exceed $500, from the participant’s paycheck each month, to which we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generally make a matching contribution of 75% of such amount, to be used by a depository agent to purchase shares of our common stock for the participant’s individual account under the plan. For fiscal 2007, we contributed the following amounts to each named executive officer’s account under this plan: John R. Hawkins ($4,500), Marvin E. Dee ($3,431), Keenan A. Paulson ($4,500), John R. Sevenich ($4,500), and Daniel E. Soderlund ($4,500).</w:t>
      </w:r>
    </w:p>
    <w:p>
      <w:pPr>
        <w:spacing w:after="0" w:line="13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Money Purchase Pension Plan</w:t>
      </w:r>
    </w:p>
    <w:p>
      <w:pPr>
        <w:spacing w:after="0" w:line="11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Non-bargaining employees age 21 and over who have been employed by us for one year are eligible to participate in our Money Purchase Pension Plan, a defined contribution pension plan. Each year, we contribute a percentage of each eligible participant’s compensation to an account maintained for the participant under the plan. We contributed 15% for fiscal 2007. The annual compensation that was used to determine plan benefits was capped at $220,000 for the plan year ended April 1, 2007; this limit will be adjusted in future years under federal tax law for cost-of-living increases. For fiscal 2007, we contributed the following amounts in respect to each named executive officer’s compensation: John R. Hawkins ($33,000), Marvin E. Dee ($33,000), Keenan A. Paulson ($33,000), John R. Sevenich ($33,000), and Daniel E. Soderlund ($32,316).</w:t>
      </w:r>
    </w:p>
    <w:p>
      <w:pPr>
        <w:spacing w:after="0" w:line="147"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Participant accounts are credited with the appropriate gains or losses resulting from employee-directed investments made by our plan. A participant is fully vested after completing six years of service. At retirement, the participant may elect to receive the amount credited to his or her account either as a lump sum, in installments or in the form of an annuity contract.</w:t>
      </w:r>
    </w:p>
    <w:p>
      <w:pPr>
        <w:spacing w:after="0" w:line="14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(e)</w:t>
        <w:tab/>
        <w:t>Employee Stock Ownership Plan</w:t>
      </w:r>
    </w:p>
    <w:p>
      <w:pPr>
        <w:spacing w:after="0" w:line="117" w:lineRule="exact"/>
        <w:rPr>
          <w:sz w:val="20"/>
          <w:szCs w:val="20"/>
          <w:color w:val="auto"/>
        </w:rPr>
      </w:pPr>
    </w:p>
    <w:p>
      <w:pPr>
        <w:ind w:right="340" w:firstLine="360"/>
        <w:spacing w:after="0" w:line="282" w:lineRule="auto"/>
        <w:rPr>
          <w:sz w:val="20"/>
          <w:szCs w:val="20"/>
          <w:color w:val="auto"/>
        </w:rPr>
      </w:pPr>
      <w:r>
        <w:rPr>
          <w:rFonts w:ascii="Times New Roman" w:cs="Times New Roman" w:eastAsia="Times New Roman" w:hAnsi="Times New Roman"/>
          <w:sz w:val="18"/>
          <w:szCs w:val="18"/>
          <w:color w:val="auto"/>
        </w:rPr>
        <w:t>Non-bargaining employees age 21 and over who have been employed by us for one year are eligible to participate in our ESOP. Contributions to this plan, which are made at the discretion of our Board of Directors, are credited to individual accounts maintained for participants under the plan.</w:t>
      </w:r>
    </w:p>
    <w:p>
      <w:pPr>
        <w:spacing w:after="0" w:line="121"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We contributed 5% of each participant’s base salary for fiscal 2007. The annual compensation that was used to determine plan benefits was capped at $220,000 for the plan year ended April 1, 2007; this limit will be adjusted in future years under federal tax law for cost-of-living increases. In addition, the aggregate amount contributed by our company in any one plan year for a participant under our Money Purchase Pension Plan and our ESOP may not exceed $44,000. For fiscal 2007, we contributed the following amounts in respect to each named executive officer’s compensation: John R. Hawkins ($11,000), Marvin E. Dee ($11,000), Keenan A. Paulson ($11,000), John R. Sevenich ($11,000), and Daniel E. Soderlund ($10,772).</w:t>
      </w:r>
    </w:p>
    <w:p>
      <w:pPr>
        <w:spacing w:after="0" w:line="143" w:lineRule="exact"/>
        <w:rPr>
          <w:sz w:val="20"/>
          <w:szCs w:val="20"/>
          <w:color w:val="auto"/>
        </w:rPr>
      </w:pPr>
    </w:p>
    <w:p>
      <w:pPr>
        <w:ind w:right="360" w:firstLine="360"/>
        <w:spacing w:after="0" w:line="266" w:lineRule="auto"/>
        <w:rPr>
          <w:sz w:val="20"/>
          <w:szCs w:val="20"/>
          <w:color w:val="auto"/>
        </w:rPr>
      </w:pPr>
      <w:r>
        <w:rPr>
          <w:rFonts w:ascii="Times New Roman" w:cs="Times New Roman" w:eastAsia="Times New Roman" w:hAnsi="Times New Roman"/>
          <w:sz w:val="18"/>
          <w:szCs w:val="18"/>
          <w:color w:val="auto"/>
        </w:rPr>
        <w:t>Participant accounts in our ESOP are credited with the appropriate gains or losses resulting from plan investments. A participant is fully vested after completing six years of service. At retirement, the participant may elect to receive the amount credited to his or her account either as a lump sum or in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2007</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plan-based awards granted to our named executive officers during fiscal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6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68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6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90"/>
        </w:trPr>
        <w:tc>
          <w:tcPr>
            <w:tcW w:w="524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80" w:type="dxa"/>
            <w:vAlign w:val="bottom"/>
            <w:gridSpan w:val="2"/>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00" w:type="dxa"/>
            <w:vAlign w:val="bottom"/>
            <w:gridSpan w:val="2"/>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John R. Hawkins</w:t>
            </w:r>
          </w:p>
        </w:tc>
        <w:tc>
          <w:tcPr>
            <w:tcW w:w="1000" w:type="dxa"/>
            <w:vAlign w:val="bottom"/>
            <w:shd w:val="clear" w:color="auto" w:fill="D6F3E8"/>
          </w:tcPr>
          <w:p>
            <w:pPr>
              <w:jc w:val="right"/>
              <w:ind w:right="34"/>
              <w:spacing w:after="0"/>
              <w:rPr>
                <w:sz w:val="20"/>
                <w:szCs w:val="20"/>
                <w:color w:val="auto"/>
              </w:rPr>
            </w:pPr>
            <w:r>
              <w:rPr>
                <w:rFonts w:ascii="Times New Roman" w:cs="Times New Roman" w:eastAsia="Times New Roman" w:hAnsi="Times New Roman"/>
                <w:sz w:val="18"/>
                <w:szCs w:val="18"/>
                <w:color w:val="auto"/>
              </w:rPr>
              <w:t>12-15-06</w:t>
            </w:r>
          </w:p>
        </w:tc>
        <w:tc>
          <w:tcPr>
            <w:tcW w:w="1700" w:type="dxa"/>
            <w:vAlign w:val="bottom"/>
            <w:gridSpan w:val="2"/>
            <w:shd w:val="clear" w:color="auto" w:fill="D6F3E8"/>
          </w:tcPr>
          <w:p>
            <w:pPr>
              <w:jc w:val="right"/>
              <w:ind w:right="108"/>
              <w:spacing w:after="0"/>
              <w:rPr>
                <w:sz w:val="20"/>
                <w:szCs w:val="20"/>
                <w:color w:val="auto"/>
              </w:rPr>
            </w:pPr>
            <w:r>
              <w:rPr>
                <w:rFonts w:ascii="Times New Roman" w:cs="Times New Roman" w:eastAsia="Times New Roman" w:hAnsi="Times New Roman"/>
                <w:sz w:val="18"/>
                <w:szCs w:val="18"/>
                <w:color w:val="auto"/>
              </w:rPr>
              <w:t>11-2-06</w:t>
            </w:r>
          </w:p>
        </w:tc>
        <w:tc>
          <w:tcPr>
            <w:tcW w:w="1680" w:type="dxa"/>
            <w:vAlign w:val="bottom"/>
            <w:gridSpan w:val="2"/>
            <w:shd w:val="clear" w:color="auto" w:fill="D6F3E8"/>
          </w:tcPr>
          <w:p>
            <w:pPr>
              <w:jc w:val="right"/>
              <w:ind w:right="168"/>
              <w:spacing w:after="0"/>
              <w:rPr>
                <w:sz w:val="20"/>
                <w:szCs w:val="20"/>
                <w:color w:val="auto"/>
              </w:rPr>
            </w:pPr>
            <w:r>
              <w:rPr>
                <w:rFonts w:ascii="Times New Roman" w:cs="Times New Roman" w:eastAsia="Times New Roman" w:hAnsi="Times New Roman"/>
                <w:sz w:val="18"/>
                <w:szCs w:val="18"/>
                <w:color w:val="auto"/>
              </w:rPr>
              <w:t>5,000</w:t>
            </w:r>
          </w:p>
        </w:tc>
        <w:tc>
          <w:tcPr>
            <w:tcW w:w="1700" w:type="dxa"/>
            <w:vAlign w:val="bottom"/>
            <w:gridSpan w:val="2"/>
            <w:shd w:val="clear" w:color="auto" w:fill="D6F3E8"/>
          </w:tcPr>
          <w:p>
            <w:pPr>
              <w:jc w:val="right"/>
              <w:ind w:right="148"/>
              <w:spacing w:after="0"/>
              <w:rPr>
                <w:sz w:val="20"/>
                <w:szCs w:val="20"/>
                <w:color w:val="auto"/>
              </w:rPr>
            </w:pPr>
            <w:r>
              <w:rPr>
                <w:rFonts w:ascii="Times New Roman" w:cs="Times New Roman" w:eastAsia="Times New Roman" w:hAnsi="Times New Roman"/>
                <w:sz w:val="18"/>
                <w:szCs w:val="18"/>
                <w:color w:val="auto"/>
              </w:rPr>
              <w:t>70,450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Marvin E. Dee</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12-15-06</w:t>
            </w:r>
          </w:p>
        </w:tc>
        <w:tc>
          <w:tcPr>
            <w:tcW w:w="17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11-2-06</w:t>
            </w:r>
          </w:p>
        </w:tc>
        <w:tc>
          <w:tcPr>
            <w:tcW w:w="16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2,500</w:t>
            </w:r>
          </w:p>
        </w:tc>
        <w:tc>
          <w:tcPr>
            <w:tcW w:w="17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35,225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Keenan A. Paulson</w:t>
            </w:r>
          </w:p>
        </w:tc>
        <w:tc>
          <w:tcPr>
            <w:tcW w:w="1000" w:type="dxa"/>
            <w:vAlign w:val="bottom"/>
            <w:shd w:val="clear" w:color="auto" w:fill="D6F3E8"/>
          </w:tcPr>
          <w:p>
            <w:pPr>
              <w:jc w:val="right"/>
              <w:ind w:right="34"/>
              <w:spacing w:after="0"/>
              <w:rPr>
                <w:sz w:val="20"/>
                <w:szCs w:val="20"/>
                <w:color w:val="auto"/>
              </w:rPr>
            </w:pPr>
            <w:r>
              <w:rPr>
                <w:rFonts w:ascii="Times New Roman" w:cs="Times New Roman" w:eastAsia="Times New Roman" w:hAnsi="Times New Roman"/>
                <w:sz w:val="18"/>
                <w:szCs w:val="18"/>
                <w:color w:val="auto"/>
              </w:rPr>
              <w:t>12-15-06</w:t>
            </w:r>
          </w:p>
        </w:tc>
        <w:tc>
          <w:tcPr>
            <w:tcW w:w="1700" w:type="dxa"/>
            <w:vAlign w:val="bottom"/>
            <w:gridSpan w:val="2"/>
            <w:shd w:val="clear" w:color="auto" w:fill="D6F3E8"/>
          </w:tcPr>
          <w:p>
            <w:pPr>
              <w:jc w:val="right"/>
              <w:ind w:right="108"/>
              <w:spacing w:after="0"/>
              <w:rPr>
                <w:sz w:val="20"/>
                <w:szCs w:val="20"/>
                <w:color w:val="auto"/>
              </w:rPr>
            </w:pPr>
            <w:r>
              <w:rPr>
                <w:rFonts w:ascii="Times New Roman" w:cs="Times New Roman" w:eastAsia="Times New Roman" w:hAnsi="Times New Roman"/>
                <w:sz w:val="18"/>
                <w:szCs w:val="18"/>
                <w:color w:val="auto"/>
              </w:rPr>
              <w:t>11-2-06</w:t>
            </w:r>
          </w:p>
        </w:tc>
        <w:tc>
          <w:tcPr>
            <w:tcW w:w="1680" w:type="dxa"/>
            <w:vAlign w:val="bottom"/>
            <w:gridSpan w:val="2"/>
            <w:shd w:val="clear" w:color="auto" w:fill="D6F3E8"/>
          </w:tcPr>
          <w:p>
            <w:pPr>
              <w:jc w:val="right"/>
              <w:ind w:right="168"/>
              <w:spacing w:after="0"/>
              <w:rPr>
                <w:sz w:val="20"/>
                <w:szCs w:val="20"/>
                <w:color w:val="auto"/>
              </w:rPr>
            </w:pPr>
            <w:r>
              <w:rPr>
                <w:rFonts w:ascii="Times New Roman" w:cs="Times New Roman" w:eastAsia="Times New Roman" w:hAnsi="Times New Roman"/>
                <w:sz w:val="18"/>
                <w:szCs w:val="18"/>
                <w:color w:val="auto"/>
              </w:rPr>
              <w:t>1,034</w:t>
            </w:r>
          </w:p>
        </w:tc>
        <w:tc>
          <w:tcPr>
            <w:tcW w:w="1700" w:type="dxa"/>
            <w:vAlign w:val="bottom"/>
            <w:gridSpan w:val="2"/>
            <w:shd w:val="clear" w:color="auto" w:fill="D6F3E8"/>
          </w:tcPr>
          <w:p>
            <w:pPr>
              <w:jc w:val="right"/>
              <w:ind w:right="148"/>
              <w:spacing w:after="0"/>
              <w:rPr>
                <w:sz w:val="20"/>
                <w:szCs w:val="20"/>
                <w:color w:val="auto"/>
              </w:rPr>
            </w:pPr>
            <w:r>
              <w:rPr>
                <w:rFonts w:ascii="Times New Roman" w:cs="Times New Roman" w:eastAsia="Times New Roman" w:hAnsi="Times New Roman"/>
                <w:sz w:val="18"/>
                <w:szCs w:val="18"/>
                <w:color w:val="auto"/>
              </w:rPr>
              <w:t>14,569</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John R. Sevenich</w:t>
            </w:r>
          </w:p>
        </w:tc>
        <w:tc>
          <w:tcPr>
            <w:tcW w:w="30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Daniel E. Soderlund</w:t>
            </w:r>
          </w:p>
        </w:tc>
        <w:tc>
          <w:tcPr>
            <w:tcW w:w="3060" w:type="dxa"/>
            <w:vAlign w:val="bottom"/>
            <w:shd w:val="clear" w:color="auto" w:fill="D6F3E8"/>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D6F3E8"/>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D6F3E8"/>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6F3E8"/>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The terms of the restricted stock grants granted to three of our named executive officers are disclosed in Note (b) to the Summary Compensation Table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2007 Fiscal Year End</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equity awards outstanding to our named executive officers at the end of fiscal 2007: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82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4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3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460" w:type="dxa"/>
            <w:vAlign w:val="bottom"/>
            <w:gridSpan w:val="3"/>
          </w:tcPr>
          <w:p>
            <w:pPr>
              <w:jc w:val="center"/>
              <w:ind w:left="157"/>
              <w:spacing w:after="0" w:line="149" w:lineRule="exact"/>
              <w:rPr>
                <w:sz w:val="20"/>
                <w:szCs w:val="20"/>
                <w:color w:val="auto"/>
              </w:rPr>
            </w:pPr>
            <w:r>
              <w:rPr>
                <w:rFonts w:ascii="Times New Roman" w:cs="Times New Roman" w:eastAsia="Times New Roman" w:hAnsi="Times New Roman"/>
                <w:sz w:val="14"/>
                <w:szCs w:val="14"/>
                <w:b w:val="1"/>
                <w:bCs w:val="1"/>
                <w:color w:val="auto"/>
              </w:rPr>
              <w:t>Stock That Have</w:t>
            </w:r>
          </w:p>
        </w:tc>
        <w:tc>
          <w:tcPr>
            <w:tcW w:w="0" w:type="dxa"/>
            <w:vAlign w:val="bottom"/>
          </w:tcPr>
          <w:p>
            <w:pPr>
              <w:spacing w:after="0"/>
              <w:rPr>
                <w:sz w:val="1"/>
                <w:szCs w:val="1"/>
                <w:color w:val="auto"/>
              </w:rPr>
            </w:pPr>
          </w:p>
        </w:tc>
      </w:tr>
      <w:tr>
        <w:trPr>
          <w:trHeight w:val="149"/>
        </w:trPr>
        <w:tc>
          <w:tcPr>
            <w:tcW w:w="8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3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90"/>
        </w:trPr>
        <w:tc>
          <w:tcPr>
            <w:tcW w:w="8540" w:type="dxa"/>
            <w:vAlign w:val="bottom"/>
            <w:gridSpan w:val="3"/>
            <w:vMerge w:val="continue"/>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w:t>
            </w:r>
          </w:p>
        </w:tc>
        <w:tc>
          <w:tcPr>
            <w:tcW w:w="1360" w:type="dxa"/>
            <w:vAlign w:val="bottom"/>
            <w:gridSpan w:val="2"/>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4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John R. Hawkins</w:t>
            </w:r>
          </w:p>
        </w:tc>
        <w:tc>
          <w:tcPr>
            <w:tcW w:w="1020" w:type="dxa"/>
            <w:vAlign w:val="bottom"/>
            <w:shd w:val="clear" w:color="auto" w:fill="D6F3E8"/>
          </w:tcPr>
          <w:p>
            <w:pPr>
              <w:jc w:val="center"/>
              <w:ind w:left="20"/>
              <w:spacing w:after="0"/>
              <w:rPr>
                <w:sz w:val="20"/>
                <w:szCs w:val="20"/>
                <w:color w:val="auto"/>
              </w:rPr>
            </w:pPr>
            <w:r>
              <w:rPr>
                <w:rFonts w:ascii="Times New Roman" w:cs="Times New Roman" w:eastAsia="Times New Roman" w:hAnsi="Times New Roman"/>
                <w:sz w:val="18"/>
                <w:szCs w:val="18"/>
                <w:color w:val="auto"/>
                <w:w w:val="98"/>
              </w:rPr>
              <w:t>5,000</w:t>
            </w:r>
          </w:p>
        </w:tc>
        <w:tc>
          <w:tcPr>
            <w:tcW w:w="3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center"/>
              <w:ind w:left="357"/>
              <w:spacing w:after="0"/>
              <w:rPr>
                <w:sz w:val="20"/>
                <w:szCs w:val="20"/>
                <w:color w:val="auto"/>
              </w:rPr>
            </w:pPr>
            <w:r>
              <w:rPr>
                <w:rFonts w:ascii="Times New Roman" w:cs="Times New Roman" w:eastAsia="Times New Roman" w:hAnsi="Times New Roman"/>
                <w:sz w:val="18"/>
                <w:szCs w:val="18"/>
                <w:color w:val="auto"/>
                <w:w w:val="96"/>
              </w:rPr>
              <w:t>73,800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Marvin E. Dee</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18"/>
                <w:szCs w:val="18"/>
                <w:color w:val="auto"/>
                <w:w w:val="98"/>
              </w:rPr>
              <w:t>2,500</w:t>
            </w:r>
          </w:p>
        </w:tc>
        <w:tc>
          <w:tcPr>
            <w:tcW w:w="340" w:type="dxa"/>
            <w:vAlign w:val="bottom"/>
          </w:tcPr>
          <w:p>
            <w:pPr>
              <w:spacing w:after="0"/>
              <w:rPr>
                <w:sz w:val="18"/>
                <w:szCs w:val="18"/>
                <w:color w:val="auto"/>
              </w:rPr>
            </w:pPr>
          </w:p>
        </w:tc>
        <w:tc>
          <w:tcPr>
            <w:tcW w:w="1360" w:type="dxa"/>
            <w:vAlign w:val="bottom"/>
            <w:gridSpan w:val="2"/>
          </w:tcPr>
          <w:p>
            <w:pPr>
              <w:jc w:val="center"/>
              <w:ind w:left="357"/>
              <w:spacing w:after="0"/>
              <w:rPr>
                <w:sz w:val="20"/>
                <w:szCs w:val="20"/>
                <w:color w:val="auto"/>
              </w:rPr>
            </w:pPr>
            <w:r>
              <w:rPr>
                <w:rFonts w:ascii="Times New Roman" w:cs="Times New Roman" w:eastAsia="Times New Roman" w:hAnsi="Times New Roman"/>
                <w:sz w:val="18"/>
                <w:szCs w:val="18"/>
                <w:color w:val="auto"/>
                <w:w w:val="96"/>
              </w:rPr>
              <w:t>36,900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Keenan A. Paulson</w:t>
            </w:r>
          </w:p>
        </w:tc>
        <w:tc>
          <w:tcPr>
            <w:tcW w:w="1020" w:type="dxa"/>
            <w:vAlign w:val="bottom"/>
            <w:shd w:val="clear" w:color="auto" w:fill="D6F3E8"/>
          </w:tcPr>
          <w:p>
            <w:pPr>
              <w:jc w:val="center"/>
              <w:ind w:left="20"/>
              <w:spacing w:after="0"/>
              <w:rPr>
                <w:sz w:val="20"/>
                <w:szCs w:val="20"/>
                <w:color w:val="auto"/>
              </w:rPr>
            </w:pPr>
            <w:r>
              <w:rPr>
                <w:rFonts w:ascii="Times New Roman" w:cs="Times New Roman" w:eastAsia="Times New Roman" w:hAnsi="Times New Roman"/>
                <w:sz w:val="18"/>
                <w:szCs w:val="18"/>
                <w:color w:val="auto"/>
                <w:w w:val="98"/>
              </w:rPr>
              <w:t>1,034</w:t>
            </w:r>
          </w:p>
        </w:tc>
        <w:tc>
          <w:tcPr>
            <w:tcW w:w="3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center"/>
              <w:ind w:left="357"/>
              <w:spacing w:after="0"/>
              <w:rPr>
                <w:sz w:val="20"/>
                <w:szCs w:val="20"/>
                <w:color w:val="auto"/>
              </w:rPr>
            </w:pPr>
            <w:r>
              <w:rPr>
                <w:rFonts w:ascii="Times New Roman" w:cs="Times New Roman" w:eastAsia="Times New Roman" w:hAnsi="Times New Roman"/>
                <w:sz w:val="18"/>
                <w:szCs w:val="18"/>
                <w:color w:val="auto"/>
                <w:w w:val="96"/>
              </w:rPr>
              <w:t>15,262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 Sevenich</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Daniel E. Soderlund</w:t>
            </w:r>
          </w:p>
        </w:tc>
        <w:tc>
          <w:tcPr>
            <w:tcW w:w="1360" w:type="dxa"/>
            <w:vAlign w:val="bottom"/>
            <w:gridSpan w:val="2"/>
            <w:shd w:val="clear" w:color="auto" w:fill="D6F3E8"/>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hanging="478"/>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vest in full on December 15, 2007.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Fiscal 2007</w:t>
      </w:r>
    </w:p>
    <w:p>
      <w:pPr>
        <w:spacing w:after="0" w:line="18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During fiscal 2007, we paid each non-employee director an annual retainer of $15,000, of which $6,000 was used to purchase common stock through our Employee Stock Purchase Plan. Pursuant to the terms of our Employee Stock Purchase Plan, we credited an additional $4,500 to each non-employee director’s account to fund the purchase of additional shares of common stock. We paid an annual retainer of $10,000 to our Chairman of the Board. We also paid an annual retainer of $2,500 to the chairs of the Audit Committee and the Compensation Committee. Additionally, our non-employee directors received a meeting fee of $1,000 for each Board and committee meeting attended.</w:t>
      </w:r>
    </w:p>
    <w:p>
      <w:pPr>
        <w:spacing w:after="0" w:line="157"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During fiscal 2006, we entered into a consulting agreement with John S. McKeon, our Chairman of the Board, to provide consulting services for certain strategic projects. Consulting fees of $75,000 were expensed in fiscal 2007.</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each of our non-employee directors, information concerning annual compensation earned for services in all capacities during fiscal 2007:</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6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6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920" w:type="dxa"/>
            <w:vAlign w:val="bottom"/>
            <w:gridSpan w:val="3"/>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0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4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John S. McKeon</w:t>
            </w:r>
          </w:p>
        </w:tc>
        <w:tc>
          <w:tcPr>
            <w:tcW w:w="1020" w:type="dxa"/>
            <w:vAlign w:val="bottom"/>
            <w:shd w:val="clear" w:color="auto" w:fill="D6F3E8"/>
          </w:tcPr>
          <w:p>
            <w:pPr>
              <w:ind w:left="220"/>
              <w:spacing w:after="0"/>
              <w:rPr>
                <w:sz w:val="20"/>
                <w:szCs w:val="20"/>
                <w:color w:val="auto"/>
              </w:rPr>
            </w:pPr>
            <w:r>
              <w:rPr>
                <w:rFonts w:ascii="Times New Roman" w:cs="Times New Roman" w:eastAsia="Times New Roman" w:hAnsi="Times New Roman"/>
                <w:sz w:val="18"/>
                <w:szCs w:val="18"/>
                <w:color w:val="auto"/>
              </w:rPr>
              <w:t>36,000(a)</w:t>
            </w:r>
          </w:p>
        </w:tc>
        <w:tc>
          <w:tcPr>
            <w:tcW w:w="68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54"/>
              <w:spacing w:after="0"/>
              <w:rPr>
                <w:sz w:val="20"/>
                <w:szCs w:val="20"/>
                <w:color w:val="auto"/>
              </w:rPr>
            </w:pPr>
            <w:r>
              <w:rPr>
                <w:rFonts w:ascii="Times New Roman" w:cs="Times New Roman" w:eastAsia="Times New Roman" w:hAnsi="Times New Roman"/>
                <w:sz w:val="18"/>
                <w:szCs w:val="18"/>
                <w:color w:val="auto"/>
              </w:rPr>
              <w:t>79,500(c)</w:t>
            </w:r>
          </w:p>
        </w:tc>
        <w:tc>
          <w:tcPr>
            <w:tcW w:w="1700" w:type="dxa"/>
            <w:vAlign w:val="bottom"/>
            <w:gridSpan w:val="2"/>
            <w:shd w:val="clear" w:color="auto" w:fill="D6F3E8"/>
          </w:tcPr>
          <w:p>
            <w:pPr>
              <w:jc w:val="right"/>
              <w:ind w:right="148"/>
              <w:spacing w:after="0"/>
              <w:rPr>
                <w:sz w:val="20"/>
                <w:szCs w:val="20"/>
                <w:color w:val="auto"/>
              </w:rPr>
            </w:pPr>
            <w:r>
              <w:rPr>
                <w:rFonts w:ascii="Times New Roman" w:cs="Times New Roman" w:eastAsia="Times New Roman" w:hAnsi="Times New Roman"/>
                <w:sz w:val="18"/>
                <w:szCs w:val="18"/>
                <w:color w:val="auto"/>
              </w:rPr>
              <w:t>115,500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M. Hawkins</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19,000(a)</w:t>
            </w:r>
          </w:p>
        </w:tc>
        <w:tc>
          <w:tcPr>
            <w:tcW w:w="68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4,500(d)</w:t>
            </w:r>
          </w:p>
        </w:tc>
        <w:tc>
          <w:tcPr>
            <w:tcW w:w="17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Duane M. Jergenson</w:t>
            </w:r>
          </w:p>
        </w:tc>
        <w:tc>
          <w:tcPr>
            <w:tcW w:w="1020" w:type="dxa"/>
            <w:vAlign w:val="bottom"/>
            <w:shd w:val="clear" w:color="auto" w:fill="D6F3E8"/>
          </w:tcPr>
          <w:p>
            <w:pPr>
              <w:ind w:left="220"/>
              <w:spacing w:after="0"/>
              <w:rPr>
                <w:sz w:val="20"/>
                <w:szCs w:val="20"/>
                <w:color w:val="auto"/>
              </w:rPr>
            </w:pPr>
            <w:r>
              <w:rPr>
                <w:rFonts w:ascii="Times New Roman" w:cs="Times New Roman" w:eastAsia="Times New Roman" w:hAnsi="Times New Roman"/>
                <w:sz w:val="18"/>
                <w:szCs w:val="18"/>
                <w:color w:val="auto"/>
              </w:rPr>
              <w:t>34,500(a)</w:t>
            </w:r>
          </w:p>
        </w:tc>
        <w:tc>
          <w:tcPr>
            <w:tcW w:w="68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54"/>
              <w:spacing w:after="0"/>
              <w:rPr>
                <w:sz w:val="20"/>
                <w:szCs w:val="20"/>
                <w:color w:val="auto"/>
              </w:rPr>
            </w:pPr>
            <w:r>
              <w:rPr>
                <w:rFonts w:ascii="Times New Roman" w:cs="Times New Roman" w:eastAsia="Times New Roman" w:hAnsi="Times New Roman"/>
                <w:sz w:val="18"/>
                <w:szCs w:val="18"/>
                <w:color w:val="auto"/>
              </w:rPr>
              <w:t>4,500(d)</w:t>
            </w:r>
          </w:p>
        </w:tc>
        <w:tc>
          <w:tcPr>
            <w:tcW w:w="1700" w:type="dxa"/>
            <w:vAlign w:val="bottom"/>
            <w:gridSpan w:val="2"/>
            <w:shd w:val="clear" w:color="auto" w:fill="D6F3E8"/>
          </w:tcPr>
          <w:p>
            <w:pPr>
              <w:jc w:val="right"/>
              <w:ind w:right="148"/>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 Robert Gey</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27,000(a)</w:t>
            </w:r>
          </w:p>
        </w:tc>
        <w:tc>
          <w:tcPr>
            <w:tcW w:w="68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4,500(d)</w:t>
            </w:r>
          </w:p>
        </w:tc>
        <w:tc>
          <w:tcPr>
            <w:tcW w:w="17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Daryl I. Skaar</w:t>
            </w:r>
          </w:p>
        </w:tc>
        <w:tc>
          <w:tcPr>
            <w:tcW w:w="1020" w:type="dxa"/>
            <w:vAlign w:val="bottom"/>
            <w:shd w:val="clear" w:color="auto" w:fill="D6F3E8"/>
          </w:tcPr>
          <w:p>
            <w:pPr>
              <w:ind w:left="220"/>
              <w:spacing w:after="0"/>
              <w:rPr>
                <w:sz w:val="20"/>
                <w:szCs w:val="20"/>
                <w:color w:val="auto"/>
              </w:rPr>
            </w:pPr>
            <w:r>
              <w:rPr>
                <w:rFonts w:ascii="Times New Roman" w:cs="Times New Roman" w:eastAsia="Times New Roman" w:hAnsi="Times New Roman"/>
                <w:sz w:val="18"/>
                <w:szCs w:val="18"/>
                <w:color w:val="auto"/>
              </w:rPr>
              <w:t>33,500(a)</w:t>
            </w:r>
          </w:p>
        </w:tc>
        <w:tc>
          <w:tcPr>
            <w:tcW w:w="68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54"/>
              <w:spacing w:after="0"/>
              <w:rPr>
                <w:sz w:val="20"/>
                <w:szCs w:val="20"/>
                <w:color w:val="auto"/>
              </w:rPr>
            </w:pPr>
            <w:r>
              <w:rPr>
                <w:rFonts w:ascii="Times New Roman" w:cs="Times New Roman" w:eastAsia="Times New Roman" w:hAnsi="Times New Roman"/>
                <w:sz w:val="18"/>
                <w:szCs w:val="18"/>
                <w:color w:val="auto"/>
              </w:rPr>
              <w:t>4,500(d)</w:t>
            </w:r>
          </w:p>
        </w:tc>
        <w:tc>
          <w:tcPr>
            <w:tcW w:w="1700" w:type="dxa"/>
            <w:vAlign w:val="bottom"/>
            <w:gridSpan w:val="2"/>
            <w:shd w:val="clear" w:color="auto" w:fill="D6F3E8"/>
          </w:tcPr>
          <w:p>
            <w:pPr>
              <w:jc w:val="right"/>
              <w:ind w:right="148"/>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Eapen Chacko</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27,000(a)</w:t>
            </w:r>
          </w:p>
        </w:tc>
        <w:tc>
          <w:tcPr>
            <w:tcW w:w="68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4,500(d)</w:t>
            </w:r>
          </w:p>
        </w:tc>
        <w:tc>
          <w:tcPr>
            <w:tcW w:w="17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James A. Faulconbridge</w:t>
            </w:r>
          </w:p>
        </w:tc>
        <w:tc>
          <w:tcPr>
            <w:tcW w:w="1020" w:type="dxa"/>
            <w:vAlign w:val="bottom"/>
            <w:shd w:val="clear" w:color="auto" w:fill="D6F3E8"/>
          </w:tcPr>
          <w:p>
            <w:pPr>
              <w:ind w:left="220"/>
              <w:spacing w:after="0"/>
              <w:rPr>
                <w:sz w:val="20"/>
                <w:szCs w:val="20"/>
                <w:color w:val="auto"/>
              </w:rPr>
            </w:pPr>
            <w:r>
              <w:rPr>
                <w:rFonts w:ascii="Times New Roman" w:cs="Times New Roman" w:eastAsia="Times New Roman" w:hAnsi="Times New Roman"/>
                <w:sz w:val="18"/>
                <w:szCs w:val="18"/>
                <w:color w:val="auto"/>
              </w:rPr>
              <w:t>17,250(b)</w:t>
            </w:r>
          </w:p>
        </w:tc>
        <w:tc>
          <w:tcPr>
            <w:tcW w:w="68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54"/>
              <w:spacing w:after="0"/>
              <w:rPr>
                <w:sz w:val="20"/>
                <w:szCs w:val="20"/>
                <w:color w:val="auto"/>
              </w:rPr>
            </w:pPr>
            <w:r>
              <w:rPr>
                <w:rFonts w:ascii="Times New Roman" w:cs="Times New Roman" w:eastAsia="Times New Roman" w:hAnsi="Times New Roman"/>
                <w:sz w:val="18"/>
                <w:szCs w:val="18"/>
                <w:color w:val="auto"/>
              </w:rPr>
              <w:t>1,875(d)</w:t>
            </w:r>
          </w:p>
        </w:tc>
        <w:tc>
          <w:tcPr>
            <w:tcW w:w="1700" w:type="dxa"/>
            <w:vAlign w:val="bottom"/>
            <w:gridSpan w:val="2"/>
            <w:shd w:val="clear" w:color="auto" w:fill="D6F3E8"/>
          </w:tcPr>
          <w:p>
            <w:pPr>
              <w:jc w:val="right"/>
              <w:ind w:right="148"/>
              <w:spacing w:after="0"/>
              <w:rPr>
                <w:sz w:val="20"/>
                <w:szCs w:val="20"/>
                <w:color w:val="auto"/>
              </w:rPr>
            </w:pPr>
            <w:r>
              <w:rPr>
                <w:rFonts w:ascii="Times New Roman" w:cs="Times New Roman" w:eastAsia="Times New Roman" w:hAnsi="Times New Roman"/>
                <w:sz w:val="18"/>
                <w:szCs w:val="18"/>
                <w:color w:val="auto"/>
              </w:rPr>
              <w:t>19,125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hanging="478"/>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 used to purchase common stock through our Employee Stock Purchase Plan.</w:t>
      </w:r>
    </w:p>
    <w:p>
      <w:pPr>
        <w:spacing w:after="0" w:line="90"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 used to purchase common stock through our Employee Stock Purchase Plan.</w:t>
      </w:r>
    </w:p>
    <w:p>
      <w:pPr>
        <w:spacing w:after="0" w:line="90" w:lineRule="exact"/>
        <w:rPr>
          <w:rFonts w:ascii="Times New Roman" w:cs="Times New Roman" w:eastAsia="Times New Roman" w:hAnsi="Times New Roman"/>
          <w:sz w:val="18"/>
          <w:szCs w:val="18"/>
          <w:color w:val="auto"/>
        </w:rPr>
      </w:pPr>
    </w:p>
    <w:p>
      <w:pPr>
        <w:ind w:left="540" w:right="520" w:hanging="478"/>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$75,000 of consulting fees and $4,500 credited to Mr. KcKeon’s account in our Employee Stock Purchase Plan to fund the purchase of additional shares of common stock.</w:t>
      </w:r>
    </w:p>
    <w:p>
      <w:pPr>
        <w:spacing w:after="0" w:line="26"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was credited to the director’s account in our Employee Stock Purchase Plan to fund the purchase of additional shares of common stock.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All decisions regarding compensation of our executive officers during fiscal 2007 were made by the Compensation Committee of our Board of Directors. During fiscal 2007, the following directors served on the Compensation Committee: Duane M. Jergenson (Chair), Daryl I. Skaar, James A. Faulconbridge and G. Robert Gey. None of our executive officers participates in any Board vote setting his or her annual salary or bonus. None of the members of the Compensation Committee is a current or former officer or employee of our company, and there were no interlocking relationships as defined by the SEC.</w:t>
      </w:r>
    </w:p>
    <w:p>
      <w:pPr>
        <w:sectPr>
          <w:pgSz w:w="11900" w:h="16838" w:orient="portrait"/>
          <w:cols w:equalWidth="0" w:num="1">
            <w:col w:w="11420"/>
          </w:cols>
          <w:pgMar w:left="240" w:top="121" w:right="239" w:bottom="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20" w:lineRule="exact"/>
        <w:rPr>
          <w:sz w:val="20"/>
          <w:szCs w:val="20"/>
          <w:color w:val="auto"/>
        </w:rPr>
      </w:pPr>
    </w:p>
    <w:p>
      <w:pPr>
        <w:ind w:right="6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that may be issued under our 2004 Omnibus Stock Plan. We do not have any other equity compensation plans required to be included in this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5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upon</w:t>
            </w:r>
          </w:p>
        </w:tc>
        <w:tc>
          <w:tcPr>
            <w:tcW w:w="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6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56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56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6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7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56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90"/>
        </w:trPr>
        <w:tc>
          <w:tcPr>
            <w:tcW w:w="7160" w:type="dxa"/>
            <w:vAlign w:val="bottom"/>
            <w:gridSpan w:val="3"/>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5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56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10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holders(a)</w:t>
            </w:r>
          </w:p>
        </w:tc>
        <w:tc>
          <w:tcPr>
            <w:tcW w:w="1020" w:type="dxa"/>
            <w:vAlign w:val="bottom"/>
            <w:shd w:val="clear" w:color="auto" w:fill="D6F3E8"/>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D6F3E8"/>
          </w:tcPr>
          <w:p>
            <w:pPr>
              <w:spacing w:after="0"/>
              <w:rPr>
                <w:sz w:val="18"/>
                <w:szCs w:val="18"/>
                <w:color w:val="auto"/>
              </w:rPr>
            </w:pPr>
          </w:p>
        </w:tc>
        <w:tc>
          <w:tcPr>
            <w:tcW w:w="1000" w:type="dxa"/>
            <w:vAlign w:val="bottom"/>
            <w:shd w:val="clear" w:color="auto" w:fill="D6F3E8"/>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264,090(b)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right="460" w:hanging="478"/>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one plan that was approved by our shareholders, the 2004 Omnibus Stock Plan. This plan allows awards in the form of restricted or unrestricted stock, incentive or non-statutory stock options, stock appreciation rights, performance units or other stock-based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right="80" w:hanging="478"/>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available for future issuance under our 2004 Omnibus Stock Plan other than upon the exercise of an option, warrant or right. There is no limit on the portion of the 350,000 shares of common stock available for distribution under this plan that may be awarded in the form of restricted or unrestricted stock. To date, the only awards under this plan have been of restricted common stock.</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SECURITY OWNERSHIP OF MANAGEMENT AND BENEFICIAL OWNERSHIP</w:t>
      </w:r>
    </w:p>
    <w:p>
      <w:pPr>
        <w:spacing w:after="0" w:line="219" w:lineRule="exact"/>
        <w:rPr>
          <w:sz w:val="20"/>
          <w:szCs w:val="20"/>
          <w:color w:val="auto"/>
        </w:rPr>
      </w:pPr>
    </w:p>
    <w:p>
      <w:pPr>
        <w:jc w:val="both"/>
        <w:ind w:right="3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as of May 31, 2007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12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2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3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7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2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940" w:type="dxa"/>
            <w:vAlign w:val="bottom"/>
            <w:gridSpan w:val="3"/>
            <w:vMerge w:val="continue"/>
          </w:tcPr>
          <w:p>
            <w:pPr>
              <w:spacing w:after="0"/>
              <w:rPr>
                <w:sz w:val="16"/>
                <w:szCs w:val="16"/>
                <w:color w:val="auto"/>
              </w:rPr>
            </w:pPr>
          </w:p>
        </w:tc>
        <w:tc>
          <w:tcPr>
            <w:tcW w:w="212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Owned (a)</w:t>
            </w: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616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Royce &amp; Associates, LLC</w:t>
            </w:r>
          </w:p>
        </w:tc>
        <w:tc>
          <w:tcPr>
            <w:tcW w:w="2120" w:type="dxa"/>
            <w:vAlign w:val="bottom"/>
            <w:gridSpan w:val="2"/>
            <w:shd w:val="clear" w:color="auto" w:fill="D6F3E8"/>
          </w:tcPr>
          <w:p>
            <w:pPr>
              <w:jc w:val="right"/>
              <w:ind w:right="900"/>
              <w:spacing w:after="0"/>
              <w:rPr>
                <w:sz w:val="20"/>
                <w:szCs w:val="20"/>
                <w:color w:val="auto"/>
              </w:rPr>
            </w:pPr>
            <w:r>
              <w:rPr>
                <w:rFonts w:ascii="Times New Roman" w:cs="Times New Roman" w:eastAsia="Times New Roman" w:hAnsi="Times New Roman"/>
                <w:sz w:val="18"/>
                <w:szCs w:val="18"/>
                <w:color w:val="auto"/>
              </w:rPr>
              <w:t>1,270,945(b)</w:t>
            </w:r>
          </w:p>
        </w:tc>
        <w:tc>
          <w:tcPr>
            <w:tcW w:w="1360" w:type="dxa"/>
            <w:vAlign w:val="bottom"/>
            <w:gridSpan w:val="2"/>
            <w:shd w:val="clear" w:color="auto" w:fill="D6F3E8"/>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Eapen Chacko</w:t>
            </w: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925</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Marvin E. Dee</w:t>
            </w:r>
          </w:p>
        </w:tc>
        <w:tc>
          <w:tcPr>
            <w:tcW w:w="2120" w:type="dxa"/>
            <w:vAlign w:val="bottom"/>
            <w:gridSpan w:val="2"/>
            <w:shd w:val="clear" w:color="auto" w:fill="D6F3E8"/>
          </w:tcPr>
          <w:p>
            <w:pPr>
              <w:jc w:val="right"/>
              <w:ind w:right="920"/>
              <w:spacing w:after="0"/>
              <w:rPr>
                <w:sz w:val="20"/>
                <w:szCs w:val="20"/>
                <w:color w:val="auto"/>
              </w:rPr>
            </w:pPr>
            <w:r>
              <w:rPr>
                <w:rFonts w:ascii="Times New Roman" w:cs="Times New Roman" w:eastAsia="Times New Roman" w:hAnsi="Times New Roman"/>
                <w:sz w:val="18"/>
                <w:szCs w:val="18"/>
                <w:color w:val="auto"/>
              </w:rPr>
              <w:t>11,175(c)</w:t>
            </w:r>
          </w:p>
        </w:tc>
        <w:tc>
          <w:tcPr>
            <w:tcW w:w="136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A. Faulconbridge</w:t>
            </w: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908</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G. Robert Gey</w:t>
            </w:r>
          </w:p>
        </w:tc>
        <w:tc>
          <w:tcPr>
            <w:tcW w:w="2120" w:type="dxa"/>
            <w:vAlign w:val="bottom"/>
            <w:gridSpan w:val="2"/>
            <w:shd w:val="clear" w:color="auto" w:fill="D6F3E8"/>
          </w:tcPr>
          <w:p>
            <w:pPr>
              <w:jc w:val="right"/>
              <w:ind w:right="1120"/>
              <w:spacing w:after="0"/>
              <w:rPr>
                <w:sz w:val="20"/>
                <w:szCs w:val="20"/>
                <w:color w:val="auto"/>
              </w:rPr>
            </w:pPr>
            <w:r>
              <w:rPr>
                <w:rFonts w:ascii="Times New Roman" w:cs="Times New Roman" w:eastAsia="Times New Roman" w:hAnsi="Times New Roman"/>
                <w:sz w:val="18"/>
                <w:szCs w:val="18"/>
                <w:color w:val="auto"/>
              </w:rPr>
              <w:t>9,469</w:t>
            </w:r>
          </w:p>
        </w:tc>
        <w:tc>
          <w:tcPr>
            <w:tcW w:w="136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M. Hawkins.</w:t>
            </w:r>
          </w:p>
        </w:tc>
        <w:tc>
          <w:tcPr>
            <w:tcW w:w="21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204,820(d)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John R. Hawkins</w:t>
            </w:r>
          </w:p>
        </w:tc>
        <w:tc>
          <w:tcPr>
            <w:tcW w:w="2120" w:type="dxa"/>
            <w:vAlign w:val="bottom"/>
            <w:gridSpan w:val="2"/>
            <w:shd w:val="clear" w:color="auto" w:fill="D6F3E8"/>
          </w:tcPr>
          <w:p>
            <w:pPr>
              <w:jc w:val="right"/>
              <w:ind w:right="920"/>
              <w:spacing w:after="0"/>
              <w:rPr>
                <w:sz w:val="20"/>
                <w:szCs w:val="20"/>
                <w:color w:val="auto"/>
              </w:rPr>
            </w:pPr>
            <w:r>
              <w:rPr>
                <w:rFonts w:ascii="Times New Roman" w:cs="Times New Roman" w:eastAsia="Times New Roman" w:hAnsi="Times New Roman"/>
                <w:sz w:val="18"/>
                <w:szCs w:val="18"/>
                <w:color w:val="auto"/>
              </w:rPr>
              <w:t>68,456(e)</w:t>
            </w:r>
          </w:p>
        </w:tc>
        <w:tc>
          <w:tcPr>
            <w:tcW w:w="136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Duane M. Jergenson</w:t>
            </w: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14,281</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John S. McKeon</w:t>
            </w:r>
          </w:p>
        </w:tc>
        <w:tc>
          <w:tcPr>
            <w:tcW w:w="2120" w:type="dxa"/>
            <w:vAlign w:val="bottom"/>
            <w:gridSpan w:val="2"/>
            <w:shd w:val="clear" w:color="auto" w:fill="D6F3E8"/>
          </w:tcPr>
          <w:p>
            <w:pPr>
              <w:jc w:val="right"/>
              <w:ind w:right="940"/>
              <w:spacing w:after="0"/>
              <w:rPr>
                <w:sz w:val="20"/>
                <w:szCs w:val="20"/>
                <w:color w:val="auto"/>
              </w:rPr>
            </w:pPr>
            <w:r>
              <w:rPr>
                <w:rFonts w:ascii="Times New Roman" w:cs="Times New Roman" w:eastAsia="Times New Roman" w:hAnsi="Times New Roman"/>
                <w:sz w:val="18"/>
                <w:szCs w:val="18"/>
                <w:color w:val="auto"/>
              </w:rPr>
              <w:t>27,246(f)</w:t>
            </w:r>
          </w:p>
        </w:tc>
        <w:tc>
          <w:tcPr>
            <w:tcW w:w="136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Keenan A. Paulson</w:t>
            </w:r>
          </w:p>
        </w:tc>
        <w:tc>
          <w:tcPr>
            <w:tcW w:w="21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6,780(g)</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John R. Sevenich</w:t>
            </w:r>
          </w:p>
        </w:tc>
        <w:tc>
          <w:tcPr>
            <w:tcW w:w="2120" w:type="dxa"/>
            <w:vAlign w:val="bottom"/>
            <w:gridSpan w:val="2"/>
            <w:shd w:val="clear" w:color="auto" w:fill="D6F3E8"/>
          </w:tcPr>
          <w:p>
            <w:pPr>
              <w:jc w:val="right"/>
              <w:ind w:right="900"/>
              <w:spacing w:after="0"/>
              <w:rPr>
                <w:sz w:val="20"/>
                <w:szCs w:val="20"/>
                <w:color w:val="auto"/>
              </w:rPr>
            </w:pPr>
            <w:r>
              <w:rPr>
                <w:rFonts w:ascii="Times New Roman" w:cs="Times New Roman" w:eastAsia="Times New Roman" w:hAnsi="Times New Roman"/>
                <w:sz w:val="18"/>
                <w:szCs w:val="18"/>
                <w:color w:val="auto"/>
              </w:rPr>
              <w:t>11,388(h)</w:t>
            </w:r>
          </w:p>
        </w:tc>
        <w:tc>
          <w:tcPr>
            <w:tcW w:w="136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Daryl I. Skaar</w:t>
            </w: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3,862</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Daniel E. Soderlund</w:t>
            </w:r>
          </w:p>
        </w:tc>
        <w:tc>
          <w:tcPr>
            <w:tcW w:w="2120" w:type="dxa"/>
            <w:vAlign w:val="bottom"/>
            <w:gridSpan w:val="2"/>
            <w:shd w:val="clear" w:color="auto" w:fill="D6F3E8"/>
          </w:tcPr>
          <w:p>
            <w:pPr>
              <w:jc w:val="right"/>
              <w:ind w:right="940"/>
              <w:spacing w:after="0"/>
              <w:rPr>
                <w:sz w:val="20"/>
                <w:szCs w:val="20"/>
                <w:color w:val="auto"/>
              </w:rPr>
            </w:pPr>
            <w:r>
              <w:rPr>
                <w:rFonts w:ascii="Times New Roman" w:cs="Times New Roman" w:eastAsia="Times New Roman" w:hAnsi="Times New Roman"/>
                <w:sz w:val="18"/>
                <w:szCs w:val="18"/>
                <w:color w:val="auto"/>
              </w:rPr>
              <w:t>4,355(i)</w:t>
            </w:r>
          </w:p>
        </w:tc>
        <w:tc>
          <w:tcPr>
            <w:tcW w:w="136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officers as a group (12 persons)</w:t>
            </w:r>
          </w:p>
        </w:tc>
        <w:tc>
          <w:tcPr>
            <w:tcW w:w="21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363,664(j)</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Trustees, Hawkins, Inc. Employee Stock Ownership Plan and Trust</w:t>
            </w:r>
          </w:p>
        </w:tc>
        <w:tc>
          <w:tcPr>
            <w:tcW w:w="2120" w:type="dxa"/>
            <w:vAlign w:val="bottom"/>
            <w:gridSpan w:val="2"/>
            <w:shd w:val="clear" w:color="auto" w:fill="D6F3E8"/>
          </w:tcPr>
          <w:p>
            <w:pPr>
              <w:jc w:val="right"/>
              <w:ind w:right="900"/>
              <w:spacing w:after="0"/>
              <w:rPr>
                <w:sz w:val="20"/>
                <w:szCs w:val="20"/>
                <w:color w:val="auto"/>
              </w:rPr>
            </w:pPr>
            <w:r>
              <w:rPr>
                <w:rFonts w:ascii="Times New Roman" w:cs="Times New Roman" w:eastAsia="Times New Roman" w:hAnsi="Times New Roman"/>
                <w:sz w:val="18"/>
                <w:szCs w:val="18"/>
                <w:color w:val="auto"/>
              </w:rPr>
              <w:t>1,550,308(k)</w:t>
            </w:r>
          </w:p>
        </w:tc>
        <w:tc>
          <w:tcPr>
            <w:tcW w:w="1360" w:type="dxa"/>
            <w:vAlign w:val="bottom"/>
            <w:gridSpan w:val="2"/>
            <w:shd w:val="clear" w:color="auto" w:fill="D6F3E8"/>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hanging="478"/>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90" w:lineRule="exact"/>
        <w:rPr>
          <w:sz w:val="20"/>
          <w:szCs w:val="20"/>
          <w:color w:val="auto"/>
        </w:rPr>
      </w:pPr>
    </w:p>
    <w:p>
      <w:pPr>
        <w:ind w:left="540" w:hanging="47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all shares shown are held by shareholders possessing sole voting and investment power with respect to such shares.</w:t>
      </w:r>
    </w:p>
    <w:p>
      <w:pPr>
        <w:spacing w:after="0" w:line="90" w:lineRule="exact"/>
        <w:rPr>
          <w:rFonts w:ascii="Times New Roman" w:cs="Times New Roman" w:eastAsia="Times New Roman" w:hAnsi="Times New Roman"/>
          <w:sz w:val="18"/>
          <w:szCs w:val="18"/>
          <w:color w:val="auto"/>
        </w:rPr>
      </w:pPr>
    </w:p>
    <w:p>
      <w:pPr>
        <w:ind w:left="540" w:right="180" w:hanging="478"/>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by Royce &amp; Associates, LLC with the SEC on January 22, 2007 for the period ended December 31, 2006. The address for Royce &amp; Associates is 1414 Avenue of the Americas, New York, NY 10019.</w:t>
      </w:r>
    </w:p>
    <w:p>
      <w:pPr>
        <w:spacing w:after="0" w:line="26"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shares representing the beneficial interest of Mr. Dee as of March 31, 2007 in our ESOP (6,838 shares).</w:t>
      </w:r>
    </w:p>
    <w:p>
      <w:pPr>
        <w:spacing w:after="0" w:line="90" w:lineRule="exact"/>
        <w:rPr>
          <w:rFonts w:ascii="Times New Roman" w:cs="Times New Roman" w:eastAsia="Times New Roman" w:hAnsi="Times New Roman"/>
          <w:sz w:val="18"/>
          <w:szCs w:val="18"/>
          <w:color w:val="auto"/>
        </w:rPr>
      </w:pPr>
    </w:p>
    <w:p>
      <w:pPr>
        <w:ind w:left="540" w:right="120" w:hanging="478"/>
        <w:spacing w:after="0" w:line="266"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64,195 shares held by Mr. Hawkins’ wife as to which he may be deemed to share voting and investment power, but as to which he disclaims beneficial ownership. Includes 39,246 shares that Mr. Hawkins holds jointly with his wife as to which he shares voting and investment power. Does not include shares representing the beneficial interest of Mr. Hawkins as of March 31, 2007 in our ESOP (93,407 shares).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hanging="478"/>
        <w:spacing w:after="0"/>
        <w:tabs>
          <w:tab w:leader="none" w:pos="5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55,446 shares that Mr. Hawkins holds jointly with his wife as to which he shares voting and investment power. Includes 60,599 shares that</w:t>
      </w:r>
    </w:p>
    <w:p>
      <w:pPr>
        <w:sectPr>
          <w:pgSz w:w="11900" w:h="16838" w:orient="portrait"/>
          <w:cols w:equalWidth="0" w:num="1">
            <w:col w:w="11420"/>
          </w:cols>
          <w:pgMar w:left="240" w:top="108" w:right="239" w:bottom="0" w:gutter="0" w:footer="0" w:header="0"/>
          <w:type w:val="continuous"/>
        </w:sectPr>
      </w:pPr>
    </w:p>
    <w:bookmarkStart w:id="11" w:name="page12"/>
    <w:bookmarkEnd w:id="11"/>
    <w:p>
      <w:pPr>
        <w:spacing w:after="0" w:line="54"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have been pledged as security for a residential mortgage. Does not include shares representing Mr. Hawkins’ beneficial interest as of March 31, 2007 in our ESOP (120,694 shares).</w:t>
      </w:r>
    </w:p>
    <w:p>
      <w:pPr>
        <w:spacing w:after="0" w:line="27" w:lineRule="exact"/>
        <w:rPr>
          <w:sz w:val="20"/>
          <w:szCs w:val="20"/>
          <w:color w:val="auto"/>
        </w:rPr>
      </w:pPr>
    </w:p>
    <w:p>
      <w:pPr>
        <w:ind w:left="540" w:right="180" w:hanging="478"/>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477 shares held by Mr. McKeon as custodian for a child as to which Mr. McKeon has sole voting and investment power, but as to which he disclaims beneficial ownership.</w:t>
      </w:r>
    </w:p>
    <w:p>
      <w:pPr>
        <w:spacing w:after="0" w:line="26" w:lineRule="exact"/>
        <w:rPr>
          <w:rFonts w:ascii="Times New Roman" w:cs="Times New Roman" w:eastAsia="Times New Roman" w:hAnsi="Times New Roman"/>
          <w:sz w:val="18"/>
          <w:szCs w:val="18"/>
          <w:color w:val="auto"/>
        </w:rPr>
      </w:pPr>
    </w:p>
    <w:p>
      <w:pPr>
        <w:ind w:left="540" w:right="160" w:hanging="478"/>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5,746 shares that Ms. Paulson holds jointly with her husband. Does not include shares representing the beneficial interest of Ms. Paulson as of March 31, 2007 in our ESOP (65,994 shares).</w:t>
      </w:r>
    </w:p>
    <w:p>
      <w:pPr>
        <w:spacing w:after="0" w:line="26" w:lineRule="exact"/>
        <w:rPr>
          <w:rFonts w:ascii="Times New Roman" w:cs="Times New Roman" w:eastAsia="Times New Roman" w:hAnsi="Times New Roman"/>
          <w:sz w:val="18"/>
          <w:szCs w:val="18"/>
          <w:color w:val="auto"/>
        </w:rPr>
      </w:pPr>
    </w:p>
    <w:p>
      <w:pPr>
        <w:ind w:left="540" w:right="460" w:hanging="478"/>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10,803 shares that Mr. Sevenich holds jointly with his wife as to which he shares voting and investment power. Does not include shares representing the beneficial interest of Mr. Sevenich as of March 31, 2007 in our ESOP (23,485 shares).</w:t>
      </w:r>
    </w:p>
    <w:p>
      <w:pPr>
        <w:spacing w:after="0" w:line="26" w:lineRule="exact"/>
        <w:rPr>
          <w:rFonts w:ascii="Times New Roman" w:cs="Times New Roman" w:eastAsia="Times New Roman" w:hAnsi="Times New Roman"/>
          <w:sz w:val="18"/>
          <w:szCs w:val="18"/>
          <w:color w:val="auto"/>
        </w:rPr>
      </w:pPr>
    </w:p>
    <w:p>
      <w:pPr>
        <w:ind w:left="540" w:right="460" w:hanging="478"/>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4,355 shares that Mr. Soderlund holds jointly with his wife as to which he shares voting and investment power. Does not include shares representing the beneficial interest of Mr. Soderlund as of March 31, 2007 in our ESOP (15,644 shares).</w:t>
      </w:r>
    </w:p>
    <w:p>
      <w:pPr>
        <w:spacing w:after="0" w:line="26"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shares representing the beneficial interest of the directors and officers as of March 31, 2007 in our ESOP (326,061 shares).</w:t>
      </w:r>
    </w:p>
    <w:p>
      <w:pPr>
        <w:spacing w:after="0" w:line="90" w:lineRule="exact"/>
        <w:rPr>
          <w:rFonts w:ascii="Times New Roman" w:cs="Times New Roman" w:eastAsia="Times New Roman" w:hAnsi="Times New Roman"/>
          <w:sz w:val="18"/>
          <w:szCs w:val="18"/>
          <w:color w:val="auto"/>
        </w:rPr>
      </w:pPr>
    </w:p>
    <w:p>
      <w:pPr>
        <w:ind w:left="540" w:right="200" w:hanging="478"/>
        <w:spacing w:after="0" w:line="261"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of the Hawkins, Inc. Employee Stock Ownership Plan and Trust are John R. Hawkins and Marvin E. Dee. Although these individuals could be deemed to beneficially own all of the shares held by this plan as a result of their shared voting and investment power with respect to those shares, the shares have not been included in the amount of shares beneficially owned by these individuals or for all directors and officers as a group. Voting rights for shares held by the Employee Stock Ownership Plan and Trust are passed through to plan participants.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16(a) BENEFICIAL OWNERSHIP REPORTING COMPLIANCE</w:t>
      </w:r>
    </w:p>
    <w:p>
      <w:pPr>
        <w:spacing w:after="0" w:line="21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 except that one untimely report was filed for an initial filing in November 2006 of 550 shares owned by James A. Faulconbridge, a newly appointed director.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RELATED PARTY TRANSACTIONS</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fiscal 2007, we did not engage in any transactions with related persons in an amount in excess of $120,000.</w:t>
      </w:r>
    </w:p>
    <w:p>
      <w:pPr>
        <w:spacing w:after="0" w:line="185" w:lineRule="exact"/>
        <w:rPr>
          <w:sz w:val="20"/>
          <w:szCs w:val="20"/>
          <w:color w:val="auto"/>
        </w:rPr>
      </w:pPr>
    </w:p>
    <w:p>
      <w:pPr>
        <w:ind w:right="520" w:firstLine="360"/>
        <w:spacing w:after="0" w:line="313" w:lineRule="auto"/>
        <w:rPr>
          <w:sz w:val="20"/>
          <w:szCs w:val="20"/>
          <w:color w:val="auto"/>
        </w:rPr>
      </w:pPr>
      <w:r>
        <w:rPr>
          <w:rFonts w:ascii="Times New Roman" w:cs="Times New Roman" w:eastAsia="Times New Roman" w:hAnsi="Times New Roman"/>
          <w:sz w:val="17"/>
          <w:szCs w:val="17"/>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thereof on a quarterly basis. It is our intention that these transactions will be on terms no less favorable to us than we could obtain from unaffiliated third parties.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219"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ACCOUNTING FIRM</w:t>
      </w:r>
    </w:p>
    <w:p>
      <w:pPr>
        <w:spacing w:after="0" w:line="219" w:lineRule="exact"/>
        <w:rPr>
          <w:sz w:val="20"/>
          <w:szCs w:val="20"/>
          <w:color w:val="auto"/>
        </w:rPr>
      </w:pPr>
    </w:p>
    <w:p>
      <w:pPr>
        <w:ind w:right="760" w:firstLine="360"/>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been our auditor since 1971, and has been retained by the Audit Committee as our auditor for the current fiscal year.</w:t>
      </w:r>
    </w:p>
    <w:p>
      <w:pPr>
        <w:spacing w:after="0" w:line="121"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8"/>
          <w:szCs w:val="18"/>
          <w:color w:val="auto"/>
        </w:rPr>
        <w:t>Representatives of Deloitte &amp; Touche LLP are expected to attend the Annual Meeting with the opportunity to make a statement if they desire. They are expected to be available to respond to appropriate questions.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PROPOSALS BY SHAREHOLDERS</w:t>
      </w:r>
    </w:p>
    <w:p>
      <w:pPr>
        <w:spacing w:after="0" w:line="21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In order for a shareholder proposal to be considered for inclusion in our proxy statement for next year’s Annual Meeting, the written proposal must be received by us at our principal executive office no later than March 11, 2008. Any such proposals also must comply with the rules and regulations of the SEC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us no later than May 25, 2008.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ectPr>
          <w:pgSz w:w="11900" w:h="16893" w:orient="portrait"/>
          <w:cols w:equalWidth="0" w:num="1">
            <w:col w:w="11400"/>
          </w:cols>
          <w:pgMar w:left="240" w:top="121" w:right="259" w:bottom="0" w:gutter="0" w:footer="0" w:header="0"/>
        </w:sectPr>
      </w:pPr>
    </w:p>
    <w:p>
      <w:pPr>
        <w:spacing w:after="0" w:line="219"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Our 2007 Annual Report on Form 10-K for the fiscal year ended April 1, 2007, including financial statements, is being mailed with this Proxy Statement. Shareholders who wish to obtain an additional copy of our Annual Report on Form 10-K for fiscal 2007 may do so without charge by writing to:</w:t>
      </w:r>
    </w:p>
    <w:p>
      <w:pPr>
        <w:sectPr>
          <w:pgSz w:w="11900" w:h="16893" w:orient="portrait"/>
          <w:cols w:equalWidth="0" w:num="1">
            <w:col w:w="11400"/>
          </w:cols>
          <w:pgMar w:left="240" w:top="121" w:right="259" w:bottom="0" w:gutter="0" w:footer="0" w:header="0"/>
          <w:type w:val="continuous"/>
        </w:sectPr>
      </w:pPr>
    </w:p>
    <w:bookmarkStart w:id="12" w:name="page13"/>
    <w:bookmarkEnd w:id="12"/>
    <w:p>
      <w:pPr>
        <w:ind w:right="640"/>
        <w:spacing w:after="0" w:line="282" w:lineRule="auto"/>
        <w:rPr>
          <w:sz w:val="20"/>
          <w:szCs w:val="20"/>
          <w:color w:val="auto"/>
        </w:rPr>
      </w:pPr>
      <w:r>
        <w:rPr>
          <w:rFonts w:ascii="Times New Roman" w:cs="Times New Roman" w:eastAsia="Times New Roman" w:hAnsi="Times New Roman"/>
          <w:sz w:val="18"/>
          <w:szCs w:val="18"/>
          <w:color w:val="auto"/>
        </w:rPr>
        <w:t>Hawkins, Inc., 3100 East Hennepin Avenue, Minneapolis, Minnesota 55413, Attention: Secretary. Our Annual Report on Form 10-K, as well as other company reports, are also available on the SEC’s website (www.sec.gov).</w:t>
      </w:r>
    </w:p>
    <w:p>
      <w:pPr>
        <w:spacing w:after="0" w:line="162" w:lineRule="exact"/>
        <w:rPr>
          <w:sz w:val="20"/>
          <w:szCs w:val="20"/>
          <w:color w:val="auto"/>
        </w:rPr>
      </w:pPr>
    </w:p>
    <w:p>
      <w:pPr>
        <w:ind w:left="6200" w:right="1660" w:hanging="6144"/>
        <w:spacing w:after="0" w:line="360" w:lineRule="auto"/>
        <w:tabs>
          <w:tab w:leader="none" w:pos="6180" w:val="left"/>
        </w:tabs>
        <w:rPr>
          <w:sz w:val="20"/>
          <w:szCs w:val="20"/>
          <w:color w:val="auto"/>
        </w:rPr>
      </w:pPr>
      <w:r>
        <w:rPr>
          <w:rFonts w:ascii="Times New Roman" w:cs="Times New Roman" w:eastAsia="Times New Roman" w:hAnsi="Times New Roman"/>
          <w:sz w:val="18"/>
          <w:szCs w:val="18"/>
          <w:color w:val="auto"/>
        </w:rPr>
        <w:t>Dated: July 9, 2007.</w:t>
      </w:r>
      <w:r>
        <w:rPr>
          <w:sz w:val="20"/>
          <w:szCs w:val="20"/>
          <w:color w:val="auto"/>
        </w:rPr>
        <w:tab/>
      </w:r>
      <w:r>
        <w:rPr>
          <w:rFonts w:ascii="Times New Roman" w:cs="Times New Roman" w:eastAsia="Times New Roman" w:hAnsi="Times New Roman"/>
          <w:sz w:val="18"/>
          <w:szCs w:val="18"/>
          <w:color w:val="auto"/>
        </w:rPr>
        <w:t>BY ORDER OF THE BOARD OF DIRECTORS MARVIN E. DEE,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HAWKINS, INC.</w:t>
      </w:r>
    </w:p>
    <w:p>
      <w:pPr>
        <w:sectPr>
          <w:pgSz w:w="11900" w:h="16838" w:orient="portrait"/>
          <w:cols w:equalWidth="0" w:num="1">
            <w:col w:w="11420"/>
          </w:cols>
          <w:pgMar w:left="240" w:top="121" w:right="239" w:bottom="0" w:gutter="0" w:footer="0" w:header="0"/>
        </w:sectPr>
      </w:pPr>
    </w:p>
    <w:p>
      <w:pPr>
        <w:spacing w:after="0" w:line="221"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248"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Tuesday, August 7, 2007</w:t>
      </w:r>
    </w:p>
    <w:p>
      <w:pPr>
        <w:spacing w:after="0" w:line="23"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3:00 p.m., Central Daylight Time</w:t>
      </w:r>
    </w:p>
    <w:p>
      <w:pPr>
        <w:spacing w:after="0" w:line="211"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Midland Hills Country Club</w:t>
      </w:r>
    </w:p>
    <w:p>
      <w:pPr>
        <w:spacing w:after="0" w:line="23"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2001 Fulham Street</w:t>
      </w:r>
    </w:p>
    <w:p>
      <w:pPr>
        <w:spacing w:after="0" w:line="9"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Roseville,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54380" cy="403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54380" cy="403225"/>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3100 East Hennepin Avenue</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w:t>
      </w:r>
    </w:p>
    <w:p>
      <w:pPr>
        <w:spacing w:after="0" w:line="200" w:lineRule="exact"/>
        <w:rPr>
          <w:sz w:val="20"/>
          <w:szCs w:val="20"/>
          <w:color w:val="auto"/>
        </w:rPr>
      </w:pPr>
    </w:p>
    <w:p>
      <w:pPr>
        <w:sectPr>
          <w:pgSz w:w="11900" w:h="16838" w:orient="portrait"/>
          <w:cols w:equalWidth="0" w:num="2">
            <w:col w:w="9900" w:space="720"/>
            <w:col w:w="800"/>
          </w:cols>
          <w:pgMar w:left="240" w:top="121" w:right="239" w:bottom="0" w:gutter="0" w:footer="0" w:header="0"/>
          <w:type w:val="continuous"/>
        </w:sectPr>
      </w:pPr>
    </w:p>
    <w:p>
      <w:pPr>
        <w:spacing w:after="0" w:line="16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THIS PROXY IS SOLICITED BY THE BOARD OF DIRECTORS FOR USE AT THE ANNUAL MEETING OF SHAREHOLDERS ON AUGUST 7, 2007.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stock you hold in your account or in a dividend reinvestment account will be voted as you specify on the reverse side.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NO CHOICE IS SPECIFIED, THE PROXY WILL BE VOTED “FOR” ALL NOMINEES IN PROPOSAL 1.</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By signing the proxy, you revoke all prior proxies and appoint John R. Hawkins and Marvin E. Dee, and each of them, with full power of substitution, to vote your shares on the matters shown on the reverse side and any other matters that may come before the Annual Meeting and all adjournments.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detach here</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ALL NOMINEES IN ITEM 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Election of directors:   01</w:t>
            </w:r>
          </w:p>
        </w:tc>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S. McKeon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 Robert Gey</w:t>
            </w:r>
          </w:p>
        </w:tc>
        <w:tc>
          <w:tcPr>
            <w:tcW w:w="21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Vote FOR</w:t>
            </w:r>
          </w:p>
        </w:tc>
        <w:tc>
          <w:tcPr>
            <w:tcW w:w="1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Vote WITHHELD</w:t>
            </w:r>
          </w:p>
        </w:tc>
      </w:tr>
      <w:tr>
        <w:trPr>
          <w:trHeight w:val="216"/>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R. Hawkins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Daryl I. Skaar</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nominees</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from all nominees</w:t>
            </w:r>
          </w:p>
        </w:tc>
      </w:tr>
      <w:tr>
        <w:trPr>
          <w:trHeight w:val="216"/>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Howard M. Hawkins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Eapen Chacko</w:t>
            </w:r>
          </w:p>
        </w:tc>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(except as marked)</w:t>
            </w:r>
          </w:p>
        </w:tc>
        <w:tc>
          <w:tcPr>
            <w:tcW w:w="1860" w:type="dxa"/>
            <w:vAlign w:val="bottom"/>
          </w:tcPr>
          <w:p>
            <w:pPr>
              <w:spacing w:after="0"/>
              <w:rPr>
                <w:sz w:val="18"/>
                <w:szCs w:val="18"/>
                <w:color w:val="auto"/>
              </w:rPr>
            </w:pPr>
          </w:p>
        </w:tc>
      </w:tr>
      <w:tr>
        <w:trPr>
          <w:trHeight w:val="228"/>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Duane M. Jergenson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A. Faulconbridge</w:t>
            </w:r>
          </w:p>
        </w:tc>
        <w:tc>
          <w:tcPr>
            <w:tcW w:w="214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215" w:lineRule="exact"/>
        <w:rPr>
          <w:sz w:val="20"/>
          <w:szCs w:val="20"/>
          <w:color w:val="auto"/>
        </w:rPr>
      </w:pPr>
    </w:p>
    <w:p>
      <w:pPr>
        <w:ind w:right="5400"/>
        <w:spacing w:after="0" w:line="277" w:lineRule="auto"/>
        <w:rPr>
          <w:sz w:val="20"/>
          <w:szCs w:val="20"/>
          <w:color w:val="auto"/>
        </w:rPr>
      </w:pPr>
      <w:r>
        <w:rPr>
          <w:rFonts w:ascii="Times New Roman" w:cs="Times New Roman" w:eastAsia="Times New Roman" w:hAnsi="Times New Roman"/>
          <w:sz w:val="18"/>
          <w:szCs w:val="18"/>
          <w:b w:val="1"/>
          <w:bCs w:val="1"/>
          <w:color w:val="auto"/>
        </w:rPr>
        <w:t>(Instructions: To withhold authority to vote for any indicated nominee, write the number(s) of the nominee(s) in the box 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-300990</wp:posOffset>
            </wp:positionV>
            <wp:extent cx="3044190"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44190" cy="291465"/>
                    </a:xfrm>
                    <a:prstGeom prst="rect">
                      <a:avLst/>
                    </a:prstGeom>
                    <a:noFill/>
                  </pic:spPr>
                </pic:pic>
              </a:graphicData>
            </a:graphic>
          </wp:anchor>
        </w:drawing>
      </w:r>
    </w:p>
    <w:p>
      <w:pPr>
        <w:spacing w:after="0" w:line="166" w:lineRule="exact"/>
        <w:rPr>
          <w:sz w:val="20"/>
          <w:szCs w:val="20"/>
          <w:color w:val="auto"/>
        </w:rPr>
      </w:pPr>
    </w:p>
    <w:p>
      <w:pPr>
        <w:ind w:left="220" w:right="5240" w:hanging="212"/>
        <w:spacing w:after="0" w:line="275" w:lineRule="auto"/>
        <w:tabs>
          <w:tab w:leader="none" w:pos="2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their discretion, the Proxies are authorized to vote upon such other matters as may properly come before the meeting.</w:t>
      </w:r>
    </w:p>
    <w:p>
      <w:pPr>
        <w:spacing w:after="0" w:line="172"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THIS PROXY WHEN PROPERLY EXECUTED WILL BE VOTED AS DIRECTED OR, IF NO DIRECTION IS GIVEN,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EACH PROPOSAL.</w:t>
      </w:r>
    </w:p>
    <w:p>
      <w:pPr>
        <w:sectPr>
          <w:pgSz w:w="11900" w:h="16838" w:orient="portrait"/>
          <w:cols w:equalWidth="0" w:num="1">
            <w:col w:w="11420"/>
          </w:cols>
          <w:pgMar w:left="240" w:top="121" w:right="239" w:bottom="0" w:gutter="0" w:footer="0" w:header="0"/>
          <w:type w:val="continuous"/>
        </w:sectPr>
      </w:pPr>
    </w:p>
    <w:bookmarkStart w:id="13" w:name="page14"/>
    <w:bookmarkEnd w:id="13"/>
    <w:p>
      <w:pPr>
        <w:spacing w:after="0"/>
        <w:tabs>
          <w:tab w:leader="none" w:pos="2440" w:val="left"/>
          <w:tab w:leader="none" w:pos="6660" w:val="left"/>
        </w:tabs>
        <w:rPr>
          <w:sz w:val="20"/>
          <w:szCs w:val="20"/>
          <w:color w:val="auto"/>
        </w:rPr>
      </w:pPr>
      <w:r>
        <w:rPr>
          <w:rFonts w:ascii="Times New Roman" w:cs="Times New Roman" w:eastAsia="Times New Roman" w:hAnsi="Times New Roman"/>
          <w:sz w:val="18"/>
          <w:szCs w:val="18"/>
          <w:color w:val="auto"/>
        </w:rPr>
        <w:t xml:space="preserve">Address Change? Mark Box  </w:t>
      </w:r>
      <w:r>
        <w:rPr>
          <w:rFonts w:ascii="Times New Roman" w:cs="Times New Roman" w:eastAsia="Times New Roman" w:hAnsi="Times New Roman"/>
          <w:sz w:val="21"/>
          <w:szCs w:val="21"/>
          <w:color w:val="auto"/>
        </w:rPr>
        <w:t>o</w:t>
      </w:r>
      <w:r>
        <w:rPr>
          <w:rFonts w:ascii="Times New Roman" w:cs="Times New Roman" w:eastAsia="Times New Roman" w:hAnsi="Times New Roman"/>
          <w:sz w:val="18"/>
          <w:szCs w:val="18"/>
          <w:color w:val="auto"/>
        </w:rPr>
        <w:tab/>
        <w:t>Indicate changes below:</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224790</wp:posOffset>
            </wp:positionV>
            <wp:extent cx="3087370" cy="386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7370" cy="38608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19050</wp:posOffset>
            </wp:positionV>
            <wp:extent cx="2795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Signature(s) in Box</w:t>
      </w:r>
    </w:p>
    <w:p>
      <w:pPr>
        <w:ind w:left="6580"/>
        <w:spacing w:after="0" w:line="223" w:lineRule="auto"/>
        <w:rPr>
          <w:sz w:val="20"/>
          <w:szCs w:val="20"/>
          <w:color w:val="auto"/>
        </w:rPr>
      </w:pPr>
      <w:r>
        <w:rPr>
          <w:rFonts w:ascii="Times New Roman" w:cs="Times New Roman" w:eastAsia="Times New Roman" w:hAnsi="Times New Roman"/>
          <w:sz w:val="14"/>
          <w:szCs w:val="14"/>
          <w:color w:val="auto"/>
        </w:rPr>
        <w:t>(Please sign exactly as your name appears to the left. When shares are held by joint</w:t>
      </w:r>
    </w:p>
    <w:p>
      <w:pPr>
        <w:spacing w:after="0" w:line="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2"/>
          <w:szCs w:val="12"/>
          <w:color w:val="auto"/>
        </w:rPr>
        <w:t>tenants, both should sign. When signing as executor, administrator, attorney, trustee or</w:t>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2"/>
          <w:szCs w:val="12"/>
          <w:color w:val="auto"/>
        </w:rPr>
        <w:t>guardian, please give full title as such. If a corporation, please sign in full corporate name</w:t>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2"/>
          <w:szCs w:val="12"/>
          <w:color w:val="auto"/>
        </w:rPr>
        <w:t>by president or other authorized officer. If a partnership, please sign in partnership name</w:t>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624205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x"/>
      <w:numFmt w:val="bullet"/>
      <w:start w:val="1"/>
    </w:lvl>
  </w:abstractNum>
  <w:abstractNum w:abstractNumId="2">
    <w:nsid w:val="66EF438D"/>
    <w:multiLevelType w:val="hybridMultilevel"/>
    <w:lvl w:ilvl="0">
      <w:lvlJc w:val="left"/>
      <w:lvlText w:val="o"/>
      <w:numFmt w:val="bullet"/>
      <w:start w:val="1"/>
    </w:lvl>
  </w:abstractNum>
  <w:abstractNum w:abstractNumId="3">
    <w:nsid w:val="140E0F76"/>
    <w:multiLevelType w:val="hybridMultilevel"/>
    <w:lvl w:ilvl="0">
      <w:lvlJc w:val="left"/>
      <w:lvlText w:val="x"/>
      <w:numFmt w:val="bullet"/>
      <w:start w:val="1"/>
    </w:lvl>
  </w:abstractNum>
  <w:abstractNum w:abstractNumId="4">
    <w:nsid w:val="3352255A"/>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5">
    <w:nsid w:val="109CF92E"/>
    <w:multiLevelType w:val="hybridMultilevel"/>
    <w:lvl w:ilvl="0">
      <w:lvlJc w:val="left"/>
      <w:lvlText w:val="o"/>
      <w:numFmt w:val="bullet"/>
      <w:start w:val="1"/>
    </w:lvl>
    <w:lvl w:ilvl="1">
      <w:lvlJc w:val="left"/>
      <w:lvlText w:val="(%2)"/>
      <w:numFmt w:val="decimal"/>
      <w:start w:val="3"/>
    </w:lvl>
    <w:lvl w:ilvl="2">
      <w:lvlJc w:val="left"/>
      <w:lvlText w:val="(%3)"/>
      <w:numFmt w:val="decimal"/>
      <w:start w:val="4"/>
    </w:lvl>
  </w:abstractNum>
  <w:abstractNum w:abstractNumId="6">
    <w:nsid w:val="DED7263"/>
    <w:multiLevelType w:val="hybridMultilevel"/>
    <w:lvl w:ilvl="0">
      <w:lvlJc w:val="left"/>
      <w:lvlText w:val="o"/>
      <w:numFmt w:val="bullet"/>
      <w:start w:val="1"/>
    </w:lvl>
    <w:lvl w:ilvl="1">
      <w:lvlJc w:val="left"/>
      <w:lvlText w:val="(%2)"/>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5"/>
    </w:lvl>
  </w:abstractNum>
  <w:abstractNum w:abstractNumId="19">
    <w:nsid w:val="436C6125"/>
    <w:multiLevelType w:val="hybridMultilevel"/>
    <w:lvl w:ilvl="0">
      <w:lvlJc w:val="left"/>
      <w:lvlText w:val="(%1)"/>
      <w:numFmt w:val="lowerLetter"/>
      <w:start w:val="6"/>
    </w:lvl>
  </w:abstractNum>
  <w:abstractNum w:abstractNumId="20">
    <w:nsid w:val="628C895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2019-12-13T01:49:26Z</dcterms:created>
  <dcterms:modified xsi:type="dcterms:W3CDTF">2019-12-13T01:49:26Z</dcterms:modified>
</cp:coreProperties>
</file>