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No.15)</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2012</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1,179,335</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1,179,335</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1,179,335</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11.19%</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knt</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3100</w:t>
            </w: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East Hennepin Avenue</w:t>
            </w:r>
          </w:p>
        </w:tc>
      </w:tr>
      <w:tr>
        <w:trPr>
          <w:trHeight w:val="203"/>
        </w:trPr>
        <w:tc>
          <w:tcPr>
            <w:tcW w:w="7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Minneapolis, MN   55413</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420261109</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1,179,335</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11.19%</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1,179,335</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1,179,335</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2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2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Behalf of Another Person.</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519"/>
        <w:spacing w:after="0" w:line="275" w:lineRule="auto"/>
        <w:rPr>
          <w:sz w:val="20"/>
          <w:szCs w:val="20"/>
          <w:color w:val="auto"/>
        </w:rPr>
      </w:pPr>
      <w:r>
        <w:rPr>
          <w:rFonts w:ascii="Courier New" w:cs="Courier New" w:eastAsia="Courier New" w:hAnsi="Courier New"/>
          <w:sz w:val="16"/>
          <w:szCs w:val="16"/>
          <w:color w:val="auto"/>
        </w:rPr>
        <w:t>The interest of one account, Royce Special Equity Fund an investment company registered under the Investment Company Act of 1940 and managed by Royce &amp; Associates, LLC, amounted to 911,020 shares or 8.64%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10,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John E. Denneen, 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2019-12-05T11:47:01Z</dcterms:created>
  <dcterms:modified xsi:type="dcterms:W3CDTF">2019-12-05T11:47:01Z</dcterms:modified>
</cp:coreProperties>
</file>