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4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10, 2020</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1044" w:right="239" w:bottom="1440" w:gutter="0" w:footer="0" w:header="0"/>
        </w:sectPr>
      </w:pPr>
    </w:p>
    <w:p>
      <w:pPr>
        <w:spacing w:after="0" w:line="232"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120" w:space="720"/>
            <w:col w:w="2440" w:space="720"/>
            <w:col w:w="2420"/>
          </w:cols>
          <w:pgMar w:left="240" w:top="1044" w:right="239" w:bottom="1440" w:gutter="0" w:footer="0" w:header="0"/>
          <w:type w:val="continuous"/>
        </w:sectPr>
      </w:pPr>
    </w:p>
    <w:p>
      <w:pPr>
        <w:ind w:left="70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540" w:space="720"/>
            <w:col w:w="2400" w:space="720"/>
            <w:col w:w="3040"/>
          </w:cols>
          <w:pgMar w:left="240" w:top="1044" w:right="239" w:bottom="1440" w:gutter="0" w:footer="0" w:header="0"/>
          <w:type w:val="continuous"/>
        </w:sectPr>
      </w:pPr>
    </w:p>
    <w:p>
      <w:pPr>
        <w:spacing w:after="0" w:line="290" w:lineRule="exact"/>
        <w:rPr>
          <w:sz w:val="24"/>
          <w:szCs w:val="24"/>
          <w:color w:val="auto"/>
        </w:rPr>
      </w:pPr>
    </w:p>
    <w:p>
      <w:pPr>
        <w:ind w:left="1240"/>
        <w:spacing w:after="0"/>
        <w:tabs>
          <w:tab w:leader="none" w:pos="3440" w:val="left"/>
        </w:tabs>
        <w:rPr>
          <w:sz w:val="20"/>
          <w:szCs w:val="20"/>
          <w:color w:val="auto"/>
        </w:rPr>
      </w:pPr>
      <w:r>
        <w:rPr>
          <w:rFonts w:ascii="Arial" w:cs="Arial" w:eastAsia="Arial" w:hAnsi="Arial"/>
          <w:sz w:val="18"/>
          <w:szCs w:val="18"/>
          <w:b w:val="1"/>
          <w:bCs w:val="1"/>
          <w:color w:val="auto"/>
        </w:rPr>
        <w:t>2381 Rosegate, Roseville,</w:t>
      </w:r>
      <w:r>
        <w:rPr>
          <w:sz w:val="20"/>
          <w:szCs w:val="20"/>
          <w:color w:val="auto"/>
        </w:rPr>
        <w:tab/>
      </w: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3" w:lineRule="exact"/>
        <w:rPr>
          <w:sz w:val="24"/>
          <w:szCs w:val="24"/>
          <w:color w:val="auto"/>
        </w:rPr>
      </w:pPr>
    </w:p>
    <w:p>
      <w:pPr>
        <w:sectPr>
          <w:pgSz w:w="11900" w:h="16838" w:orient="portrait"/>
          <w:cols w:equalWidth="0" w:num="2">
            <w:col w:w="8000" w:space="720"/>
            <w:col w:w="2700"/>
          </w:cols>
          <w:pgMar w:left="240" w:top="1044" w:right="239" w:bottom="1440" w:gutter="0" w:footer="0" w:header="0"/>
          <w:type w:val="continuous"/>
        </w:sectPr>
      </w:pPr>
    </w:p>
    <w:p>
      <w:pPr>
        <w:ind w:left="14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880" w:space="720"/>
            <w:col w:w="2820"/>
          </w:cols>
          <w:pgMar w:left="240" w:top="1044" w:right="239" w:bottom="1440" w:gutter="0" w:footer="0" w:header="0"/>
          <w:type w:val="continuous"/>
        </w:sect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91" w:lineRule="exact"/>
        <w:rPr>
          <w:sz w:val="24"/>
          <w:szCs w:val="24"/>
          <w:color w:val="auto"/>
        </w:rPr>
      </w:pPr>
    </w:p>
    <w:p>
      <w:pPr>
        <w:ind w:right="420" w:firstLine="446"/>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4" w:lineRule="exact"/>
        <w:rPr>
          <w:sz w:val="24"/>
          <w:szCs w:val="24"/>
          <w:color w:val="auto"/>
        </w:rPr>
      </w:pPr>
    </w:p>
    <w:tbl>
      <w:tblPr>
        <w:tblLayout w:type="fixed"/>
        <w:tblInd w:w="540" w:type="dxa"/>
        <w:tblCellMar>
          <w:top w:w="0" w:type="dxa"/>
          <w:left w:w="0" w:type="dxa"/>
          <w:bottom w:w="0" w:type="dxa"/>
          <w:right w:w="0" w:type="dxa"/>
        </w:tblCellMar>
      </w:tblPr>
      <w:tr>
        <w:trPr>
          <w:trHeight w:val="210"/>
        </w:trPr>
        <w:tc>
          <w:tcPr>
            <w:tcW w:w="3300" w:type="dxa"/>
            <w:vAlign w:val="bottom"/>
          </w:tcPr>
          <w:p>
            <w:pPr>
              <w:ind w:left="1180"/>
              <w:spacing w:after="0"/>
              <w:rPr>
                <w:sz w:val="20"/>
                <w:szCs w:val="20"/>
                <w:color w:val="auto"/>
              </w:rPr>
            </w:pPr>
            <w:r>
              <w:rPr>
                <w:rFonts w:ascii="Arial" w:cs="Arial" w:eastAsia="Arial" w:hAnsi="Arial"/>
                <w:sz w:val="16"/>
                <w:szCs w:val="16"/>
                <w:b w:val="1"/>
                <w:bCs w:val="1"/>
                <w:color w:val="auto"/>
              </w:rPr>
              <w:t>Title of each class</w:t>
            </w:r>
          </w:p>
        </w:tc>
        <w:tc>
          <w:tcPr>
            <w:tcW w:w="256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500" w:type="dxa"/>
            <w:vAlign w:val="bottom"/>
          </w:tcPr>
          <w:p>
            <w:pPr>
              <w:jc w:val="center"/>
              <w:ind w:right="17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3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17"/>
        </w:trPr>
        <w:tc>
          <w:tcPr>
            <w:tcW w:w="3300" w:type="dxa"/>
            <w:vAlign w:val="bottom"/>
          </w:tcPr>
          <w:p>
            <w:pPr>
              <w:spacing w:after="0"/>
              <w:rPr>
                <w:sz w:val="20"/>
                <w:szCs w:val="20"/>
                <w:color w:val="auto"/>
              </w:rPr>
            </w:pPr>
            <w:r>
              <w:rPr>
                <w:rFonts w:ascii="Arial" w:cs="Arial" w:eastAsia="Arial" w:hAnsi="Arial"/>
                <w:sz w:val="16"/>
                <w:szCs w:val="16"/>
                <w:color w:val="auto"/>
              </w:rPr>
              <w:t>Common Stock, par value $.05 per share</w:t>
            </w:r>
          </w:p>
        </w:tc>
        <w:tc>
          <w:tcPr>
            <w:tcW w:w="2560" w:type="dxa"/>
            <w:vAlign w:val="bottom"/>
          </w:tcPr>
          <w:p>
            <w:pPr>
              <w:jc w:val="center"/>
              <w:spacing w:after="0"/>
              <w:rPr>
                <w:sz w:val="20"/>
                <w:szCs w:val="20"/>
                <w:color w:val="auto"/>
              </w:rPr>
            </w:pPr>
            <w:r>
              <w:rPr>
                <w:rFonts w:ascii="Arial" w:cs="Arial" w:eastAsia="Arial" w:hAnsi="Arial"/>
                <w:sz w:val="16"/>
                <w:szCs w:val="16"/>
                <w:color w:val="auto"/>
              </w:rPr>
              <w:t>HWKN</w:t>
            </w:r>
          </w:p>
        </w:tc>
        <w:tc>
          <w:tcPr>
            <w:tcW w:w="4500" w:type="dxa"/>
            <w:vAlign w:val="bottom"/>
          </w:tcPr>
          <w:p>
            <w:pPr>
              <w:jc w:val="center"/>
              <w:ind w:right="179"/>
              <w:spacing w:after="0"/>
              <w:rPr>
                <w:sz w:val="20"/>
                <w:szCs w:val="20"/>
                <w:color w:val="auto"/>
              </w:rPr>
            </w:pPr>
            <w:r>
              <w:rPr>
                <w:rFonts w:ascii="Arial" w:cs="Arial" w:eastAsia="Arial" w:hAnsi="Arial"/>
                <w:sz w:val="16"/>
                <w:szCs w:val="16"/>
                <w:color w:val="auto"/>
                <w:w w:val="94"/>
              </w:rPr>
              <w:t>Nasdaq Stock Market LLC</w:t>
            </w:r>
          </w:p>
        </w:tc>
      </w:tr>
    </w:tbl>
    <w:p>
      <w:pPr>
        <w:spacing w:after="0" w:line="37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Exchange Act (§240.12b-2 of this chapter).</w:t>
      </w:r>
    </w:p>
    <w:p>
      <w:pPr>
        <w:spacing w:after="0" w:line="165"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927100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3" w:lineRule="exact"/>
        <w:rPr>
          <w:sz w:val="20"/>
          <w:szCs w:val="20"/>
          <w:color w:val="auto"/>
        </w:rPr>
      </w:pPr>
    </w:p>
    <w:p>
      <w:pPr>
        <w:jc w:val="both"/>
        <w:ind w:right="400"/>
        <w:spacing w:after="0" w:line="294" w:lineRule="auto"/>
        <w:rPr>
          <w:sz w:val="20"/>
          <w:szCs w:val="20"/>
          <w:color w:val="auto"/>
        </w:rPr>
      </w:pPr>
      <w:r>
        <w:rPr>
          <w:rFonts w:ascii="Arial" w:cs="Arial" w:eastAsia="Arial" w:hAnsi="Arial"/>
          <w:sz w:val="16"/>
          <w:szCs w:val="16"/>
          <w:color w:val="auto"/>
        </w:rPr>
        <w:t>On February 10, 2020, Hawkins, Inc. announced the promotion of Douglas A. Lange, who will assume the role of the company’s Vice President –Water Treatment Group in early June of 2020. Thomas J. Keller, the company’s current Vice President – Water Treatment Group, has previously announced his planned retirement and will remain in the role of Vice President – Water Treatment Group until that time to facilitate a smooth transition.</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Mr. Lange, age 50, joined Hawkins in January 2019 and has served as Product Development Manager since that time. From 2011 to 2018, Mr. Lange was with H.B. Fuller Company (a global adhesives provider) where he served as Business Manager and Product Manager from 2013 to 2018 and Market Manager from 2011 to 2013. Prior to this time, Mr. Lange served in a variety of rolls for Bright Wood Corporation (a manufacturer of wood components and millwork) and Franklin Adhesives &amp; Polymers (a manufacturer of adhesives). Mr. Lange holds a Master of Science degree from the University of Minnesota, and a Bachelor of Arts degree in Biology with a minor in Chemistry from the University of St. Thomas. He has served as a Captain in the Army National Guard.</w:t>
      </w:r>
    </w:p>
    <w:p>
      <w:pPr>
        <w:spacing w:after="0" w:line="18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information contained in this Item 7.01 is being furnished, and shall not be deemed “filed” for purposes of Section 18 of the Securities Exchange Act of 1934, as amended (the “Exchange Act”), or otherwise subject to the liabilities under Section 18. Furthermore, the information contained in this Item 7.01 shall not be deemed to be incorporated by reference into our filings under the Securities Act of 1933,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HAWKINS, INC.</w:t>
      </w:r>
    </w:p>
    <w:p>
      <w:pPr>
        <w:spacing w:after="0" w:line="117" w:lineRule="exact"/>
        <w:rPr>
          <w:sz w:val="20"/>
          <w:szCs w:val="20"/>
          <w:color w:val="auto"/>
        </w:rPr>
      </w:pPr>
    </w:p>
    <w:p>
      <w:pPr>
        <w:ind w:left="20"/>
        <w:spacing w:after="0"/>
        <w:tabs>
          <w:tab w:leader="none" w:pos="4580" w:val="left"/>
          <w:tab w:leader="none" w:pos="7480" w:val="left"/>
        </w:tabs>
        <w:rPr>
          <w:sz w:val="20"/>
          <w:szCs w:val="20"/>
          <w:color w:val="auto"/>
        </w:rPr>
      </w:pPr>
      <w:r>
        <w:rPr>
          <w:rFonts w:ascii="Arial" w:cs="Arial" w:eastAsia="Arial" w:hAnsi="Arial"/>
          <w:sz w:val="18"/>
          <w:szCs w:val="18"/>
          <w:color w:val="auto"/>
        </w:rPr>
        <w:t>Date: February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31750</wp:posOffset>
            </wp:positionV>
            <wp:extent cx="3970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57" w:lineRule="exact"/>
        <w:rPr>
          <w:sz w:val="20"/>
          <w:szCs w:val="20"/>
          <w:color w:val="auto"/>
        </w:rPr>
      </w:pPr>
    </w:p>
    <w:p>
      <w:pPr>
        <w:jc w:val="center"/>
        <w:ind w:left="5100"/>
        <w:spacing w:after="0"/>
        <w:rPr>
          <w:sz w:val="20"/>
          <w:szCs w:val="20"/>
          <w:color w:val="auto"/>
        </w:rPr>
      </w:pPr>
      <w:r>
        <w:rPr>
          <w:rFonts w:ascii="Arial" w:cs="Arial" w:eastAsia="Arial" w:hAnsi="Arial"/>
          <w:sz w:val="18"/>
          <w:szCs w:val="18"/>
          <w:color w:val="auto"/>
        </w:rPr>
        <w:t>Richard G. Erstad</w:t>
      </w:r>
    </w:p>
    <w:p>
      <w:pPr>
        <w:spacing w:after="0" w:line="63" w:lineRule="exact"/>
        <w:rPr>
          <w:sz w:val="20"/>
          <w:szCs w:val="20"/>
          <w:color w:val="auto"/>
        </w:rPr>
      </w:pPr>
    </w:p>
    <w:p>
      <w:pPr>
        <w:jc w:val="center"/>
        <w:ind w:left="5100"/>
        <w:spacing w:after="0"/>
        <w:rPr>
          <w:sz w:val="20"/>
          <w:szCs w:val="20"/>
          <w:color w:val="auto"/>
        </w:rPr>
      </w:pPr>
      <w:r>
        <w:rPr>
          <w:rFonts w:ascii="Arial" w:cs="Arial" w:eastAsia="Arial" w:hAnsi="Arial"/>
          <w:sz w:val="18"/>
          <w:szCs w:val="18"/>
          <w:color w:val="auto"/>
        </w:rPr>
        <w:t>Vice President, General Counsel and Secretary</w:t>
      </w:r>
    </w:p>
    <w:sectPr>
      <w:pgSz w:w="11900" w:h="16838" w:orient="portrait"/>
      <w:cols w:equalWidth="0" w:num="1">
        <w:col w:w="10800"/>
      </w:cols>
      <w:pgMar w:left="240" w:top="891"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2020-02-10T15:20:13Z</dcterms:created>
  <dcterms:modified xsi:type="dcterms:W3CDTF">2020-02-10T15:20:13Z</dcterms:modified>
</cp:coreProperties>
</file>