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0" w:lineRule="exact"/>
        <w:rPr>
          <w:sz w:val="24"/>
          <w:szCs w:val="24"/>
          <w:color w:val="auto"/>
        </w:rPr>
      </w:pPr>
    </w:p>
    <w:p>
      <w:pPr>
        <w:spacing w:after="0" w:line="206" w:lineRule="exact"/>
        <w:rPr>
          <w:sz w:val="24"/>
          <w:szCs w:val="24"/>
          <w:color w:val="auto"/>
        </w:rPr>
      </w:pPr>
    </w:p>
    <w:p>
      <w:pPr>
        <w:ind w:left="5100"/>
        <w:spacing w:after="0"/>
        <w:rPr>
          <w:sz w:val="20"/>
          <w:szCs w:val="20"/>
          <w:color w:val="auto"/>
        </w:rPr>
      </w:pPr>
      <w:r>
        <w:rPr>
          <w:rFonts w:ascii="Arial" w:cs="Arial" w:eastAsia="Arial" w:hAnsi="Arial"/>
          <w:sz w:val="25"/>
          <w:szCs w:val="25"/>
          <w:b w:val="1"/>
          <w:bCs w:val="1"/>
          <w:u w:val="single" w:color="auto"/>
          <w:color w:val="auto"/>
        </w:rPr>
        <w:t>HAWKINS, INC.</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74"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80" w:hanging="545"/>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520" w:hanging="945"/>
        <w:spacing w:after="0" w:line="277"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84" w:lineRule="exact"/>
        <w:rPr>
          <w:rFonts w:ascii="Arial" w:cs="Arial" w:eastAsia="Arial" w:hAnsi="Arial"/>
          <w:sz w:val="18"/>
          <w:szCs w:val="18"/>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80" w:right="240" w:hanging="545"/>
        <w:spacing w:after="0" w:line="29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40"/>
          </w:cols>
          <w:pgMar w:left="240" w:top="684"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431800</wp:posOffset>
            </wp:positionV>
            <wp:extent cx="186118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1185" cy="94361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Roseville, Minnesota 55113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August 7, 2014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Annual Meeting of Shareholders of Hawkins, Inc. will be held at the Midland Hills Country Club, 2001 Fulham Street, Roseville, Minnesota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Thursday, August 7, 2014, at 3:00 p.m., Central Time, for the following purposes:</w:t>
      </w:r>
    </w:p>
    <w:p>
      <w:pPr>
        <w:spacing w:after="0" w:line="76" w:lineRule="exact"/>
        <w:rPr>
          <w:sz w:val="20"/>
          <w:szCs w:val="20"/>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90" w:lineRule="exact"/>
        <w:rPr>
          <w:rFonts w:ascii="Arial" w:cs="Arial" w:eastAsia="Arial" w:hAnsi="Arial"/>
          <w:sz w:val="18"/>
          <w:szCs w:val="18"/>
          <w:color w:val="auto"/>
        </w:rPr>
      </w:pPr>
    </w:p>
    <w:p>
      <w:pPr>
        <w:ind w:left="1060" w:hanging="17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advise in a non-binding vote to approve the compensation of our executive officers as disclosed in the attached proxy statement, or a “say-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on-pay” vote.</w:t>
      </w:r>
    </w:p>
    <w:p>
      <w:pPr>
        <w:spacing w:after="0" w:line="75" w:lineRule="exact"/>
        <w:rPr>
          <w:rFonts w:ascii="Arial" w:cs="Arial" w:eastAsia="Arial" w:hAnsi="Arial"/>
          <w:sz w:val="16"/>
          <w:szCs w:val="16"/>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Board of Directors has fixed the close of business on June 16, 2014 as the record date for determining the shareholders entitled to vote at the</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Annual Meeting. Accordingly, only shareholders of record at the close of business on that date will be entitled to vote. Our transfer books will not be closed.</w:t>
      </w:r>
    </w:p>
    <w:p>
      <w:pPr>
        <w:spacing w:after="0" w:line="200" w:lineRule="exact"/>
        <w:rPr>
          <w:sz w:val="20"/>
          <w:szCs w:val="20"/>
          <w:color w:val="auto"/>
        </w:rPr>
      </w:pPr>
    </w:p>
    <w:p>
      <w:pPr>
        <w:spacing w:after="0" w:line="27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48895</wp:posOffset>
            </wp:positionV>
            <wp:extent cx="18865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July 1, 2014</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ectPr>
          <w:pgSz w:w="11900" w:h="16838" w:orient="portrait"/>
          <w:cols w:equalWidth="0" w:num="1">
            <w:col w:w="11380"/>
          </w:cols>
          <w:pgMar w:left="240" w:top="1440"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Roseville, Minnesota 55113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July 1, 2014</w:t>
      </w:r>
    </w:p>
    <w:p>
      <w:pPr>
        <w:spacing w:after="0" w:line="1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proxy statement is furnished in connection with the solicitation of proxies by our Board of Directors to be voted at the Annual Meeting of Shareholders (the “Annual Meeting”) to be held on Thursday, August 7, 2014, at the Midland Hills Country Club, 2001 Fulham Street, Roseville, Minnesota, at 3:00 p.m., Central Time, and at any adjournments of such meeting. Distribution of this Proxy Statement and proxy to shareholders began on or about July 1, 2014.</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w:t>
      </w:r>
    </w:p>
    <w:p>
      <w:pPr>
        <w:spacing w:after="0" w:line="94"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REVOCATION AND VOTING OF PROXY</w:t>
      </w:r>
    </w:p>
    <w:p>
      <w:pPr>
        <w:spacing w:after="0" w:line="94" w:lineRule="exact"/>
        <w:rPr>
          <w:sz w:val="20"/>
          <w:szCs w:val="20"/>
          <w:color w:val="auto"/>
        </w:rPr>
      </w:pPr>
    </w:p>
    <w:p>
      <w:pPr>
        <w:ind w:right="380" w:firstLine="432"/>
        <w:spacing w:after="0" w:line="291" w:lineRule="auto"/>
        <w:rPr>
          <w:sz w:val="20"/>
          <w:szCs w:val="20"/>
          <w:color w:val="auto"/>
        </w:rPr>
      </w:pPr>
      <w:r>
        <w:rPr>
          <w:rFonts w:ascii="Arial" w:cs="Arial" w:eastAsia="Arial" w:hAnsi="Arial"/>
          <w:sz w:val="16"/>
          <w:szCs w:val="16"/>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w:t>
      </w:r>
    </w:p>
    <w:p>
      <w:pPr>
        <w:ind w:right="6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written notice expressly revoking the proxy to our Secretary at our offices, (2) signing and forwarding to us at our offices a later dated proxy, or (3) attending the Annual Meeting and casting his or her votes personally.</w:t>
      </w:r>
    </w:p>
    <w:p>
      <w:pPr>
        <w:spacing w:after="0" w:line="49"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However, abstentions will not be taken into account in determining the approval of any of the proposals and will have the effect of casting a negative vote. If a shareholder (including a broker) does not give authority to a proxy to vote, or withholds authority to vote on a certain proposal, then the shareholder’s shares will not be considered present or entitled to vote on that proposal.</w:t>
      </w:r>
    </w:p>
    <w:p>
      <w:pPr>
        <w:spacing w:after="0" w:line="3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If you hold your shares in street name and do not provide voting instructions to your broker, your broker has authority under New York Stock Exchange rules to vote those shares for or against “routine” proposals, such as an amendment and restatement of our articles of incorporation. Brokers cannot vote on their customers’ behalf on “non-routine” proposals such as the approval of an equity compensation plan or the election of directors. These rules apply to us even though the shares of our common stock are traded on the NASDAQ Global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32"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As of the date of this proxy statement, we know of no matters that will be presented for determination at the meeting other than those referred to in this proxy statement. If any other matters properly come before the meeting calling for a vote of shareholders, proxies in the enclosed form returned to us will be voted in accordance with the recommendation of the Board of Directors or, in the absence of such a recommendation, in accordance with the judgment of the proxy holders.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SHARES AND VOTING RIGHTS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At the close of business on June 16, 2014, the record date, there were 10,606,059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ectPr>
          <w:pgSz w:w="11900" w:h="16838" w:orient="portrait"/>
          <w:cols w:equalWidth="0" w:num="1">
            <w:col w:w="11380"/>
          </w:cols>
          <w:pgMar w:left="240" w:top="585"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w:t>
      </w:r>
      <w:r>
        <w:rPr>
          <w:rFonts w:ascii="Arial" w:cs="Arial" w:eastAsia="Arial" w:hAnsi="Arial"/>
          <w:sz w:val="18"/>
          <w:szCs w:val="18"/>
          <w:b w:val="1"/>
          <w:bCs w:val="1"/>
          <w:color w:val="auto"/>
        </w:rPr>
        <w:t xml:space="preserve"> ELECTION OF DIRECTORS</w:t>
      </w:r>
    </w:p>
    <w:p>
      <w:pPr>
        <w:spacing w:after="0" w:line="9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At the Annual Meeting, eight persons are to be elected to our Board of Directors, each to hold office for the ensuing year and until his/her successor is duly elected and qualified. Our By-Laws provide for a Board of Directors of not fewer than three nor more than eleven directors. Our Board of Directors currently consists of eight directors, as established by resolution of our Board of Directors. Our By-Laws provide that the nominees must be elected by the affirmative vote of the holders of a majority of the voting power of the shares represented at the meeting (whether in person or by proxy). Abstentions and withhold votes have the effect of a vote against the nominees. Executed and delivered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3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Board of Directors has nominated James A. Faulconbridge, Patrick H. Hawkins, Duane M. Jergenson, John S. McKeon, Mary J. Schumacher, Daryl I. Skaar, James T. Thompson and Jeffrey L. Wright for election to the Board of Directors.</w:t>
      </w:r>
    </w:p>
    <w:p>
      <w:pPr>
        <w:spacing w:after="0" w:line="31" w:lineRule="exact"/>
        <w:rPr>
          <w:sz w:val="20"/>
          <w:szCs w:val="20"/>
          <w:color w:val="auto"/>
        </w:rPr>
      </w:pPr>
    </w:p>
    <w:p>
      <w:pPr>
        <w:ind w:right="260" w:firstLine="432"/>
        <w:spacing w:after="0" w:line="282"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directors have served as our directors continuously since the year indicated below. The following information, including the principal occupation or employment of each director nominee, has been furnished to us by the respective director nominees. All positions are with our company unless otherwise noted.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Director</w:t>
            </w:r>
          </w:p>
        </w:tc>
        <w:tc>
          <w:tcPr>
            <w:tcW w:w="120" w:type="dxa"/>
            <w:vAlign w:val="bottom"/>
            <w:vMerge w:val="restart"/>
          </w:tcPr>
          <w:p>
            <w:pPr>
              <w:spacing w:after="0"/>
              <w:rPr>
                <w:sz w:val="14"/>
                <w:szCs w:val="14"/>
                <w:color w:val="auto"/>
              </w:rPr>
            </w:pPr>
          </w:p>
        </w:tc>
        <w:tc>
          <w:tcPr>
            <w:tcW w:w="708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Principal Occupation or Employment</w:t>
            </w:r>
          </w:p>
        </w:tc>
        <w:tc>
          <w:tcPr>
            <w:tcW w:w="120" w:type="dxa"/>
            <w:vAlign w:val="bottom"/>
            <w:vMerge w:val="restart"/>
          </w:tcPr>
          <w:p>
            <w:pPr>
              <w:spacing w:after="0"/>
              <w:rPr>
                <w:sz w:val="14"/>
                <w:szCs w:val="14"/>
                <w:color w:val="auto"/>
              </w:rPr>
            </w:pPr>
          </w:p>
        </w:tc>
        <w:tc>
          <w:tcPr>
            <w:tcW w:w="5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Age</w:t>
            </w:r>
          </w:p>
        </w:tc>
        <w:tc>
          <w:tcPr>
            <w:tcW w:w="100" w:type="dxa"/>
            <w:vAlign w:val="bottom"/>
            <w:vMerge w:val="restart"/>
          </w:tcPr>
          <w:p>
            <w:pPr>
              <w:spacing w:after="0"/>
              <w:rPr>
                <w:sz w:val="14"/>
                <w:szCs w:val="14"/>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S. McKeon</w:t>
            </w: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Chairman of the Board since 2005; Retired; President and Chief Operating Officer of ConAgra</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Foods, Inc. Venture Development Group from 2003 to 2005; President and Chief Operating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Officer of ConAgra Foods Snack Group (formerly Golden Valley Microwave Foods, Inc.) from</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1993 to 2003; President of McKeon Associates, Inc. (corporate finance consulting) from 1991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1993; Vice President of Northstar Industries, Inc. from 1976 to 1990.</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Patrick H. Hawkins</w:t>
            </w: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since 2011; President since 2010; Business Director — Food and</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4"/>
              </w:rPr>
              <w:t>Pharmaceuticals from 2009-2010; Business Manager — Food and Co-Extrusion Products from</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6"/>
              </w:rPr>
              <w:t>2007-2009; Sales Representative — Food Ingredients from 2002-2009; various positions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the company from 1992 to 2002.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President of Karges-Faulconbridge, Inc. (engineering and technical services) since 1996.</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Duane M. Jergenson</w:t>
            </w: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Retired; Vice President of Operations of Taylor Corporation from 1985 to 1999; various</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positions with Taylor Corporation from 1966 to 1985.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Twin Cities Habitat for Humanity — Chief Operating Officer since January 2011; Andersen</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Corporation — Senior Vice President and General Manager from 2008 to 2010, Senior Vice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President, Research, Technology, Quality and Engineering from 2003 to 2008; various positions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at Ecolab Inc. from 1992 to 2003; various positions at The Pillsbury Company from 1979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1992; B.S. in Chemical Engineering from the University of Minnesota.</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Daryl I. Skaar</w:t>
            </w: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7"/>
              </w:rPr>
              <w:t>Retired; Vice President and Chief Procurement Officer of Lucent Technologies from 1997 to</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3"/>
              </w:rPr>
              <w:t>2000; various positions at 3M from 1965 to 1997, most recently as Vice President of Purchasing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and Packaging Engineering.</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James T. Thompson</w:t>
            </w: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Retired; Executive Vice President — Commercial of The Mosaic Company from 2004 to 2007;</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board member, Sims Metal Management since 2009; various positions at Cargill, Inc. from 1974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 2004, most recently as President of Cargill Steel from 1996 to 2004.</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Jeffrey L. Wright</w:t>
            </w: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G&amp;K Services, Inc. — Chief Financial Officer since 1999, Executive Vice President and</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0" w:type="dxa"/>
            <w:vAlign w:val="bottom"/>
            <w:gridSpan w:val="2"/>
          </w:tcPr>
          <w:p>
            <w:pPr>
              <w:ind w:left="40"/>
              <w:spacing w:after="0"/>
              <w:rPr>
                <w:sz w:val="20"/>
                <w:szCs w:val="20"/>
                <w:color w:val="auto"/>
              </w:rPr>
            </w:pPr>
            <w:r>
              <w:rPr>
                <w:rFonts w:ascii="Arial" w:cs="Arial" w:eastAsia="Arial" w:hAnsi="Arial"/>
                <w:sz w:val="18"/>
                <w:szCs w:val="18"/>
                <w:color w:val="auto"/>
                <w:w w:val="97"/>
              </w:rPr>
              <w:t>Director since May 2009, Senior Vice President from 2004 to 2009, Treasurer and Secretary</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460" w:right="2040"/>
        <w:spacing w:after="0" w:line="302" w:lineRule="auto"/>
        <w:rPr>
          <w:sz w:val="20"/>
          <w:szCs w:val="20"/>
          <w:color w:val="auto"/>
        </w:rPr>
      </w:pPr>
      <w:r>
        <w:rPr>
          <w:rFonts w:ascii="Arial" w:cs="Arial" w:eastAsia="Arial" w:hAnsi="Arial"/>
          <w:sz w:val="16"/>
          <w:szCs w:val="16"/>
          <w:color w:val="auto"/>
        </w:rPr>
        <w:t>from 1999 to 2003; BMC Industries, Inc. — Treasurer from 1998 to 1999, Controller from 1996 to 1998; various positions at Employee Benefit Plans, Inc. from 1993 to 1996, most recently as Vice President and Treasurer; employed by Arthur Andersen &amp; Co. from 1984 to 1993.</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3" w:right="239" w:bottom="1440" w:gutter="0" w:footer="0" w:header="0"/>
        </w:sectPr>
      </w:pPr>
    </w:p>
    <w:bookmarkStart w:id="4" w:name="page5"/>
    <w:bookmarkEnd w:id="4"/>
    <w:p>
      <w:pPr>
        <w:ind w:right="120" w:firstLine="432"/>
        <w:spacing w:after="0" w:line="257" w:lineRule="auto"/>
        <w:rPr>
          <w:sz w:val="20"/>
          <w:szCs w:val="20"/>
          <w:color w:val="auto"/>
        </w:rPr>
      </w:pPr>
      <w:r>
        <w:rPr>
          <w:rFonts w:ascii="Arial" w:cs="Arial" w:eastAsia="Arial" w:hAnsi="Arial"/>
          <w:sz w:val="18"/>
          <w:szCs w:val="18"/>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269" w:lineRule="exact"/>
        <w:rPr>
          <w:sz w:val="20"/>
          <w:szCs w:val="20"/>
          <w:color w:val="auto"/>
        </w:rPr>
      </w:pPr>
    </w:p>
    <w:p>
      <w:pPr>
        <w:ind w:left="740" w:right="16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McKeon </w:t>
      </w:r>
      <w:r>
        <w:rPr>
          <w:rFonts w:ascii="Arial" w:cs="Arial" w:eastAsia="Arial" w:hAnsi="Arial"/>
          <w:sz w:val="18"/>
          <w:szCs w:val="18"/>
          <w:color w:val="auto"/>
        </w:rPr>
        <w:t>has been our Chairman of the Board since 2005 and has extensive experience in management, manufacturing and corporate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served as President and Chief Operating Officer of ConAgra Foods, Inc. Venture Development Group. His knowledge of our company and its business is also valuable in formulating and executing our business plans and growth strategies.</w:t>
      </w:r>
    </w:p>
    <w:p>
      <w:pPr>
        <w:spacing w:after="0" w:line="181" w:lineRule="exact"/>
        <w:rPr>
          <w:rFonts w:ascii="Arial" w:cs="Arial" w:eastAsia="Arial" w:hAnsi="Arial"/>
          <w:sz w:val="18"/>
          <w:szCs w:val="18"/>
          <w:color w:val="auto"/>
        </w:rPr>
      </w:pPr>
    </w:p>
    <w:p>
      <w:pPr>
        <w:ind w:left="740" w:right="64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Hawkins </w:t>
      </w:r>
      <w:r>
        <w:rPr>
          <w:rFonts w:ascii="Arial" w:cs="Arial" w:eastAsia="Arial" w:hAnsi="Arial"/>
          <w:sz w:val="18"/>
          <w:szCs w:val="18"/>
          <w:color w:val="auto"/>
        </w:rPr>
        <w:t>has been our Chief Executive Officer since 2011. Mr. Hawkins has been with the company since 1992, giving him an intimate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our company and its business and a deep passion for our company’s continued success.</w:t>
      </w:r>
    </w:p>
    <w:p>
      <w:pPr>
        <w:spacing w:after="0" w:line="170" w:lineRule="exact"/>
        <w:rPr>
          <w:rFonts w:ascii="Arial" w:cs="Arial" w:eastAsia="Arial" w:hAnsi="Arial"/>
          <w:sz w:val="18"/>
          <w:szCs w:val="18"/>
          <w:color w:val="auto"/>
        </w:rPr>
      </w:pPr>
    </w:p>
    <w:p>
      <w:pPr>
        <w:ind w:left="740" w:right="66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Faulconbridge </w:t>
      </w:r>
      <w:r>
        <w:rPr>
          <w:rFonts w:ascii="Arial" w:cs="Arial" w:eastAsia="Arial" w:hAnsi="Arial"/>
          <w:sz w:val="18"/>
          <w:szCs w:val="18"/>
          <w:color w:val="auto"/>
        </w:rPr>
        <w:t>is a principal of Karges-Faulconbridge, Inc., an engineering and technical services firm that services a broad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including the ethanol industry. His background provides the company with technical expertise and insight into ethanol and other industries we serve.</w:t>
      </w:r>
    </w:p>
    <w:p>
      <w:pPr>
        <w:spacing w:after="0" w:line="181" w:lineRule="exact"/>
        <w:rPr>
          <w:rFonts w:ascii="Arial" w:cs="Arial" w:eastAsia="Arial" w:hAnsi="Arial"/>
          <w:sz w:val="18"/>
          <w:szCs w:val="18"/>
          <w:color w:val="auto"/>
        </w:rPr>
      </w:pPr>
    </w:p>
    <w:p>
      <w:pPr>
        <w:ind w:left="740" w:hanging="327"/>
        <w:spacing w:after="0" w:line="3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Mr. Jergenson </w:t>
      </w:r>
      <w:r>
        <w:rPr>
          <w:rFonts w:ascii="Arial" w:cs="Arial" w:eastAsia="Arial" w:hAnsi="Arial"/>
          <w:sz w:val="16"/>
          <w:szCs w:val="16"/>
          <w:color w:val="auto"/>
        </w:rPr>
        <w:t>has been on our Board for 18 years. His operations management experience with Taylor Corporation, one of the largest privately held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 the United States, provides valuable perspective and insight as our company seeks and implements growth opportunities.</w:t>
      </w:r>
    </w:p>
    <w:p>
      <w:pPr>
        <w:spacing w:after="0" w:line="123" w:lineRule="exact"/>
        <w:rPr>
          <w:rFonts w:ascii="Arial" w:cs="Arial" w:eastAsia="Arial" w:hAnsi="Arial"/>
          <w:sz w:val="16"/>
          <w:szCs w:val="16"/>
          <w:color w:val="auto"/>
        </w:rPr>
      </w:pPr>
    </w:p>
    <w:p>
      <w:pPr>
        <w:ind w:left="740" w:right="80" w:hanging="327"/>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Ms. Schumacher </w:t>
      </w:r>
      <w:r>
        <w:rPr>
          <w:rFonts w:ascii="Arial" w:cs="Arial" w:eastAsia="Arial" w:hAnsi="Arial"/>
          <w:sz w:val="18"/>
          <w:szCs w:val="18"/>
          <w:color w:val="auto"/>
        </w:rPr>
        <w:t>has extensive knowledge of the chemical industry and valuable experience in research and development, quality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with major corporations such as Andersen Corporation, a manufacturer of windows and doors, Ecolab Corporation, a leading supplier of cleaning and sanitizing products and services and Pillsbury Company, a food manufacturer. In addition, Ms. Schumacher holds a bachelor’s degree in chemical engineering from the University of Minnesota.</w:t>
      </w:r>
    </w:p>
    <w:p>
      <w:pPr>
        <w:spacing w:after="0" w:line="186" w:lineRule="exact"/>
        <w:rPr>
          <w:rFonts w:ascii="Arial" w:cs="Arial" w:eastAsia="Arial" w:hAnsi="Arial"/>
          <w:sz w:val="18"/>
          <w:szCs w:val="18"/>
          <w:color w:val="auto"/>
        </w:rPr>
      </w:pPr>
    </w:p>
    <w:p>
      <w:pPr>
        <w:ind w:left="740" w:right="22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Skaar </w:t>
      </w:r>
      <w:r>
        <w:rPr>
          <w:rFonts w:ascii="Arial" w:cs="Arial" w:eastAsia="Arial" w:hAnsi="Arial"/>
          <w:sz w:val="18"/>
          <w:szCs w:val="18"/>
          <w:color w:val="auto"/>
        </w:rPr>
        <w:t>has extensive experience in purchasing and procurement for large public companies, having served as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Officer at Lucent Technologies and Vice President of Purchasing and Packing Engineering at 3M. This experience is valuable given the large number of products we must buy to operate our business.</w:t>
      </w:r>
    </w:p>
    <w:p>
      <w:pPr>
        <w:spacing w:after="0" w:line="181" w:lineRule="exact"/>
        <w:rPr>
          <w:rFonts w:ascii="Arial" w:cs="Arial" w:eastAsia="Arial" w:hAnsi="Arial"/>
          <w:sz w:val="18"/>
          <w:szCs w:val="18"/>
          <w:color w:val="auto"/>
        </w:rPr>
      </w:pPr>
    </w:p>
    <w:p>
      <w:pPr>
        <w:ind w:left="740" w:right="40" w:hanging="327"/>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Thompson </w:t>
      </w:r>
      <w:r>
        <w:rPr>
          <w:rFonts w:ascii="Arial" w:cs="Arial" w:eastAsia="Arial" w:hAnsi="Arial"/>
          <w:sz w:val="18"/>
          <w:szCs w:val="18"/>
          <w:color w:val="auto"/>
        </w:rPr>
        <w:t>has experience with major manufacturing and commodity companies having served 30 years at Cargill, Inc., including eight years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Cargill Steel, and three years as Executive Vice President—Commercial for The Mosaic Company, one of the world’s leading producers and marketers of concentrated phosphate and potash. This knowledge and experience is valuable to us in our commodity chemicals business.</w:t>
      </w:r>
    </w:p>
    <w:p>
      <w:pPr>
        <w:spacing w:after="0" w:line="186" w:lineRule="exact"/>
        <w:rPr>
          <w:rFonts w:ascii="Arial" w:cs="Arial" w:eastAsia="Arial" w:hAnsi="Arial"/>
          <w:sz w:val="18"/>
          <w:szCs w:val="18"/>
          <w:color w:val="auto"/>
        </w:rPr>
      </w:pPr>
    </w:p>
    <w:p>
      <w:pPr>
        <w:ind w:left="740" w:right="80" w:hanging="327"/>
        <w:spacing w:after="0" w:line="286"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Mr. Wright </w:t>
      </w:r>
      <w:r>
        <w:rPr>
          <w:rFonts w:ascii="Arial" w:cs="Arial" w:eastAsia="Arial" w:hAnsi="Arial"/>
          <w:sz w:val="17"/>
          <w:szCs w:val="17"/>
          <w:color w:val="auto"/>
        </w:rPr>
        <w:t>has extensive public company finance and audit experience, having served as Chief Financial Officer of G&amp;K Services, Inc. and having</w:t>
      </w:r>
      <w:r>
        <w:rPr>
          <w:rFonts w:ascii="Arial" w:cs="Arial" w:eastAsia="Arial" w:hAnsi="Arial"/>
          <w:sz w:val="17"/>
          <w:szCs w:val="17"/>
          <w:i w:val="1"/>
          <w:iCs w:val="1"/>
          <w:color w:val="auto"/>
        </w:rPr>
        <w:t xml:space="preserve"> </w:t>
      </w:r>
      <w:r>
        <w:rPr>
          <w:rFonts w:ascii="Arial" w:cs="Arial" w:eastAsia="Arial" w:hAnsi="Arial"/>
          <w:sz w:val="17"/>
          <w:szCs w:val="17"/>
          <w:color w:val="auto"/>
        </w:rPr>
        <w:t>been employed by Arthur Andersen &amp; Co. He also has public company board experience, serving as a director of G&amp;K Services, Inc. His background provides us with valuable financial and accounting experience as well as public company board experience.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Board of Directors has determined that, of the director nominees, each of Messrs. Faulconbridge, Jergenson, McKeon, Skaar, Thompson and Wright, and Ms. Schumacher, are “Independent Directors” as that term is defined under the applicable listing standards of the NASDAQ Stock Market. Accordingly, a majority of our directors are independent. In connection with its determination of independence, our Board of Directors considered Mr. Wright’s director and officer positions with G&amp;K Services, Inc., which is a customer of the company and supplier of services to the company, and determined that this relationship did not interfere with Mr. Wright’s exercise of independent judgment in carrying out the responsibilities of a director of our company. All of our transactions with G&amp;K Services, Inc. during the most recent completed fiscal year were conducted on arms-length terms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Board of Directors held five meetings during the fiscal year ended March 30, 2014, hereinafter referred to as “fiscal 2014.” All directors attended at least 75% of the meetings of our Board of Directors and the committees on which they served. All directors attended our Annual Meeting of Shareholders in 2013. Our Board of Directors encourages, but does not require, director attendance at annual meetings of shareholders.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9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Board of Directors does not have a policy regarding the separation of the roles of Chief Executive Officer and Chairman of the Board as the Board of Directors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 Further, this structure permits our Chief Executive Officer to focus on the management of the company’s day-to-day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Audit Committee, which consists of Jeffrey L. Wright (Chair), James A. Faulconbridge, Mary J. Schumacher and Daryl I. Skaar,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four meetings during fiscal 2014.</w:t>
      </w:r>
    </w:p>
    <w:p>
      <w:pPr>
        <w:spacing w:after="0" w:line="19"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the NASDAQ Stock Market. Our Board of Directors has determined that Messrs. Wright, Faulconbridge and Skaar, and Ms. Schumacher, are “audit committee financial experts,” as the term is defined by regulations promulgated by the Securities and Exchange Commission (SEC).</w:t>
      </w:r>
    </w:p>
    <w:p>
      <w:pPr>
        <w:spacing w:after="0" w:line="3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Compensation Committee, which currently consists of James T. Thompson (Chair), Duane M. Jergenson, Mary J. Schumacher, Daryl I. Skaar, and Jeffrey L. Wright, is responsible for establishing compensation policies for our company and for reviewing and setting compensation for our executive officers. The Compensation Committee held four meetings during fiscal 2014.</w:t>
      </w:r>
    </w:p>
    <w:p>
      <w:pPr>
        <w:spacing w:after="0" w:line="46"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Our Board of Directors has determined that all members of the Compensation Committee are “Independent Directors” as that term is defined under the applicable listing standards of the NASDAQ Stock Market, “non-employee directors” as that term is defined in Rule 16b-3 promulgated under the Securities Exchange Act of 1934, and “outside directors” as that term is used in Section 162(m) of the Internal Revenue Code of 1986, as amended.</w:t>
      </w:r>
    </w:p>
    <w:p>
      <w:pPr>
        <w:spacing w:after="0" w:line="1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Compensation Committee retained independent compensation consultant McLagan to provide the Compensation Committee with independent advice regarding industry practices and peer company compensation programs for fiscal 2014. No member of the Board of Directors or any executive officer has any affiliation with McLagan. McLagan provides no other services to the company, and has reported directly to the chair of the Compensation Committee. The Compensation Committee has assessed the independence of McLagan in accordance with SEC rules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provides market information and analysis regarding the competitiveness of levels and components of total compensation for the company’s named executive officers for fiscal 2014. In determining the competitiveness of such compensation, the Compensation Committee reviewed survey data prepared by McLagan.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23" w:right="239" w:bottom="1440" w:gutter="0" w:footer="0" w:header="0"/>
        </w:sectPr>
      </w:pPr>
    </w:p>
    <w:bookmarkStart w:id="6" w:name="page7"/>
    <w:bookmarkEnd w:id="6"/>
    <w:p>
      <w:pPr>
        <w:jc w:val="both"/>
        <w:ind w:right="80" w:firstLine="432"/>
        <w:spacing w:after="0" w:line="312" w:lineRule="auto"/>
        <w:rPr>
          <w:sz w:val="20"/>
          <w:szCs w:val="20"/>
          <w:color w:val="auto"/>
        </w:rPr>
      </w:pPr>
      <w:r>
        <w:rPr>
          <w:rFonts w:ascii="Arial" w:cs="Arial" w:eastAsia="Arial" w:hAnsi="Arial"/>
          <w:sz w:val="16"/>
          <w:szCs w:val="16"/>
          <w:color w:val="auto"/>
        </w:rPr>
        <w:t>The Compensation Committee also regularly consults with our Chief Executive Officer, who makes recommendations to the Compensation Committee regarding compensation of our executive officers other than the Chief Executive Officer. Additional information on the role of the compensation consultants and management in the Compensation Committee’s processes and procedures can be found in the Compensation Discussion and Analysis section below.</w:t>
      </w:r>
    </w:p>
    <w:p>
      <w:pPr>
        <w:spacing w:after="0" w:line="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Governance and Nominating Committee, which consists of James A. Faulconbridge (Chair), John S. McKeon, James T. Thompson and Jeffrey L. Wright, is responsible for identifying individuals qualified to become directors and recommending nominees to our Board of Directors for election at annual meetings of shareholders and to fill vacancies,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four meetings during fiscal 2014. The Governance and Nominating Committee evaluated potential candidates for director nomination on the basis indicated below and recommended to the Board of Directors that the director nominees included in this Proxy Statement be submitted to the shareholders for election at the upcoming Annual Meeting of Shareholders.</w:t>
      </w:r>
    </w:p>
    <w:p>
      <w:pPr>
        <w:spacing w:after="0" w:line="4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responsibilities of the Governance and Nominating Committee are set forth in the Governance and Nominating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94"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Stock Market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4"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company’s management is responsible for identifying the various risks facing the company, formulating risk management policies and procedures, and managing the company’s risk exposures on a day-to-day basis. The Board of Directors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of the Board of Directors is primarily responsible for monitoring management’s responsibility in the area of financial risk oversight, and financial risk management is a factor the Board and the Governance and Nominating Committee consider when determining which directors serve on the Audit Committee. Accordingly, management has reported to the Board of Directors and Audit Committee on various risk management matters during fiscal 2014. The Audit Committee, in turn, reports on the matters discussed at the committee level to the full Board of Directors. The Audit Committee and the Board of Directors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94"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Shareholders can contact the full Board of Directors,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6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right="340" w:firstLine="432"/>
        <w:spacing w:after="0" w:line="255" w:lineRule="auto"/>
        <w:rPr>
          <w:sz w:val="20"/>
          <w:szCs w:val="20"/>
          <w:color w:val="auto"/>
        </w:rPr>
      </w:pPr>
      <w:r>
        <w:rPr>
          <w:rFonts w:ascii="Arial" w:cs="Arial" w:eastAsia="Arial" w:hAnsi="Arial"/>
          <w:sz w:val="18"/>
          <w:szCs w:val="18"/>
          <w:color w:val="auto"/>
        </w:rPr>
        <w:t>The Audit Committee has (i) reviewed and discussed our audited financial statements for fiscal 2014 with both our management and KPMG LLP (“KPMG”); (ii) discussed with KPMG the matters required to be discussed by Statement of Auditing Standards No. 61, as amended,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5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that our audited financial statements be included in our Annual Report on Form 10-K for fiscal 2014 for filing with the SEC.</w:t>
      </w:r>
    </w:p>
    <w:p>
      <w:pPr>
        <w:spacing w:after="0" w:line="35" w:lineRule="exact"/>
        <w:rPr>
          <w:sz w:val="20"/>
          <w:szCs w:val="20"/>
          <w:color w:val="auto"/>
        </w:rPr>
      </w:pPr>
    </w:p>
    <w:p>
      <w:pPr>
        <w:ind w:left="2240"/>
        <w:spacing w:after="0"/>
        <w:tabs>
          <w:tab w:leader="none" w:pos="4420" w:val="left"/>
          <w:tab w:leader="none" w:pos="660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6"/>
          <w:szCs w:val="16"/>
          <w:i w:val="1"/>
          <w:iCs w:val="1"/>
          <w:color w:val="auto"/>
        </w:rPr>
        <w:t>Mary J. Schumacher Daryl I. Skaar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shows the aggregate fees charged to us by our independent registered public accounting firm, KPMG LLP, for services rendered during fiscal 2014 and fiscal 2013. The Audit Committee pre-approved all of the services described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 of Fees</w:t>
            </w:r>
          </w:p>
        </w:tc>
        <w:tc>
          <w:tcPr>
            <w:tcW w:w="34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Fiscal 2014</w:t>
            </w:r>
          </w:p>
        </w:tc>
        <w:tc>
          <w:tcPr>
            <w:tcW w:w="380" w:type="dxa"/>
            <w:vAlign w:val="bottom"/>
          </w:tcPr>
          <w:p>
            <w:pPr>
              <w:spacing w:after="0"/>
              <w:rPr>
                <w:sz w:val="14"/>
                <w:szCs w:val="14"/>
                <w:color w:val="auto"/>
              </w:rPr>
            </w:pPr>
          </w:p>
        </w:tc>
        <w:tc>
          <w:tcPr>
            <w:tcW w:w="1560" w:type="dxa"/>
            <w:vAlign w:val="bottom"/>
          </w:tcPr>
          <w:p>
            <w:pPr>
              <w:jc w:val="right"/>
              <w:ind w:right="537"/>
              <w:spacing w:after="0"/>
              <w:rPr>
                <w:sz w:val="20"/>
                <w:szCs w:val="20"/>
                <w:color w:val="auto"/>
              </w:rPr>
            </w:pPr>
            <w:r>
              <w:rPr>
                <w:rFonts w:ascii="Arial" w:cs="Arial" w:eastAsia="Arial" w:hAnsi="Arial"/>
                <w:sz w:val="14"/>
                <w:szCs w:val="14"/>
                <w:b w:val="1"/>
                <w:bCs w:val="1"/>
                <w:color w:val="auto"/>
              </w:rPr>
              <w:t>Fiscal 2013</w:t>
            </w:r>
          </w:p>
        </w:tc>
        <w:tc>
          <w:tcPr>
            <w:tcW w:w="0" w:type="dxa"/>
            <w:vAlign w:val="bottom"/>
          </w:tcPr>
          <w:p>
            <w:pPr>
              <w:spacing w:after="0"/>
              <w:rPr>
                <w:sz w:val="1"/>
                <w:szCs w:val="1"/>
                <w:color w:val="auto"/>
              </w:rPr>
            </w:pPr>
          </w:p>
        </w:tc>
      </w:tr>
      <w:tr>
        <w:trPr>
          <w:trHeight w:val="158"/>
        </w:trPr>
        <w:tc>
          <w:tcPr>
            <w:tcW w:w="75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3"/>
                <w:szCs w:val="13"/>
                <w:color w:val="auto"/>
              </w:rPr>
            </w:pPr>
          </w:p>
        </w:tc>
        <w:tc>
          <w:tcPr>
            <w:tcW w:w="1560" w:type="dxa"/>
            <w:vAlign w:val="bottom"/>
          </w:tcPr>
          <w:p>
            <w:pPr>
              <w:jc w:val="right"/>
              <w:ind w:right="637"/>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249,000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250,500</w:t>
            </w:r>
          </w:p>
        </w:tc>
        <w:tc>
          <w:tcPr>
            <w:tcW w:w="0" w:type="dxa"/>
            <w:vAlign w:val="bottom"/>
          </w:tcPr>
          <w:p>
            <w:pPr>
              <w:spacing w:after="0"/>
              <w:rPr>
                <w:sz w:val="1"/>
                <w:szCs w:val="1"/>
                <w:color w:val="auto"/>
              </w:rPr>
            </w:pPr>
          </w:p>
        </w:tc>
      </w:tr>
      <w:tr>
        <w:trPr>
          <w:trHeight w:val="243"/>
        </w:trPr>
        <w:tc>
          <w:tcPr>
            <w:tcW w:w="7560" w:type="dxa"/>
            <w:vAlign w:val="bottom"/>
            <w:gridSpan w:val="3"/>
          </w:tcPr>
          <w:p>
            <w:pPr>
              <w:ind w:left="40"/>
              <w:spacing w:after="0"/>
              <w:rPr>
                <w:sz w:val="20"/>
                <w:szCs w:val="20"/>
                <w:color w:val="auto"/>
              </w:rPr>
            </w:pPr>
            <w:r>
              <w:rPr>
                <w:rFonts w:ascii="Arial" w:cs="Arial" w:eastAsia="Arial" w:hAnsi="Arial"/>
                <w:sz w:val="18"/>
                <w:szCs w:val="18"/>
                <w:color w:val="auto"/>
              </w:rPr>
              <w:t>Tax Fees (a)</w:t>
            </w:r>
          </w:p>
        </w:tc>
        <w:tc>
          <w:tcPr>
            <w:tcW w:w="3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43,100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286,500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293,600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tax preparation and consulting fees.</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2014:</w:t>
      </w:r>
    </w:p>
    <w:p>
      <w:pPr>
        <w:spacing w:after="0" w:line="35"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Kathleen P. Pepski, Vice President, Chief Financial Officer and Treasurer;</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John R. Sevenich, Vice President - Industrial Group;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Thomas J. Keller, Vice President - Water Treatment Group.</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both superior current business results as well as personal performance, and a long-term incentive plan that motivates long-term performance and aligns business objectives with the interests of our shareholders. During fiscal 2014, our compensation committee made no significant changes to its executive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23" w:right="23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color w:val="auto"/>
        </w:rPr>
        <w:t>compensation policies or to the structure of our executive compensation program, having taken into account, among other things, the fact that the holders of over 95% of the shares voted at our 2013 annual meeting of shareholders approved, on an advisory basis, the compensation of our named executive officers as disclosed in the proxy statement for that annual meeting.</w:t>
      </w:r>
    </w:p>
    <w:p>
      <w:pPr>
        <w:spacing w:after="0" w:line="4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named executive officers received payouts of approximately 94% of the targeted payout level for the corporate performance measure under our annual non-equity incentive compensation arrangement and earned approximately 94% of the targeted number of restricted shares issuable in settlement of the performance-based restricted stock units granted for fiscal 2014 as described below. The corporate performance measure for fiscal 2014 for purposes of both the non-equity and equity-based incentive arrangements was income from continuing operations before income taxes adjusted to exclude the impact of a small acquisition completed during the fiscal year.</w:t>
      </w:r>
    </w:p>
    <w:p>
      <w:pPr>
        <w:spacing w:after="0" w:line="53"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Gross profit for our Industrial segment was $32.0 million for fiscal 2014, as compared to $28.9 million for fiscal 2013. Gross profit for our Water Treatment segment was $29.6 million for fiscal 2014, as compared to $28.1 million for fiscal 2013. The Compensation Committee utilized an operational measure of business unit profitability, which includes gross profit as a component of that profitability measure, as the performance measure for the business unit performance portion of the non-equity incentive compensation arrangement. The actual performance against that operating measure fell below target for the Industrial segment and above target for the Water Treatment segment. As a result, our Vice President - Industrial Group received a below-target payout under the business unit performance measure under our annual non-equity incentive compensation arrangement and our Vice President - Water Treatment Group received an above-target payout under the business unit performance measure under our annual non-equity incentive compensation arrangement.</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Determining Executive Compensation for Fiscal 2014</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198" w:lineRule="exact"/>
        <w:rPr>
          <w:sz w:val="20"/>
          <w:szCs w:val="20"/>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9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Compensation Committee does not benchmark the total compensation or any element of compensation for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 was collected by independent compensation consultant McLagan, a compensation consulting firm, which also provided the Compensation Committee with independent advice on industry practices and information on compensation programs of companies offering products similar to ours and from companies of comparable size to us that the Compensation Committee used in determining the compensation received by our executives during fiscal 2014. McLagan provided no other services to the company in fiscal 2014. The Compensation Committee did not select the companies that McLagan included in its sample, although it did have input into the criteria used by McLagan in the selection process.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5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9" w:name="page10"/>
    <w:bookmarkEnd w:id="9"/>
    <w:p>
      <w:pPr>
        <w:ind w:left="22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May 2013, the Compensation Committee approved increases in the base salaries of the named executive officers of approximately 3% based on its evaluation of the competitive information available to it. The base salaries paid to our executive officers during the last three completed fiscal years are listed in the Summary Compensation Table below.</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90"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46"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For fiscal 2014, the Compensation Committee designated financial performance goals, including a corporate pre-tax income from continuing operations performance measure and, for each executive in charge of a business unit, an operational measure of business unit profitability, as well as individual objectives for determining whether a cash incentive payment would be paid under the arrangement and in what amount.</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cash incentive payment opportunities for our named executive officers were based on the following percentages of base salary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left="328"/>
              <w:spacing w:after="0"/>
              <w:rPr>
                <w:sz w:val="20"/>
                <w:szCs w:val="20"/>
                <w:color w:val="auto"/>
              </w:rPr>
            </w:pPr>
            <w:r>
              <w:rPr>
                <w:rFonts w:ascii="Arial" w:cs="Arial" w:eastAsia="Arial" w:hAnsi="Arial"/>
                <w:sz w:val="14"/>
                <w:szCs w:val="14"/>
                <w:b w:val="1"/>
                <w:bCs w:val="1"/>
                <w:color w:val="auto"/>
                <w:w w:val="91"/>
              </w:rPr>
              <w:t>Threshold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5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Annual Cash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Annual Cash</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Annual Cash</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Incentive Payment</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Counsel</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Vice President - Industrial Group</w:t>
            </w: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Water Treatment Group</w:t>
            </w:r>
          </w:p>
        </w:tc>
        <w:tc>
          <w:tcPr>
            <w:tcW w:w="15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Compensation Committee established the targets for each of the executive officers based on the relative scope of his or her responsibilities and resulting ability to impact the company’s performance. The Compensation Committee established a higher target opportunity for the Chief Executive Officer to reflect his significant responsibilities regarding the creation and implementation of long-term strategic direction for the entire company.</w:t>
      </w:r>
    </w:p>
    <w:p>
      <w:pPr>
        <w:spacing w:after="0" w:line="1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Compensation Committee determined that 80% of the annual cash incentive payment opportunities for our Chief Executive Officer, Chief Financial Officer and General Counsel for fiscal 2014 should be based upon company-wide performance against the pre-tax income from continuing operations goal to reflect their significant company-wide responsibilities and resulting ability to impact the overall success of the company. In addition, the Compensation Committee determined that 20% should be based upon meeting their individual objectives.</w:t>
      </w:r>
    </w:p>
    <w:p>
      <w:pPr>
        <w:spacing w:after="0" w:line="52"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Compensation Committee determined that 40% of the annual cash incentive payment opportunities for Mr. Keller and Mr. Sevenich for fiscal 2014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Compensation Committee determined that 20% should be based upon meeting their individual objectives.</w:t>
      </w:r>
    </w:p>
    <w:p>
      <w:pPr>
        <w:spacing w:after="0" w:line="79" w:lineRule="exact"/>
        <w:rPr>
          <w:sz w:val="20"/>
          <w:szCs w:val="20"/>
          <w:color w:val="auto"/>
        </w:rPr>
      </w:pPr>
    </w:p>
    <w:p>
      <w:pPr>
        <w:ind w:right="380" w:firstLine="432"/>
        <w:spacing w:after="0" w:line="286" w:lineRule="auto"/>
        <w:rPr>
          <w:sz w:val="20"/>
          <w:szCs w:val="20"/>
          <w:color w:val="auto"/>
        </w:rPr>
      </w:pPr>
      <w:r>
        <w:rPr>
          <w:rFonts w:ascii="Arial" w:cs="Arial" w:eastAsia="Arial" w:hAnsi="Arial"/>
          <w:sz w:val="16"/>
          <w:szCs w:val="16"/>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exactly achieving the respective target performance level (</w:t>
      </w:r>
      <w:r>
        <w:rPr>
          <w:rFonts w:ascii="Arial" w:cs="Arial" w:eastAsia="Arial" w:hAnsi="Arial"/>
          <w:sz w:val="16"/>
          <w:szCs w:val="16"/>
          <w:i w:val="1"/>
          <w:iCs w:val="1"/>
          <w:color w:val="auto"/>
        </w:rPr>
        <w:t>e.g</w:t>
      </w:r>
      <w:r>
        <w:rPr>
          <w:rFonts w:ascii="Arial" w:cs="Arial" w:eastAsia="Arial" w:hAnsi="Arial"/>
          <w:sz w:val="16"/>
          <w:szCs w:val="16"/>
          <w:color w:val="auto"/>
        </w:rPr>
        <w:t>., achieving 90% of the performance target will lead to a payout of 75% of the target level cash incentive payment). Performance between 100% and</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120% of the respective target results in a payout on a sliding scale from 100% of the target level cash incentive payment for exactly meeting the performance target to 200% of the target level cash incentive payment for exceeding the performance target by 20% (</w:t>
      </w:r>
      <w:r>
        <w:rPr>
          <w:rFonts w:ascii="Arial" w:cs="Arial" w:eastAsia="Arial" w:hAnsi="Arial"/>
          <w:sz w:val="18"/>
          <w:szCs w:val="18"/>
          <w:i w:val="1"/>
          <w:iCs w:val="1"/>
          <w:color w:val="auto"/>
        </w:rPr>
        <w:t>e.g</w:t>
      </w:r>
      <w:r>
        <w:rPr>
          <w:rFonts w:ascii="Arial" w:cs="Arial" w:eastAsia="Arial" w:hAnsi="Arial"/>
          <w:sz w:val="18"/>
          <w:szCs w:val="18"/>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ind w:firstLine="432"/>
        <w:spacing w:after="0" w:line="291" w:lineRule="auto"/>
        <w:rPr>
          <w:sz w:val="20"/>
          <w:szCs w:val="20"/>
          <w:color w:val="auto"/>
        </w:rPr>
      </w:pPr>
      <w:r>
        <w:rPr>
          <w:rFonts w:ascii="Arial" w:cs="Arial" w:eastAsia="Arial" w:hAnsi="Arial"/>
          <w:sz w:val="16"/>
          <w:szCs w:val="16"/>
          <w:i w:val="1"/>
          <w:iCs w:val="1"/>
          <w:color w:val="auto"/>
        </w:rPr>
        <w:t xml:space="preserve">Corporate and Business Unit Financial Measures. </w:t>
      </w:r>
      <w:r>
        <w:rPr>
          <w:rFonts w:ascii="Arial" w:cs="Arial" w:eastAsia="Arial" w:hAnsi="Arial"/>
          <w:sz w:val="16"/>
          <w:szCs w:val="16"/>
          <w:color w:val="auto"/>
        </w:rPr>
        <w:t>The corporate performance portion of the annual cash incentive payment was based on our company-wide results for fiscal 2014 as measured by income from continuing operations before income taxes, as compared to a targeted level of the same financial measure for that period. The business unit performance portion of the annual cash incentive payment was based on an operational measure of business unit profitability for fiscal 2014 that measures product sales less the cost of materials including freight in, the freight costs to deliver the product to the customer and the selling costs as compared to a targeted level of such operational profitability for the respective business unit for that period. In each case, the targeted levels of performance were based on the level of anticipated performance that was derived from the company’s annual operating plan. The corporate and business unit financial goals for fiscal 2014 and the actual performance against those goals are summarized in the following table: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Threshold</w:t>
            </w:r>
          </w:p>
        </w:tc>
        <w:tc>
          <w:tcPr>
            <w:tcW w:w="2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14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Measure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60" w:type="dxa"/>
            <w:vAlign w:val="bottom"/>
          </w:tcPr>
          <w:p>
            <w:pPr>
              <w:spacing w:after="0"/>
              <w:rPr>
                <w:sz w:val="12"/>
                <w:szCs w:val="12"/>
                <w:color w:val="auto"/>
              </w:rPr>
            </w:pPr>
          </w:p>
        </w:tc>
        <w:tc>
          <w:tcPr>
            <w:tcW w:w="14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Level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Achieved</w:t>
            </w:r>
          </w:p>
        </w:tc>
        <w:tc>
          <w:tcPr>
            <w:tcW w:w="0" w:type="dxa"/>
            <w:vAlign w:val="bottom"/>
          </w:tcPr>
          <w:p>
            <w:pPr>
              <w:spacing w:after="0"/>
              <w:rPr>
                <w:sz w:val="1"/>
                <w:szCs w:val="1"/>
                <w:color w:val="auto"/>
              </w:rPr>
            </w:pPr>
          </w:p>
        </w:tc>
      </w:tr>
      <w:tr>
        <w:trPr>
          <w:trHeight w:val="228"/>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22,893,600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28,617,000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34,340,400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27,916,425</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Water Treatment Group Operational Profitability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Measure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20,104,800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25,131,000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30,157,200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25,352,264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Industrial Group Operational Profitability Measure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38,337,600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47,922,000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57,506,400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46,833,773</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 The Compensation Committee determined that income from continuing operations before income taxes was the best measure of overall corporate financial performance and that the operational profitability measures described above were the best measures of business unit financial performance.</w:t>
      </w:r>
    </w:p>
    <w:p>
      <w:pPr>
        <w:spacing w:after="0" w:line="53"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Because our income from continuing operations before income taxes was less than target level performance for the 2014 fiscal year, our named executive officers received 94% of the targeted payout under the corporate financial performance element of the annual cash incentive arrangement. Because business unit operational profitability performance for the Industrial segment was between threshold and target performance levels, Mr. Sevenich received 94% of his targeted payout under the applicable business unit financial measure. Because business unit operational profitability performance for the Water Treatment segment exceeded target performance levels, Mr. Keller received 102% of his targeted payout under the applicable business unit financial measure. While the Compensation Committee has discretion to adjust the size of the final payouts under the program, it has not done so.</w:t>
      </w:r>
    </w:p>
    <w:p>
      <w:pPr>
        <w:spacing w:after="0" w:line="30"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i w:val="1"/>
          <w:iCs w:val="1"/>
          <w:color w:val="auto"/>
        </w:rPr>
        <w:t xml:space="preserve">Individual Objectives. </w:t>
      </w:r>
      <w:r>
        <w:rPr>
          <w:rFonts w:ascii="Arial" w:cs="Arial" w:eastAsia="Arial" w:hAnsi="Arial"/>
          <w:sz w:val="17"/>
          <w:szCs w:val="17"/>
          <w:color w:val="auto"/>
        </w:rPr>
        <w:t>The Compensation Committee established multiple individual objectives for each executive officer for the fiscal year. The</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objectives for our Chief Executive Officer included overseeing strategic planning matters and business expansion matters. For our Chief Financial Officer, the individual objectives included supporting acquisition activities and overseeing significant information technology initiatives. For our General Counsel, the individual objectives included supporting acquisition activities and legal support to other business expansion activities. For our Vice President - Water Treatment Group, the individual objectives included business expansion initiatives and succession planning. For our Vice President - Industrial Group, the individual objectives included business expansion initiatives. The Compensation Committee consulted with our Chief Executive Officer for his assessment of the degree to which the other executive officers had met their respective individual objectives and then made its own determination as to the appropriate level of payout under these measures for each of the executive officers.</w:t>
      </w:r>
    </w:p>
    <w:p>
      <w:pPr>
        <w:spacing w:after="0" w:line="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Achievement of individual objectives is more qualitative and subjective than the assessment of financial measures. Messrs. Hawkins, Erstad, Keller and Sevenich and Ms. Pepski were awarded a target level annual cash incentive payment for individual objectives.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equity incentive compensation program is designed to:</w:t>
      </w:r>
    </w:p>
    <w:p>
      <w:pPr>
        <w:spacing w:after="0" w:line="198"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incentives for the retention of executive officers,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 under certain of the equity awards,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under the equity awards,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an equity incentive program comparable to those at competitive companies.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11" w:name="page12"/>
    <w:bookmarkEnd w:id="11"/>
    <w:p>
      <w:pPr>
        <w:ind w:right="160" w:firstLine="432"/>
        <w:spacing w:after="0" w:line="276" w:lineRule="auto"/>
        <w:rPr>
          <w:sz w:val="20"/>
          <w:szCs w:val="20"/>
          <w:color w:val="auto"/>
        </w:rPr>
      </w:pPr>
      <w:r>
        <w:rPr>
          <w:rFonts w:ascii="Arial" w:cs="Arial" w:eastAsia="Arial" w:hAnsi="Arial"/>
          <w:sz w:val="17"/>
          <w:szCs w:val="17"/>
          <w:color w:val="auto"/>
        </w:rPr>
        <w:t>In fiscal 2014, as had been the case in each of the prior two fiscal years,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company last granted stock option awards to named executive officers in fiscal 2010. The Compensation Committee determined, with the assistance of McLagan, to continue granting performance-based restricted stock units to our executives so that a significant portion of the executive’s compensation would be performance-based.</w:t>
      </w:r>
    </w:p>
    <w:p>
      <w:pPr>
        <w:spacing w:after="0" w:line="3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For fiscal 2014, each named executive officer’s target level restricted stock unit grant was based on a percentage of the executive’s base salary, which was converted into a target number of units based on the closing market price of a share of our common stock on the date of grant. These grants, made in May 2013, provided that each named executive officer would receive a number of restricted shares of our common stock based on our performance during the fiscal year against the same pre-tax income from continuing operations goal used in the annual non-equity incentive program described above.</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actual number of restricted stock units that would vest and be settled on a one-for-one basis in restricted shares was based on a sliding scale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relevant income above or below the target level, and was subject to minimum threshold and maximum settlement amounts. For fiscal 2014, the target was 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$28,616,857, the same level as our target used for our non-equity incentive plan arrangement described above, while our actual performance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$27,916,425. If our actual results were less than 80% of the target in fiscal 2014, then no executive officer would have received any restricted shares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settlement of performance-based restricted stock units. If our actual results were between 80% and 100% of the target in fiscal 2014, then a number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units would have vested and been settled in restricted shares based on a sliding scale between 50% and 100% of the target number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units. If our actual results were between 100% and 120% of the target in fiscal 2014, then a number of restricted stock units would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vested and been settled in restricted shares based on a sliding scale between 100% and 150% of the target number of restricted stock units. Because our actual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were less than 100% of the target in fiscal 2014, the named executive officers each received restricted shares equal to 94% of the target number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Compensation Committee established the following performance-based restricted stock unit award amounts for the executive officers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4"/>
              </w:rPr>
              <w:t>Target % of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Units Vested and</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Minimum</w:t>
            </w:r>
          </w:p>
        </w:tc>
        <w:tc>
          <w:tcPr>
            <w:tcW w:w="120" w:type="dxa"/>
            <w:vAlign w:val="bottom"/>
            <w:vMerge w:val="restart"/>
          </w:tcPr>
          <w:p>
            <w:pPr>
              <w:spacing w:after="0"/>
              <w:rPr>
                <w:sz w:val="12"/>
                <w:szCs w:val="12"/>
                <w:color w:val="auto"/>
              </w:rPr>
            </w:pPr>
          </w:p>
        </w:tc>
        <w:tc>
          <w:tcPr>
            <w:tcW w:w="14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Target</w:t>
            </w:r>
          </w:p>
        </w:tc>
        <w:tc>
          <w:tcPr>
            <w:tcW w:w="100" w:type="dxa"/>
            <w:vAlign w:val="bottom"/>
            <w:vMerge w:val="restart"/>
          </w:tcPr>
          <w:p>
            <w:pPr>
              <w:spacing w:after="0"/>
              <w:rPr>
                <w:sz w:val="12"/>
                <w:szCs w:val="12"/>
                <w:color w:val="auto"/>
              </w:rPr>
            </w:pPr>
          </w:p>
        </w:tc>
        <w:tc>
          <w:tcPr>
            <w:tcW w:w="14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Maximum</w:t>
            </w:r>
          </w:p>
        </w:tc>
        <w:tc>
          <w:tcPr>
            <w:tcW w:w="120" w:type="dxa"/>
            <w:vAlign w:val="bottom"/>
            <w:vMerge w:val="restart"/>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Shares</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0"/>
              </w:rPr>
              <w:t>Base Salary</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Actually Issued</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CEO</w:t>
            </w: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60%</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6,227</w:t>
            </w:r>
          </w:p>
        </w:tc>
        <w:tc>
          <w:tcPr>
            <w:tcW w:w="12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Counsel</w:t>
            </w: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rPr>
                <w:sz w:val="20"/>
                <w:szCs w:val="20"/>
                <w:color w:val="auto"/>
              </w:rPr>
            </w:pPr>
            <w:r>
              <w:rPr>
                <w:rFonts w:ascii="Arial" w:cs="Arial" w:eastAsia="Arial" w:hAnsi="Arial"/>
                <w:sz w:val="18"/>
                <w:szCs w:val="18"/>
                <w:color w:val="auto"/>
              </w:rPr>
              <w:t>Vice President - Industrial Group</w:t>
            </w: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60%</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5,467</w:t>
            </w:r>
          </w:p>
        </w:tc>
        <w:tc>
          <w:tcPr>
            <w:tcW w:w="12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Water Treatment Group</w:t>
            </w: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4,953</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Compensation Committee established the targeted performance-based restricted stock unit award for each of the executive officers based on a percentage of each officer’s base salary, divided by the closing stock price on the date of grant. The percentages were based the Compensation Committee’s assessment of the relative scope of his or her responsibilities and the resulting ability of the individual to impact the company’s performance, as well as information provided by McLagan.</w:t>
      </w:r>
    </w:p>
    <w:p>
      <w:pPr>
        <w:spacing w:after="0" w:line="52"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actual number of restricted shares issued to each of the executive officers was determined after our audited financial information became available for fiscal 2014. The restricted shares will vest 100% two years after the end of fiscal 2014. The restricted shares will terminate in their entirety if the executive officer departs the company before the end of the vesting period other than in cases of death or disability.</w:t>
      </w:r>
    </w:p>
    <w:p>
      <w:pPr>
        <w:spacing w:after="0" w:line="30"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In the event of a “fundamental change” (as defined below) involving the Company, each performance-based restricted stock unit award will vest immediately at 100% of its target if the Compensation Committee determines that the fundamental change will not result in the continuation of the performance-based restricted stock unit award. Any outstanding shares of restricted stock issued in settlement of vested performance-based restricted stock unit awards will also immediately vest under the same circumstances. If a performance-based restricted stock unit award is continued after a fundamental change, but, in connection with the fundamental change, an executive is terminated without cause or resigns for good reason, then the performance-based restricted stock unit award or any restricted stock issued in settlement of vested performance-based restricted stock unit awards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2010 Omnibus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Incentive Plan, “fundamental change” generally includes any one of the following, unless otherwise provided in an award agreement:</w:t>
      </w:r>
    </w:p>
    <w:p>
      <w:pPr>
        <w:spacing w:after="0" w:line="117"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23" w:lineRule="exact"/>
        <w:rPr>
          <w:rFonts w:ascii="Arial" w:cs="Arial" w:eastAsia="Arial" w:hAnsi="Arial"/>
          <w:sz w:val="18"/>
          <w:szCs w:val="18"/>
          <w:color w:val="auto"/>
        </w:rPr>
      </w:pPr>
    </w:p>
    <w:p>
      <w:pPr>
        <w:ind w:left="740" w:right="14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of Directors.</w:t>
      </w:r>
    </w:p>
    <w:p>
      <w:pPr>
        <w:spacing w:after="0" w:line="15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2010 Omnibus Incentive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90"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All of our executive officers participate in our Profit Sharing Plan, which includes a 401(k) component, which is generally available to all other non-bargaining unit employees. Historically, our executive officers have also participated in our Employee Stock Ownership Plan, or ESOP, but executive participation in that plan was suspended in 2008 and started again in fiscal 2013. Contributions to the Profit Sharing Plan and ESOP by us on behalf of our executive officers have been a key component of our retention objectives since the contributed benefits initially vest over a six-year period.</w:t>
      </w:r>
    </w:p>
    <w:p>
      <w:pPr>
        <w:spacing w:after="0" w:line="46" w:lineRule="exact"/>
        <w:rPr>
          <w:sz w:val="20"/>
          <w:szCs w:val="20"/>
          <w:color w:val="auto"/>
        </w:rPr>
      </w:pPr>
    </w:p>
    <w:p>
      <w:pPr>
        <w:ind w:right="60" w:firstLine="432"/>
        <w:spacing w:after="0" w:line="334" w:lineRule="auto"/>
        <w:rPr>
          <w:sz w:val="20"/>
          <w:szCs w:val="20"/>
          <w:color w:val="auto"/>
        </w:rPr>
      </w:pPr>
      <w:r>
        <w:rPr>
          <w:rFonts w:ascii="Arial" w:cs="Arial" w:eastAsia="Arial" w:hAnsi="Arial"/>
          <w:sz w:val="16"/>
          <w:szCs w:val="16"/>
          <w:color w:val="auto"/>
        </w:rPr>
        <w:t>Under the plans, our executive officers participate on the same terms as all other eligible employees, with the annual compensation that was used to determine plan benefits being capped at $255,000 for fiscal 2014. This limit will be adjusted in future years under federal tax law for cost-of-living increases.</w:t>
      </w:r>
    </w:p>
    <w:p>
      <w:pPr>
        <w:spacing w:after="0" w:line="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Under our Profit Sharing Plan, we contributed a percentage of each eligible participant’s compensation to an account maintained for the participant under the plan. In fiscal 2014, we made contributions to the Profit Sharing Plan equal to 5% of each participant’s compensation in the plan year, subject to the cap on the plan benefits, resulting in a contribution of $12,750 on behalf of each named executive officer. Participants may also participate in the 401(k) component of the Profit Sharing Plan under which employee contributions are matched by the company up to a maximum of five percent of the participant’s eligible earnings. Participant accounts are credited with the appropriate gains or losses resulting from employee-directed investments made by the plan.</w:t>
      </w:r>
    </w:p>
    <w:p>
      <w:pPr>
        <w:spacing w:after="0" w:line="23" w:lineRule="exact"/>
        <w:rPr>
          <w:sz w:val="20"/>
          <w:szCs w:val="20"/>
          <w:color w:val="auto"/>
        </w:rPr>
      </w:pPr>
    </w:p>
    <w:p>
      <w:pPr>
        <w:jc w:val="both"/>
        <w:ind w:right="220" w:firstLine="351"/>
        <w:spacing w:after="0" w:line="279" w:lineRule="auto"/>
        <w:rPr>
          <w:sz w:val="20"/>
          <w:szCs w:val="20"/>
          <w:color w:val="auto"/>
        </w:rPr>
      </w:pPr>
      <w:r>
        <w:rPr>
          <w:rFonts w:ascii="Arial" w:cs="Arial" w:eastAsia="Arial" w:hAnsi="Arial"/>
          <w:sz w:val="17"/>
          <w:szCs w:val="17"/>
          <w:color w:val="auto"/>
        </w:rPr>
        <w:t>Under our ESOP, we may contribute a percentage of each eligible participant’s compensation to the plan, which is then credited to individual accounts maintained for participants under the plan. Contributions are made at the discretion of our Board of Directors. In fiscal 2014, we made contributions to this plan equal to 5% of each participant’s eligible compensation in the plan year, resulting in a contribution of $12,750 on behalf of each executive officer. Participant accounts are credited with the appropriate gains or losses resulting from the investments made by the plan.</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ind w:right="380" w:firstLine="432"/>
        <w:spacing w:after="0" w:line="334" w:lineRule="auto"/>
        <w:rPr>
          <w:sz w:val="20"/>
          <w:szCs w:val="20"/>
          <w:color w:val="auto"/>
        </w:rPr>
      </w:pPr>
      <w:r>
        <w:rPr>
          <w:rFonts w:ascii="Arial" w:cs="Arial" w:eastAsia="Arial" w:hAnsi="Arial"/>
          <w:sz w:val="16"/>
          <w:szCs w:val="16"/>
          <w:color w:val="auto"/>
        </w:rPr>
        <w:t>The Compensation Committee believes that we must offer a competitive benefits program to attract and retain our executive officers. During fiscal 2014, we provided medical and other health and welfare benefits to our executive officers that are generally available to our other employees.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only perquisite we offer to our executive officers is the personal use of a company car.</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Deductibility of Compensation</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w:t>
      </w:r>
    </w:p>
    <w:p>
      <w:pPr>
        <w:spacing w:after="0" w:line="52"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Certain kinds of compensation, including qualified “performance-based compensation,” are disregarded for purposes of the deduction limitation. In order to qualify as “performance-based compensation” for Section 162(m) purposes, compensation must satisfy certain requirements, including that the vesting and payment of such compensation must generally be conditioned upon the satisfaction over a specified performance period of pre-established objective performance goals set by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65" w:right="25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Compensation Committee. The Compensation Committee believes that no named executive officer exceeded the $1.0 million limit during fiscal 2014.</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Arising from Compensation Policies and Practices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management’s analysis and conclusions.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46" w:lineRule="exact"/>
        <w:rPr>
          <w:sz w:val="20"/>
          <w:szCs w:val="20"/>
          <w:color w:val="auto"/>
        </w:rPr>
      </w:pPr>
    </w:p>
    <w:p>
      <w:pPr>
        <w:ind w:left="1560"/>
        <w:spacing w:after="0"/>
        <w:tabs>
          <w:tab w:leader="none" w:pos="3900" w:val="left"/>
          <w:tab w:leader="none" w:pos="5760" w:val="left"/>
          <w:tab w:leader="none" w:pos="8640" w:val="left"/>
        </w:tabs>
        <w:rPr>
          <w:sz w:val="20"/>
          <w:szCs w:val="20"/>
          <w:color w:val="auto"/>
        </w:rPr>
      </w:pPr>
      <w:r>
        <w:rPr>
          <w:rFonts w:ascii="Arial" w:cs="Arial" w:eastAsia="Arial" w:hAnsi="Arial"/>
          <w:sz w:val="18"/>
          <w:szCs w:val="18"/>
          <w:i w:val="1"/>
          <w:iCs w:val="1"/>
          <w:color w:val="auto"/>
        </w:rPr>
        <w:t>James T. Thompson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Mary J. Schumacher Daryl I. Skaar</w:t>
      </w:r>
      <w:r>
        <w:rPr>
          <w:sz w:val="20"/>
          <w:szCs w:val="20"/>
          <w:color w:val="auto"/>
        </w:rPr>
        <w:tab/>
      </w:r>
      <w:r>
        <w:rPr>
          <w:rFonts w:ascii="Arial" w:cs="Arial" w:eastAsia="Arial" w:hAnsi="Arial"/>
          <w:sz w:val="16"/>
          <w:szCs w:val="16"/>
          <w:i w:val="1"/>
          <w:iCs w:val="1"/>
          <w:color w:val="auto"/>
        </w:rPr>
        <w:t>Jeffrey L. Wright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sets forth the compensation of our Chief Executive Officer, Chief Financial Officer and the three other highest paid executive officers (collectively, the “named executive officers”).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Salary</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vMerge w:val="continue"/>
          </w:tcPr>
          <w:p>
            <w:pPr>
              <w:spacing w:after="0"/>
              <w:rPr>
                <w:sz w:val="12"/>
                <w:szCs w:val="12"/>
                <w:color w:val="auto"/>
              </w:rPr>
            </w:pPr>
          </w:p>
        </w:tc>
        <w:tc>
          <w:tcPr>
            <w:tcW w:w="11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7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($)(a)</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358,885</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324,455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205,712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52,964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942,016</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345,833</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315,014</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194,880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44,388</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900,115</w:t>
            </w:r>
          </w:p>
        </w:tc>
        <w:tc>
          <w:tcPr>
            <w:tcW w:w="0" w:type="dxa"/>
            <w:vAlign w:val="bottom"/>
          </w:tcPr>
          <w:p>
            <w:pPr>
              <w:spacing w:after="0"/>
              <w:rPr>
                <w:sz w:val="1"/>
                <w:szCs w:val="1"/>
                <w:color w:val="auto"/>
              </w:rPr>
            </w:pPr>
          </w:p>
        </w:tc>
      </w:tr>
      <w:tr>
        <w:trPr>
          <w:trHeight w:val="277"/>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317,500</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292,500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228,025</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47,015</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885,040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Kathleen P. Pepski</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277,192</w:t>
            </w: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167,118</w:t>
            </w:r>
          </w:p>
        </w:tc>
        <w:tc>
          <w:tcPr>
            <w:tcW w:w="1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105,947</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52,382</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602,639</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Vice President, Chief Financial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266,733</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162,013</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102,384</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44,394</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575,524</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Officer and Treasurer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248,667</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150,240</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105,104</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46,485</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550,496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248,038</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149,690</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71,186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48,784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517,698</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General Counsel</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239,125</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145,211</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67,373</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44,125</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495,834</w:t>
            </w:r>
          </w:p>
        </w:tc>
        <w:tc>
          <w:tcPr>
            <w:tcW w:w="0" w:type="dxa"/>
            <w:vAlign w:val="bottom"/>
          </w:tcPr>
          <w:p>
            <w:pPr>
              <w:spacing w:after="0"/>
              <w:rPr>
                <w:sz w:val="1"/>
                <w:szCs w:val="1"/>
                <w:color w:val="auto"/>
              </w:rPr>
            </w:pPr>
          </w:p>
        </w:tc>
      </w:tr>
      <w:tr>
        <w:trPr>
          <w:trHeight w:val="277"/>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and Secretary</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233,125</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140,850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73,901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50,573</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498,449</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John R. Sevenich</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243,346</w:t>
            </w: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146,711</w:t>
            </w:r>
          </w:p>
        </w:tc>
        <w:tc>
          <w:tcPr>
            <w:tcW w:w="1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93,186</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42,921</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526,164</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Vice President – Industrial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235,833</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142,207</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85,434</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35,161</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498,635</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Group</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138,000</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86,322</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40,838</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495,160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220,500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132,906</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87,212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46,840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487,458</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 Water</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215,000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129,003</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94,497</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38,748</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477,248</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Treatment Group</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40" w:hanging="412"/>
        <w:spacing w:after="0" w:line="25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7,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2014 for a description of our accounting for these awards and the assumptions used in valuing the awards.</w:t>
      </w:r>
    </w:p>
    <w:p>
      <w:pPr>
        <w:spacing w:after="0" w:line="51" w:lineRule="exact"/>
        <w:rPr>
          <w:rFonts w:ascii="Arial" w:cs="Arial" w:eastAsia="Arial" w:hAnsi="Arial"/>
          <w:sz w:val="18"/>
          <w:szCs w:val="18"/>
          <w:color w:val="auto"/>
        </w:rPr>
      </w:pPr>
    </w:p>
    <w:p>
      <w:pPr>
        <w:ind w:left="420" w:right="120" w:hanging="412"/>
        <w:spacing w:after="0" w:line="25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amount shown reflects the grant date fair value of a performance based restricted stock unit award granted during the respective fiscal year, with such value computed based on the estimated probable outcome of the applicable performance conditions as of the grant date. The grant date fair values of the performance-based restricted unit awards granted in fiscal 2014, as reported, and assuming the highest level of performance conditions would be achieved, are set forth below.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5" w:right="239" w:bottom="1440" w:gutter="0" w:footer="0" w:header="0"/>
        </w:sectPr>
      </w:pPr>
    </w:p>
    <w:bookmarkStart w:id="14" w:name="page15"/>
    <w:bookmarkEnd w:id="14"/>
    <w:tbl>
      <w:tblPr>
        <w:tblLayout w:type="fixed"/>
        <w:tblInd w:w="420" w:type="dxa"/>
        <w:tblCellMar>
          <w:top w:w="0" w:type="dxa"/>
          <w:left w:w="0" w:type="dxa"/>
          <w:bottom w:w="0" w:type="dxa"/>
          <w:right w:w="0" w:type="dxa"/>
        </w:tblCellMar>
      </w:tblPr>
      <w:tr>
        <w:trPr>
          <w:trHeight w:val="19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 Reported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Maximum Amount</w:t>
            </w: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486,683</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167,118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250,677</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224,535</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146,711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220,067</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199,359</w:t>
            </w:r>
          </w:p>
        </w:tc>
      </w:tr>
      <w:tr>
        <w:trPr>
          <w:trHeight w:val="27"/>
        </w:trPr>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left="420" w:hanging="412"/>
        <w:spacing w:after="0" w:line="26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the description of target levels corporate performance, business unit performance and individual objectives, as described under “Annual Non-Equity Incentive Compensation” in the Compensation Discussion and Analysis above. All of the amounts reported for fiscal 2014 were paid in fiscal 2015 after we completed our annual audit.</w:t>
      </w:r>
    </w:p>
    <w:p>
      <w:pPr>
        <w:spacing w:after="0" w:line="46"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reported for fiscal 2014 include:</w:t>
      </w:r>
    </w:p>
    <w:p>
      <w:pPr>
        <w:spacing w:after="0" w:line="23" w:lineRule="exact"/>
        <w:rPr>
          <w:rFonts w:ascii="Arial" w:cs="Arial" w:eastAsia="Arial" w:hAnsi="Arial"/>
          <w:sz w:val="18"/>
          <w:szCs w:val="18"/>
          <w:color w:val="auto"/>
        </w:rPr>
      </w:pPr>
    </w:p>
    <w:p>
      <w:pPr>
        <w:ind w:left="740" w:right="20" w:hanging="327"/>
        <w:spacing w:after="0" w:line="261" w:lineRule="auto"/>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Contributions by the company on behalf of each of each of our named executive officers to our Profit Sharing Plan and Employee Stock Ownership Plan and employer matching contributions to our 401(k) as set forth below.</w:t>
      </w:r>
    </w:p>
    <w:p>
      <w:pPr>
        <w:spacing w:after="0" w:line="109"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Profit Sharing Plan</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Employee Stock</w:t>
            </w:r>
          </w:p>
        </w:tc>
        <w:tc>
          <w:tcPr>
            <w:tcW w:w="180" w:type="dxa"/>
            <w:vAlign w:val="bottom"/>
          </w:tcPr>
          <w:p>
            <w:pPr>
              <w:spacing w:after="0"/>
              <w:rPr>
                <w:sz w:val="14"/>
                <w:szCs w:val="14"/>
                <w:color w:val="auto"/>
              </w:rPr>
            </w:pPr>
          </w:p>
        </w:tc>
        <w:tc>
          <w:tcPr>
            <w:tcW w:w="17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Employer Matching</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Ownership Plan</w:t>
            </w:r>
          </w:p>
        </w:tc>
        <w:tc>
          <w:tcPr>
            <w:tcW w:w="1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Contribution</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7"/>
              </w:rPr>
              <w:t>Contribution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Contribution to 401(k)</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13,616</w:t>
            </w:r>
          </w:p>
        </w:tc>
        <w:tc>
          <w:tcPr>
            <w:tcW w:w="0" w:type="dxa"/>
            <w:vAlign w:val="bottom"/>
          </w:tcPr>
          <w:p>
            <w:pPr>
              <w:spacing w:after="0"/>
              <w:rPr>
                <w:sz w:val="1"/>
                <w:szCs w:val="1"/>
                <w:color w:val="auto"/>
              </w:rPr>
            </w:pPr>
          </w:p>
        </w:tc>
      </w:tr>
      <w:tr>
        <w:trPr>
          <w:trHeight w:val="243"/>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13,932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43"/>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14,041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120" w:hanging="327"/>
        <w:spacing w:after="0" w:line="286"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remaining amount included for each individual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This amount is not grossed up for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Estimated Possible Payouts Under</w:t>
            </w:r>
          </w:p>
        </w:tc>
        <w:tc>
          <w:tcPr>
            <w:tcW w:w="3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4"/>
              </w:rPr>
              <w:t>Non-Equity Incentive Plan Awards(a)</w:t>
            </w:r>
          </w:p>
        </w:tc>
        <w:tc>
          <w:tcPr>
            <w:tcW w:w="120" w:type="dxa"/>
            <w:vAlign w:val="bottom"/>
            <w:vMerge w:val="restart"/>
          </w:tcPr>
          <w:p>
            <w:pPr>
              <w:spacing w:after="0"/>
              <w:rPr>
                <w:sz w:val="5"/>
                <w:szCs w:val="5"/>
                <w:color w:val="auto"/>
              </w:rPr>
            </w:pPr>
          </w:p>
        </w:tc>
        <w:tc>
          <w:tcPr>
            <w:tcW w:w="3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6"/>
              </w:rPr>
              <w:t>Equity Incentive Plan Awards(b)</w:t>
            </w: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40" w:type="dxa"/>
            <w:vAlign w:val="bottom"/>
            <w:tcBorders>
              <w:bottom w:val="single" w:sz="8" w:color="auto"/>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240" w:type="dxa"/>
            <w:vAlign w:val="bottom"/>
            <w:tcBorders>
              <w:bottom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53"/>
        </w:trPr>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1140" w:type="dxa"/>
            <w:vAlign w:val="bottom"/>
          </w:tcPr>
          <w:p>
            <w:pPr>
              <w:ind w:left="380"/>
              <w:spacing w:after="0" w:line="153" w:lineRule="exact"/>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3"/>
                <w:szCs w:val="13"/>
                <w:color w:val="auto"/>
              </w:rPr>
            </w:pPr>
          </w:p>
        </w:tc>
        <w:tc>
          <w:tcPr>
            <w:tcW w:w="11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Threshold</w:t>
            </w: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Target</w:t>
            </w:r>
          </w:p>
        </w:tc>
        <w:tc>
          <w:tcPr>
            <w:tcW w:w="11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Maximum</w:t>
            </w:r>
          </w:p>
        </w:tc>
        <w:tc>
          <w:tcPr>
            <w:tcW w:w="11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Threshold</w:t>
            </w: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Target</w:t>
            </w:r>
          </w:p>
        </w:tc>
        <w:tc>
          <w:tcPr>
            <w:tcW w:w="100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5/30/2013</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108,150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216,300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432,600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5/30/2013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4,030</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8,061</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12,091</w:t>
            </w:r>
          </w:p>
        </w:tc>
        <w:tc>
          <w:tcPr>
            <w:tcW w:w="1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324,455</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5/30/2013</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55,700</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111,400</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222,800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5/30/2013</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4,152</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6,227</w:t>
            </w:r>
          </w:p>
        </w:tc>
        <w:tc>
          <w:tcPr>
            <w:tcW w:w="1700" w:type="dxa"/>
            <w:vAlign w:val="bottom"/>
            <w:gridSpan w:val="2"/>
          </w:tcPr>
          <w:p>
            <w:pPr>
              <w:jc w:val="right"/>
              <w:ind w:right="48"/>
              <w:spacing w:after="0"/>
              <w:rPr>
                <w:sz w:val="20"/>
                <w:szCs w:val="20"/>
                <w:color w:val="auto"/>
              </w:rPr>
            </w:pPr>
            <w:r>
              <w:rPr>
                <w:rFonts w:ascii="Arial" w:cs="Arial" w:eastAsia="Arial" w:hAnsi="Arial"/>
                <w:sz w:val="18"/>
                <w:szCs w:val="18"/>
                <w:color w:val="auto"/>
              </w:rPr>
              <w:t>167,118</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5/30/2013</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37,425</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74,850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149,700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5/30/2013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3,719</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5,579</w:t>
            </w:r>
          </w:p>
        </w:tc>
        <w:tc>
          <w:tcPr>
            <w:tcW w:w="1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149,690</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5/30/2013</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48,900</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97,800</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195,600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5/30/2013</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3,645</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5,467</w:t>
            </w:r>
          </w:p>
        </w:tc>
        <w:tc>
          <w:tcPr>
            <w:tcW w:w="1700" w:type="dxa"/>
            <w:vAlign w:val="bottom"/>
            <w:gridSpan w:val="2"/>
          </w:tcPr>
          <w:p>
            <w:pPr>
              <w:jc w:val="right"/>
              <w:ind w:right="48"/>
              <w:spacing w:after="0"/>
              <w:rPr>
                <w:sz w:val="20"/>
                <w:szCs w:val="20"/>
                <w:color w:val="auto"/>
              </w:rPr>
            </w:pPr>
            <w:r>
              <w:rPr>
                <w:rFonts w:ascii="Arial" w:cs="Arial" w:eastAsia="Arial" w:hAnsi="Arial"/>
                <w:sz w:val="18"/>
                <w:szCs w:val="18"/>
                <w:color w:val="auto"/>
              </w:rPr>
              <w:t>146,711</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5/30/2013</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44,300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88,600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177,200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5/30/2013</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3,302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4,953</w:t>
            </w:r>
          </w:p>
        </w:tc>
        <w:tc>
          <w:tcPr>
            <w:tcW w:w="17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132,906</w:t>
            </w:r>
          </w:p>
        </w:tc>
        <w:tc>
          <w:tcPr>
            <w:tcW w:w="0" w:type="dxa"/>
            <w:vAlign w:val="bottom"/>
          </w:tcPr>
          <w:p>
            <w:pPr>
              <w:spacing w:after="0"/>
              <w:rPr>
                <w:sz w:val="1"/>
                <w:szCs w:val="1"/>
                <w:color w:val="auto"/>
              </w:rPr>
            </w:pPr>
          </w:p>
        </w:tc>
      </w:tr>
      <w:tr>
        <w:trPr>
          <w:trHeight w:val="27"/>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20" w:right="220" w:hanging="412"/>
        <w:spacing w:after="0" w:line="26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arrangement for fiscal 2014. Potential payments are based on specified levels of performance against corporate, business unit and individual objectives, as described under “Annual Non-Equity Incentive Compensation” in the Compensation Discussion and Analysis.</w:t>
      </w:r>
    </w:p>
    <w:p>
      <w:pPr>
        <w:spacing w:after="0" w:line="46" w:lineRule="exact"/>
        <w:rPr>
          <w:rFonts w:ascii="Arial" w:cs="Arial" w:eastAsia="Arial" w:hAnsi="Arial"/>
          <w:sz w:val="18"/>
          <w:szCs w:val="18"/>
          <w:color w:val="auto"/>
        </w:rPr>
      </w:pPr>
    </w:p>
    <w:p>
      <w:pPr>
        <w:ind w:left="420" w:right="40"/>
        <w:spacing w:after="0" w:line="276" w:lineRule="auto"/>
        <w:rPr>
          <w:rFonts w:ascii="Arial" w:cs="Arial" w:eastAsia="Arial" w:hAnsi="Arial"/>
          <w:sz w:val="18"/>
          <w:szCs w:val="18"/>
          <w:color w:val="auto"/>
        </w:rPr>
      </w:pPr>
      <w:r>
        <w:rPr>
          <w:rFonts w:ascii="Arial" w:cs="Arial" w:eastAsia="Arial" w:hAnsi="Arial"/>
          <w:sz w:val="17"/>
          <w:szCs w:val="17"/>
          <w:color w:val="auto"/>
        </w:rPr>
        <w:t>The actual amounts earned for fiscal 2014 are the sole components of “Non-Equity Incentive Plan Compensation” in the Summary Compensation Table above. Except in the case of death or retirement, executives must be employed on the date the payments are made (typically in June of each year with respect to the most recently completed fiscal year) to be eligible for a payment. The threshold, target and maximum payments are based on the plan’s requirements, which were 30%, 60% and 120% of base salary, respectively, for our CEO; 15%, 30% and 60% of base salary, respectively, for our General Counsel; and 20%, 40% and 80% of base salary, respectively, for the other named executive officers.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6" w:right="259" w:bottom="1440" w:gutter="0" w:footer="0" w:header="0"/>
        </w:sectPr>
      </w:pPr>
    </w:p>
    <w:bookmarkStart w:id="15" w:name="page16"/>
    <w:bookmarkEnd w:id="15"/>
    <w:p>
      <w:pPr>
        <w:ind w:left="420" w:hanging="412"/>
        <w:spacing w:after="0" w:line="255"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Awards represent potential issuances of shares of restricted stock in settlement of performance-based restricted stock unit awards granted for fiscal 2014. The number of restricted shares to be issued was based on the degree to which we achieved specified levels of income from continuing operations before taxes during fiscal 2013. See “Equity Awards” in the Compensation Discussion and Analysis for the performance goals applicable to the performance-based restricted stock units granted for performance in fiscal 2014. Additional terms of the outstanding performance-based restricted stock units are described in Note (a) to the Outstanding Equity Awards table. The number of restricted shares actually granted to each individual for fiscal 2014 performance was approximately 94% of target, and is as follows: Mr. Hawkins,7,568 shares; Ms. Pepski, 3,898 shares; Mr. Erstad, 3,492 shares; Mr. Sevenich, 3,422 shares; and Mr. Keller, 3,100 shares.</w:t>
      </w:r>
    </w:p>
    <w:p>
      <w:pPr>
        <w:spacing w:after="0" w:line="54" w:lineRule="exact"/>
        <w:rPr>
          <w:rFonts w:ascii="Arial" w:cs="Arial" w:eastAsia="Arial" w:hAnsi="Arial"/>
          <w:sz w:val="18"/>
          <w:szCs w:val="18"/>
          <w:color w:val="auto"/>
        </w:rPr>
      </w:pPr>
    </w:p>
    <w:p>
      <w:pPr>
        <w:ind w:left="420" w:right="60" w:hanging="412"/>
        <w:spacing w:after="0" w:line="25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2014 Fiscal Year-End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concerning outstanding equity awards held by our named executive officers as of March 30, 2014.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2"/>
              </w:rPr>
              <w:t>Option Awards</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881"/>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8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 of</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or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Units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that</w:t>
            </w:r>
          </w:p>
        </w:tc>
        <w:tc>
          <w:tcPr>
            <w:tcW w:w="0" w:type="dxa"/>
            <w:vAlign w:val="bottom"/>
          </w:tcPr>
          <w:p>
            <w:pPr>
              <w:spacing w:after="0"/>
              <w:rPr>
                <w:sz w:val="1"/>
                <w:szCs w:val="1"/>
                <w:color w:val="auto"/>
              </w:rPr>
            </w:pPr>
          </w:p>
        </w:tc>
      </w:tr>
      <w:tr>
        <w:trPr>
          <w:trHeight w:val="149"/>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 (#)</w:t>
            </w:r>
          </w:p>
        </w:tc>
        <w:tc>
          <w:tcPr>
            <w:tcW w:w="18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Options (#)</w:t>
            </w: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4"/>
              </w:rPr>
              <w:t>Price ($)</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Vested ($)(b)</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24,875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899,480</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462,595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11,647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421,156</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9,333 (c)</w:t>
            </w:r>
          </w:p>
        </w:tc>
        <w:tc>
          <w:tcPr>
            <w:tcW w:w="18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6/10/2019</w:t>
            </w:r>
          </w:p>
        </w:tc>
        <w:tc>
          <w:tcPr>
            <w:tcW w:w="12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11,410</w:t>
            </w:r>
          </w:p>
        </w:tc>
        <w:tc>
          <w:tcPr>
            <w:tcW w:w="10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412,586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6,656</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240,681</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right="120" w:hanging="412"/>
        <w:spacing w:after="0" w:line="281"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shares of restricted stock actually issued in settlement of the performance-based restricted stock unit awards granted for fiscal years 2012, 2013 and 2014. The restricted shares vest 100% two years after the last day of the fiscal year for which the restricted stock units were awarded. The shares granted for fiscal 2012 will vest on April 1, 2014, the shares granted for fiscal 2013 will vest on March 31,2015 and the shares granted for fiscal</w:t>
      </w:r>
    </w:p>
    <w:p>
      <w:pPr>
        <w:spacing w:after="0" w:line="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2014 will vest on March 30, 2016. The number of restricted shares vesting on each of those dates for each of the named executive officers is as follows:</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9"/>
              </w:rPr>
              <w:t>Number of Shares Vesting on:</w:t>
            </w:r>
          </w:p>
        </w:tc>
        <w:tc>
          <w:tcPr>
            <w:tcW w:w="1540" w:type="dxa"/>
            <w:vAlign w:val="bottom"/>
            <w:tcBorders>
              <w:bottom w:val="single" w:sz="8" w:color="auto"/>
            </w:tcBorders>
          </w:tcPr>
          <w:p>
            <w:pPr>
              <w:spacing w:after="0"/>
              <w:rPr>
                <w:sz w:val="16"/>
                <w:szCs w:val="16"/>
                <w:color w:val="auto"/>
              </w:rPr>
            </w:pPr>
          </w:p>
        </w:tc>
      </w:tr>
      <w:tr>
        <w:trPr>
          <w:trHeight w:val="26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April 1, 2014</w:t>
            </w:r>
          </w:p>
        </w:tc>
        <w:tc>
          <w:tcPr>
            <w:tcW w:w="18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March 30, 2016</w:t>
            </w: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8,623</w:t>
            </w:r>
          </w:p>
        </w:tc>
        <w:tc>
          <w:tcPr>
            <w:tcW w:w="1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8,684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7,568</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4,429</w:t>
            </w:r>
          </w:p>
        </w:tc>
        <w:tc>
          <w:tcPr>
            <w:tcW w:w="1760" w:type="dxa"/>
            <w:vAlign w:val="bottom"/>
            <w:gridSpan w:val="2"/>
          </w:tcPr>
          <w:p>
            <w:pPr>
              <w:jc w:val="right"/>
              <w:ind w:right="28"/>
              <w:spacing w:after="0"/>
              <w:rPr>
                <w:sz w:val="20"/>
                <w:szCs w:val="20"/>
                <w:color w:val="auto"/>
              </w:rPr>
            </w:pPr>
            <w:r>
              <w:rPr>
                <w:rFonts w:ascii="Arial" w:cs="Arial" w:eastAsia="Arial" w:hAnsi="Arial"/>
                <w:sz w:val="18"/>
                <w:szCs w:val="18"/>
                <w:color w:val="auto"/>
              </w:rPr>
              <w:t>4,466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3,898</w:t>
            </w: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4,152</w:t>
            </w:r>
          </w:p>
        </w:tc>
        <w:tc>
          <w:tcPr>
            <w:tcW w:w="1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4,003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3,492</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4,068</w:t>
            </w:r>
          </w:p>
        </w:tc>
        <w:tc>
          <w:tcPr>
            <w:tcW w:w="1760" w:type="dxa"/>
            <w:vAlign w:val="bottom"/>
            <w:gridSpan w:val="2"/>
          </w:tcPr>
          <w:p>
            <w:pPr>
              <w:jc w:val="right"/>
              <w:ind w:right="28"/>
              <w:spacing w:after="0"/>
              <w:rPr>
                <w:sz w:val="20"/>
                <w:szCs w:val="20"/>
                <w:color w:val="auto"/>
              </w:rPr>
            </w:pPr>
            <w:r>
              <w:rPr>
                <w:rFonts w:ascii="Arial" w:cs="Arial" w:eastAsia="Arial" w:hAnsi="Arial"/>
                <w:sz w:val="18"/>
                <w:szCs w:val="18"/>
                <w:color w:val="auto"/>
              </w:rPr>
              <w:t>3,920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3,422</w:t>
            </w: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3,556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3,100</w:t>
            </w:r>
          </w:p>
        </w:tc>
      </w:tr>
      <w:tr>
        <w:trPr>
          <w:trHeight w:val="27"/>
        </w:trPr>
        <w:tc>
          <w:tcPr>
            <w:tcW w:w="4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both"/>
        <w:ind w:left="420" w:right="160"/>
        <w:spacing w:after="0" w:line="264" w:lineRule="auto"/>
        <w:rPr>
          <w:sz w:val="20"/>
          <w:szCs w:val="20"/>
          <w:color w:val="auto"/>
        </w:rPr>
      </w:pPr>
      <w:r>
        <w:rPr>
          <w:rFonts w:ascii="Arial" w:cs="Arial" w:eastAsia="Arial" w:hAnsi="Arial"/>
          <w:sz w:val="18"/>
          <w:szCs w:val="18"/>
          <w:color w:val="auto"/>
        </w:rPr>
        <w:t>The restricted shares will be forfeited in their entirety if the executive officer departs the company before the end of the vesting period. The vesting of the units and restricted shares may be accelerated upon the occurrence of certain events described below under “Potential Payments Upon Termination or Change in Control”.</w:t>
      </w:r>
    </w:p>
    <w:p>
      <w:pPr>
        <w:spacing w:after="0" w:line="19"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closing market price of our common stock as of the most recently completed fiscal year-end of $36.16 per share.</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stock options granted on June 10, 2009, which became exercisable on June 10, 2012, the third anniversary of the date of grant.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following table provides information concerning the aggregate number of stock options exercised and shares of restricted stock that vested for each of our named executive officers during fiscal 2014, and the aggregate dollar values realized by each of our named executive officers upon such exercises and vesting.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1077"/>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9"/>
              </w:rPr>
              <w:t>Number of</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 of</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1"/>
              </w:rPr>
              <w:t>Value Realized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2"/>
              </w:rPr>
              <w:t>Acquired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Acquired</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1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4"/>
              </w:rPr>
              <w:t>on 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on Exercise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on Vesting</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3"/>
              </w:rPr>
              <w:t>(#)</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9"/>
              </w:rPr>
              <w:t>($)(a)</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(b)</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7,417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287,780</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160" w:type="dxa"/>
            <w:vAlign w:val="bottom"/>
          </w:tcPr>
          <w:p>
            <w:pPr>
              <w:spacing w:after="0"/>
              <w:rPr>
                <w:sz w:val="21"/>
                <w:szCs w:val="21"/>
                <w:color w:val="auto"/>
              </w:rPr>
            </w:pPr>
          </w:p>
        </w:tc>
        <w:tc>
          <w:tcPr>
            <w:tcW w:w="17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0"/>
              <w:spacing w:after="0"/>
              <w:rPr>
                <w:sz w:val="20"/>
                <w:szCs w:val="20"/>
                <w:color w:val="auto"/>
              </w:rPr>
            </w:pPr>
            <w:r>
              <w:rPr>
                <w:rFonts w:ascii="Arial" w:cs="Arial" w:eastAsia="Arial" w:hAnsi="Arial"/>
                <w:sz w:val="18"/>
                <w:szCs w:val="18"/>
                <w:color w:val="auto"/>
              </w:rPr>
              <w:t>5,086</w:t>
            </w:r>
          </w:p>
        </w:tc>
        <w:tc>
          <w:tcPr>
            <w:tcW w:w="12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197,337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4,769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185,037</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160" w:type="dxa"/>
            <w:vAlign w:val="bottom"/>
          </w:tcPr>
          <w:p>
            <w:pPr>
              <w:spacing w:after="0"/>
              <w:rPr>
                <w:sz w:val="21"/>
                <w:szCs w:val="21"/>
                <w:color w:val="auto"/>
              </w:rPr>
            </w:pPr>
          </w:p>
        </w:tc>
        <w:tc>
          <w:tcPr>
            <w:tcW w:w="17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0"/>
              <w:spacing w:after="0"/>
              <w:rPr>
                <w:sz w:val="20"/>
                <w:szCs w:val="20"/>
                <w:color w:val="auto"/>
              </w:rPr>
            </w:pPr>
            <w:r>
              <w:rPr>
                <w:rFonts w:ascii="Arial" w:cs="Arial" w:eastAsia="Arial" w:hAnsi="Arial"/>
                <w:sz w:val="18"/>
                <w:szCs w:val="18"/>
                <w:color w:val="auto"/>
              </w:rPr>
              <w:t>4,493</w:t>
            </w:r>
          </w:p>
        </w:tc>
        <w:tc>
          <w:tcPr>
            <w:tcW w:w="12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174,328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16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20" w:right="180" w:hanging="412"/>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exercise. No stock options were exercised in fiscal 2014.</w:t>
      </w:r>
    </w:p>
    <w:p>
      <w:pPr>
        <w:spacing w:after="0" w:line="8" w:lineRule="exact"/>
        <w:rPr>
          <w:rFonts w:ascii="Arial" w:cs="Arial" w:eastAsia="Arial" w:hAnsi="Arial"/>
          <w:sz w:val="18"/>
          <w:szCs w:val="18"/>
          <w:color w:val="auto"/>
        </w:rPr>
      </w:pPr>
    </w:p>
    <w:p>
      <w:pPr>
        <w:ind w:left="420" w:right="280" w:hanging="412"/>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restricted shares vest 100% two years after the last day of the fiscal year for which the restricted stock units were awarded. The shares vesting in fiscal 2014 were those shares issued for fiscal 2011.</w:t>
      </w:r>
    </w:p>
    <w:p>
      <w:pPr>
        <w:spacing w:after="0" w:line="8"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 of $38.80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4"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Our Compensation Committee has adopted an Executive Severance Plan covering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Potential Payments under Executive Severance Plan</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Under the terms of the Executive Severance Plan, the Compensation Committee is responsible for assigning each executive to one of four tiers, which determines the duration of salary continuation for which an executive may be eligible. Mr. Hawkins has been assigned to Tier 1 and Ms. Pepski, Mr. Sevenich and Mr. Keller have been assigned to Tier 3 and Mr. Erstad has been assigned to Tier 4.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“cause” means:</w:t>
      </w:r>
    </w:p>
    <w:p>
      <w:pPr>
        <w:spacing w:after="0" w:line="117" w:lineRule="exact"/>
        <w:rPr>
          <w:sz w:val="20"/>
          <w:szCs w:val="20"/>
          <w:color w:val="auto"/>
        </w:rPr>
      </w:pPr>
    </w:p>
    <w:p>
      <w:pPr>
        <w:ind w:left="740" w:hanging="327"/>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23" w:lineRule="exact"/>
        <w:rPr>
          <w:rFonts w:ascii="Arial" w:cs="Arial" w:eastAsia="Arial" w:hAnsi="Arial"/>
          <w:sz w:val="18"/>
          <w:szCs w:val="18"/>
          <w:color w:val="auto"/>
        </w:rPr>
      </w:pPr>
    </w:p>
    <w:p>
      <w:pPr>
        <w:ind w:left="740" w:hanging="327"/>
        <w:spacing w:after="0" w:line="25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740" w:right="20" w:hanging="327"/>
        <w:spacing w:after="0" w:line="25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740" w:right="80" w:hanging="327"/>
        <w:spacing w:after="0" w:line="261"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49"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The payments and benefits that would be paid to an executive under the Executive Severance Plan as a result of a termination of employment without cause not due to a change in control include (1) base salary for the salary continuation period associated with the executive’s tier, (2) COBRA continuation coverage for medical and dental benefits for a maximum of 18 months (with the executive to be charged the active employee rate for coverage), and (3) the reasonable costs of outplacement services for a maximum of one year.</w:t>
      </w:r>
    </w:p>
    <w:p>
      <w:pPr>
        <w:spacing w:after="0" w:line="52"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additional payments and benefits that would be paid to an executive under the Executive Severance Plan as a result of a qualifying termination of employment in connection with a “change in control” (as defined below) include (1) six additional months of salary continuation, (2) a benefit equal to the annual bonus that would have been received (measured at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6" w:right="239"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18"/>
          <w:szCs w:val="18"/>
          <w:color w:val="auto"/>
        </w:rPr>
        <w:t>target) if the executive had remained employed and eligible to receive such bonus for the entire salary continuation period, and (3) a benefit equal to the additional benefit, if any, that would have been received under the Hawkins, Inc. Profit Sharing Plan if the executive had remained employed and eligible for the Profit Sharing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117" w:lineRule="exact"/>
        <w:rPr>
          <w:sz w:val="20"/>
          <w:szCs w:val="20"/>
          <w:color w:val="auto"/>
        </w:rPr>
      </w:pPr>
    </w:p>
    <w:p>
      <w:pPr>
        <w:ind w:left="740" w:right="60" w:hanging="327"/>
        <w:spacing w:after="0" w:line="259"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78" w:lineRule="exact"/>
        <w:rPr>
          <w:rFonts w:ascii="Arial" w:cs="Arial" w:eastAsia="Arial" w:hAnsi="Arial"/>
          <w:sz w:val="18"/>
          <w:szCs w:val="18"/>
          <w:color w:val="auto"/>
        </w:rPr>
      </w:pPr>
    </w:p>
    <w:p>
      <w:pPr>
        <w:ind w:left="740" w:hanging="327"/>
        <w:spacing w:after="0" w:line="270"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73" w:lineRule="exact"/>
        <w:rPr>
          <w:rFonts w:ascii="Arial" w:cs="Arial" w:eastAsia="Arial" w:hAnsi="Arial"/>
          <w:sz w:val="17"/>
          <w:szCs w:val="17"/>
          <w:color w:val="auto"/>
        </w:rPr>
      </w:pPr>
    </w:p>
    <w:p>
      <w:pPr>
        <w:ind w:left="740" w:right="340" w:hanging="327"/>
        <w:spacing w:after="0" w:line="279"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14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An executive must enter into an agreement with the company that contains covenants against competition, disclosure and solicitation, and a release of claims in order to qualify for payments and benefits under the Executive Severance Plan.</w:t>
      </w:r>
    </w:p>
    <w:p>
      <w:pPr>
        <w:spacing w:after="0" w:line="3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without cause not due to change in control had taken place on the last business day of our most recently completed fiscal year.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 Continuation</w:t>
            </w: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Medical and Dental</w:t>
            </w: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Outplacement Costs ($)</w:t>
            </w:r>
          </w:p>
        </w:tc>
        <w:tc>
          <w:tcPr>
            <w:tcW w:w="15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Amount ($) (a)</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Coverage ($) (b)</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(c)</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540,750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18,685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571,935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278,500</w:t>
            </w:r>
          </w:p>
        </w:tc>
        <w:tc>
          <w:tcPr>
            <w:tcW w:w="12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14,227</w:t>
            </w:r>
          </w:p>
        </w:tc>
        <w:tc>
          <w:tcPr>
            <w:tcW w:w="1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305,227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249,500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14,227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276,227</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244,500</w:t>
            </w:r>
          </w:p>
        </w:tc>
        <w:tc>
          <w:tcPr>
            <w:tcW w:w="12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14,227</w:t>
            </w:r>
          </w:p>
        </w:tc>
        <w:tc>
          <w:tcPr>
            <w:tcW w:w="1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271,227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221,500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14,767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248,767</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w:t>
      </w:r>
    </w:p>
    <w:p>
      <w:pPr>
        <w:spacing w:after="0" w:line="48" w:lineRule="exact"/>
        <w:rPr>
          <w:rFonts w:ascii="Arial" w:cs="Arial" w:eastAsia="Arial" w:hAnsi="Arial"/>
          <w:sz w:val="18"/>
          <w:szCs w:val="18"/>
          <w:color w:val="auto"/>
        </w:rPr>
      </w:pPr>
    </w:p>
    <w:p>
      <w:pPr>
        <w:ind w:left="420" w:right="240" w:hanging="412"/>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8" w:lineRule="exact"/>
        <w:rPr>
          <w:rFonts w:ascii="Arial" w:cs="Arial" w:eastAsia="Arial" w:hAnsi="Arial"/>
          <w:sz w:val="18"/>
          <w:szCs w:val="18"/>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65" w:right="259" w:bottom="1440" w:gutter="0" w:footer="0" w:header="0"/>
        </w:sectPr>
      </w:pPr>
    </w:p>
    <w:bookmarkStart w:id="18" w:name="page19"/>
    <w:bookmarkEnd w:id="18"/>
    <w:p>
      <w:pPr>
        <w:ind w:right="140"/>
        <w:spacing w:after="0" w:line="277" w:lineRule="auto"/>
        <w:rPr>
          <w:sz w:val="20"/>
          <w:szCs w:val="20"/>
          <w:color w:val="auto"/>
        </w:rPr>
      </w:pPr>
      <w:r>
        <w:rPr>
          <w:rFonts w:ascii="Arial" w:cs="Arial" w:eastAsia="Arial" w:hAnsi="Arial"/>
          <w:sz w:val="18"/>
          <w:szCs w:val="18"/>
          <w:color w:val="auto"/>
        </w:rPr>
        <w:t>the two-year period following the initial existence of the condition constituting “good reason.” “Good reason” means any of the following conditions arising without the consent of the executive:</w:t>
      </w:r>
    </w:p>
    <w:p>
      <w:pPr>
        <w:spacing w:after="0" w:line="35" w:lineRule="exact"/>
        <w:rPr>
          <w:sz w:val="20"/>
          <w:szCs w:val="20"/>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117" w:lineRule="exact"/>
        <w:rPr>
          <w:rFonts w:ascii="Arial" w:cs="Arial" w:eastAsia="Arial" w:hAnsi="Arial"/>
          <w:sz w:val="18"/>
          <w:szCs w:val="18"/>
          <w:color w:val="auto"/>
        </w:rPr>
      </w:pPr>
    </w:p>
    <w:p>
      <w:pPr>
        <w:ind w:left="740" w:right="440" w:hanging="327"/>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2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for good reason or a termination without cause that is also a termination due to change in control had taken place on the last business day of our most recently completed fiscal year.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Salary Continuation</w:t>
            </w: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Medical and Dental</w:t>
            </w: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Outplacement Costs</w:t>
            </w: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 Bonus Amount</w:t>
            </w: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Profit Sharing/401(k)</w:t>
            </w:r>
          </w:p>
        </w:tc>
        <w:tc>
          <w:tcPr>
            <w:tcW w:w="12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 ($) (a)</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Coverage ($) (b)</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 (c)</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 (d)</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Contribution ($) (e)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721,000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18,685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432,600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1,235,785</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417,750</w:t>
            </w:r>
          </w:p>
        </w:tc>
        <w:tc>
          <w:tcPr>
            <w:tcW w:w="12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21,341</w:t>
            </w:r>
          </w:p>
        </w:tc>
        <w:tc>
          <w:tcPr>
            <w:tcW w:w="1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167,100</w:t>
            </w:r>
          </w:p>
        </w:tc>
        <w:tc>
          <w:tcPr>
            <w:tcW w:w="1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38,250</w:t>
            </w:r>
          </w:p>
        </w:tc>
        <w:tc>
          <w:tcPr>
            <w:tcW w:w="1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656,941</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374,250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21,341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112,275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37,425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557,791</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366,750</w:t>
            </w:r>
          </w:p>
        </w:tc>
        <w:tc>
          <w:tcPr>
            <w:tcW w:w="12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21,341</w:t>
            </w:r>
          </w:p>
        </w:tc>
        <w:tc>
          <w:tcPr>
            <w:tcW w:w="1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146,700</w:t>
            </w:r>
          </w:p>
        </w:tc>
        <w:tc>
          <w:tcPr>
            <w:tcW w:w="1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36,675</w:t>
            </w:r>
          </w:p>
        </w:tc>
        <w:tc>
          <w:tcPr>
            <w:tcW w:w="1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583,966</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332,250</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22,151</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132,900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33,225</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533,026</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w:t>
      </w:r>
    </w:p>
    <w:p>
      <w:pPr>
        <w:spacing w:after="0" w:line="48" w:lineRule="exact"/>
        <w:rPr>
          <w:rFonts w:ascii="Arial" w:cs="Arial" w:eastAsia="Arial" w:hAnsi="Arial"/>
          <w:sz w:val="18"/>
          <w:szCs w:val="18"/>
          <w:color w:val="auto"/>
        </w:rPr>
      </w:pPr>
    </w:p>
    <w:p>
      <w:pPr>
        <w:ind w:left="420" w:right="260" w:hanging="41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8"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63" w:lineRule="exact"/>
        <w:rPr>
          <w:rFonts w:ascii="Arial" w:cs="Arial" w:eastAsia="Arial" w:hAnsi="Arial"/>
          <w:sz w:val="18"/>
          <w:szCs w:val="18"/>
          <w:color w:val="auto"/>
        </w:rPr>
      </w:pPr>
    </w:p>
    <w:p>
      <w:pPr>
        <w:ind w:left="420" w:right="20" w:hanging="41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executive’s target annual bonus times the number of months in the applicable salary continuation period.</w:t>
      </w:r>
    </w:p>
    <w:p>
      <w:pPr>
        <w:spacing w:after="0" w:line="89" w:lineRule="exact"/>
        <w:rPr>
          <w:rFonts w:ascii="Arial" w:cs="Arial" w:eastAsia="Arial" w:hAnsi="Arial"/>
          <w:sz w:val="18"/>
          <w:szCs w:val="18"/>
          <w:color w:val="auto"/>
        </w:rPr>
      </w:pPr>
    </w:p>
    <w:p>
      <w:pPr>
        <w:ind w:left="420" w:hanging="412"/>
        <w:spacing w:after="0" w:line="30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equal the amounts the executive would have received under the company’s profit sharing plan if the executive had remained employed by the company for the entire applicable salary continuation period and had been entitled to employer contributions under the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Potential Accelerated Vesting of Equity Awards</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i w:val="1"/>
          <w:iCs w:val="1"/>
          <w:color w:val="auto"/>
        </w:rPr>
        <w:t xml:space="preserve">Termination Other than Due to Death or Disability Following a Fundamental Change. </w:t>
      </w:r>
      <w:r>
        <w:rPr>
          <w:rFonts w:ascii="Arial" w:cs="Arial" w:eastAsia="Arial" w:hAnsi="Arial"/>
          <w:sz w:val="17"/>
          <w:szCs w:val="17"/>
          <w:color w:val="auto"/>
        </w:rPr>
        <w:t>All named executive officers with performance-based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or shares of restricted stock 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4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65" w:right="239" w:bottom="1440" w:gutter="0" w:footer="0" w:header="0"/>
        </w:sectPr>
      </w:pPr>
    </w:p>
    <w:bookmarkStart w:id="19" w:name="page20"/>
    <w:bookmarkEnd w:id="19"/>
    <w:p>
      <w:pPr>
        <w:ind w:right="40"/>
        <w:spacing w:after="0" w:line="277" w:lineRule="auto"/>
        <w:rPr>
          <w:sz w:val="20"/>
          <w:szCs w:val="20"/>
          <w:color w:val="auto"/>
        </w:rPr>
      </w:pPr>
      <w:r>
        <w:rPr>
          <w:rFonts w:ascii="Arial" w:cs="Arial" w:eastAsia="Arial" w:hAnsi="Arial"/>
          <w:sz w:val="18"/>
          <w:szCs w:val="18"/>
          <w:color w:val="auto"/>
        </w:rPr>
        <w:t>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3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named executive officers with performance-based restricted stock units or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58"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In addition, all named executive officers with outstanding unvested stock options are entitled to accelerated vesting of the stock options upon termination of employment due to death or disability.</w:t>
      </w:r>
    </w:p>
    <w:p>
      <w:pPr>
        <w:spacing w:after="0" w:line="35" w:lineRule="exact"/>
        <w:rPr>
          <w:sz w:val="20"/>
          <w:szCs w:val="20"/>
          <w:color w:val="auto"/>
        </w:rPr>
      </w:pPr>
    </w:p>
    <w:p>
      <w:pPr>
        <w:jc w:val="both"/>
        <w:ind w:right="80" w:firstLine="432"/>
        <w:spacing w:after="0" w:line="302" w:lineRule="auto"/>
        <w:rPr>
          <w:sz w:val="20"/>
          <w:szCs w:val="20"/>
          <w:color w:val="auto"/>
        </w:rPr>
      </w:pPr>
      <w:r>
        <w:rPr>
          <w:rFonts w:ascii="Arial" w:cs="Arial" w:eastAsia="Arial" w:hAnsi="Arial"/>
          <w:sz w:val="16"/>
          <w:szCs w:val="16"/>
          <w:color w:val="auto"/>
        </w:rPr>
        <w:t>The following table presents the value of all outstanding restricted stock unit, restricted stock and option awards that would have been received by each named executive officer if either (1) a fundamental change took place on the last business day of our most recently completed fiscal year and all such awards had been accelerated in connection with such fundamental change or (2) a termination of the officer’s employment due to death or disability had taken place on the last business day of our most recently completed fiscal year. No named executive officers hold any unvested stock options.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2"/>
              </w:rPr>
              <w:t>Early Vesting of</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Performance-Based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Units/Restricted Stock</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2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917,307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2440" w:type="dxa"/>
            <w:vAlign w:val="bottom"/>
          </w:tcPr>
          <w:p>
            <w:pPr>
              <w:jc w:val="right"/>
              <w:ind w:right="19"/>
              <w:spacing w:after="0"/>
              <w:rPr>
                <w:sz w:val="20"/>
                <w:szCs w:val="20"/>
                <w:color w:val="auto"/>
              </w:rPr>
            </w:pPr>
            <w:r>
              <w:rPr>
                <w:rFonts w:ascii="Arial" w:cs="Arial" w:eastAsia="Arial" w:hAnsi="Arial"/>
                <w:sz w:val="18"/>
                <w:szCs w:val="18"/>
                <w:color w:val="auto"/>
              </w:rPr>
              <w:t>471,780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2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429,364</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2440" w:type="dxa"/>
            <w:vAlign w:val="bottom"/>
          </w:tcPr>
          <w:p>
            <w:pPr>
              <w:jc w:val="right"/>
              <w:ind w:right="19"/>
              <w:spacing w:after="0"/>
              <w:rPr>
                <w:sz w:val="20"/>
                <w:szCs w:val="20"/>
                <w:color w:val="auto"/>
              </w:rPr>
            </w:pPr>
            <w:r>
              <w:rPr>
                <w:rFonts w:ascii="Arial" w:cs="Arial" w:eastAsia="Arial" w:hAnsi="Arial"/>
                <w:sz w:val="18"/>
                <w:szCs w:val="18"/>
                <w:color w:val="auto"/>
              </w:rPr>
              <w:t>420,649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2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247,985</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32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determined by multiplying the number of shares for which vesting is accelerated by our closing stock price on March 28, 2014 ($36.16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2014</w:t>
      </w:r>
    </w:p>
    <w:p>
      <w:pPr>
        <w:spacing w:after="0" w:line="94"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During fiscal 2014, each non-employee director earned an annual retainer of $25,000. Supplemental annual retainers were earned by our Chairman of the Board ($70,000), the chairs of our Audit and Compensation committees ($7,500 each) and the chair of our Governance and Nominating Committee ($5,000). Additionally, our non-employee directors received a meeting fee of $2,000 for each Board and committee meeting attended.</w:t>
      </w:r>
    </w:p>
    <w:p>
      <w:pPr>
        <w:spacing w:after="0" w:line="3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Compensation Committee oversees our non-employee director compensation program, under which each non-employee director is entitled to receive a grant of restricted common stock with a value of $35,000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2014, each non-employee director was granted 865 shares of restricted common stock on August 2, 2013, and these shares will vest in their entirety one year from their date of issuance.</w:t>
      </w:r>
    </w:p>
    <w:p>
      <w:pPr>
        <w:spacing w:after="0" w:line="5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shows, for each of our current and former non-employee directors, information concerning annual compensation earned for services in all capacities during fiscal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15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Stock</w:t>
            </w:r>
          </w:p>
        </w:tc>
        <w:tc>
          <w:tcPr>
            <w:tcW w:w="24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 Paid</w:t>
            </w:r>
          </w:p>
        </w:tc>
        <w:tc>
          <w:tcPr>
            <w:tcW w:w="158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3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Cash ($)</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Awards ($)(a)</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Compensation ($)</w:t>
            </w:r>
          </w:p>
        </w:tc>
        <w:tc>
          <w:tcPr>
            <w:tcW w:w="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34,963</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90,963</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Duane M. Jergenson</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43,000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34,963</w:t>
            </w:r>
          </w:p>
        </w:tc>
        <w:tc>
          <w:tcPr>
            <w:tcW w:w="100" w:type="dxa"/>
            <w:vAlign w:val="bottom"/>
          </w:tcPr>
          <w:p>
            <w:pPr>
              <w:spacing w:after="0"/>
              <w:rPr>
                <w:sz w:val="21"/>
                <w:szCs w:val="21"/>
                <w:color w:val="auto"/>
              </w:rPr>
            </w:pPr>
          </w:p>
        </w:tc>
        <w:tc>
          <w:tcPr>
            <w:tcW w:w="24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77,963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S. McKeon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34,963</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163,963</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Daryl I. Skaar</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34,963</w:t>
            </w:r>
          </w:p>
        </w:tc>
        <w:tc>
          <w:tcPr>
            <w:tcW w:w="100" w:type="dxa"/>
            <w:vAlign w:val="bottom"/>
          </w:tcPr>
          <w:p>
            <w:pPr>
              <w:spacing w:after="0"/>
              <w:rPr>
                <w:sz w:val="21"/>
                <w:szCs w:val="21"/>
                <w:color w:val="auto"/>
              </w:rPr>
            </w:pPr>
          </w:p>
        </w:tc>
        <w:tc>
          <w:tcPr>
            <w:tcW w:w="24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85,963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T. Thompson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58,500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34,963</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93,463</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Jeffrey L. Wright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66,500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34,963</w:t>
            </w:r>
          </w:p>
        </w:tc>
        <w:tc>
          <w:tcPr>
            <w:tcW w:w="100" w:type="dxa"/>
            <w:vAlign w:val="bottom"/>
          </w:tcPr>
          <w:p>
            <w:pPr>
              <w:spacing w:after="0"/>
              <w:rPr>
                <w:sz w:val="21"/>
                <w:szCs w:val="21"/>
                <w:color w:val="auto"/>
              </w:rPr>
            </w:pPr>
          </w:p>
        </w:tc>
        <w:tc>
          <w:tcPr>
            <w:tcW w:w="24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101,463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34,963</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83,963</w:t>
            </w: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20" w:name="page21"/>
    <w:bookmarkEnd w:id="20"/>
    <w:p>
      <w:pPr>
        <w:ind w:left="420" w:hanging="412"/>
        <w:spacing w:after="0" w:line="255"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On August 2, 2013, each member then on the Board received 865 shares of restricted stock as part of his or her retainer pursuant to the 2010 Plan. The amounts shown in this column represent the grant-date fair value of each of the awards computed in accordance with FASB ASC Topic 718. See Note 7,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2014 for a description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these awards and the assumptions used in valuing the awards. All of these shares vest in full on August 2, 2014, are eligible to receive dividends paid on our common stock and were the only shares of restricted stock held by each director at the end of our most recently completed fiscal year.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All decisions regarding compensation of our executive officers during fiscal 2014 were made by the Compensation Committee of our Board of Directors. During fiscal 2014,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following table provides information about shares that may be issued under the Hawkins, Inc. 2004 Omnibus Stock Plan (the “2004 Plan”) and the Hawkins, Inc. 2010 Omnibus Incentive Plan (the “2010 Plan”) as of March 30, 2014. We do not have any other equity compensation plans required to be included in this table.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880" w:type="dxa"/>
            <w:vAlign w:val="bottom"/>
            <w:gridSpan w:val="2"/>
            <w:vMerge w:val="continue"/>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4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reflected in the first</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Rights</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 ($)</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column)</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holders(a)</w:t>
            </w:r>
          </w:p>
        </w:tc>
        <w:tc>
          <w:tcPr>
            <w:tcW w:w="180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9,333</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1,152,418   (b)</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220" w:hanging="412"/>
        <w:spacing w:after="0" w:line="286" w:lineRule="auto"/>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maintain two plans that were approved by our shareholders, the 2004 Plan and the 2010 Plan. Both plans allow awards in the form of restricted or unrestricted stock, incentive or non-statutory stock options, stock appreciation rights, performance-based restricted stock units or other stock-based awards. Our board of directors has determined that no further awards will be granted under the 2004 Plan.</w:t>
      </w:r>
    </w:p>
    <w:p>
      <w:pPr>
        <w:spacing w:after="0" w:line="57" w:lineRule="exact"/>
        <w:rPr>
          <w:rFonts w:ascii="Arial" w:cs="Arial" w:eastAsia="Arial" w:hAnsi="Arial"/>
          <w:sz w:val="17"/>
          <w:szCs w:val="17"/>
          <w:color w:val="auto"/>
        </w:rPr>
      </w:pPr>
    </w:p>
    <w:p>
      <w:pPr>
        <w:ind w:left="420" w:right="420" w:hanging="412"/>
        <w:spacing w:after="0" w:line="259"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2010 Plan. There is no limit on the portion of the shares of common stock available for distribution under this plan that may be awarded in the form of restricted or unrestricted stock. Also includes 217,670 shares available for issuance under the Employee Stock Purchase Plan. Does not include 24,932 shares of restricted stock which were issuable upon vesting of outstanding performance-based restricted stock unit awards as of March 30, 2014.</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65"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94" w:lineRule="exact"/>
        <w:rPr>
          <w:sz w:val="20"/>
          <w:szCs w:val="20"/>
          <w:color w:val="auto"/>
        </w:rPr>
      </w:pPr>
    </w:p>
    <w:p>
      <w:pPr>
        <w:jc w:val="both"/>
        <w:ind w:right="300" w:firstLine="432"/>
        <w:spacing w:after="0" w:line="312" w:lineRule="auto"/>
        <w:rPr>
          <w:sz w:val="20"/>
          <w:szCs w:val="20"/>
          <w:color w:val="auto"/>
        </w:rPr>
      </w:pPr>
      <w:r>
        <w:rPr>
          <w:rFonts w:ascii="Arial" w:cs="Arial" w:eastAsia="Arial" w:hAnsi="Arial"/>
          <w:sz w:val="16"/>
          <w:szCs w:val="16"/>
          <w:color w:val="auto"/>
        </w:rPr>
        <w:t>The following table contains information as of June 6, 2014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780" w:type="dxa"/>
            <w:vAlign w:val="bottom"/>
          </w:tcPr>
          <w:p>
            <w:pPr>
              <w:spacing w:after="0"/>
              <w:rPr>
                <w:sz w:val="14"/>
                <w:szCs w:val="14"/>
                <w:color w:val="auto"/>
              </w:rPr>
            </w:pPr>
          </w:p>
        </w:tc>
        <w:tc>
          <w:tcPr>
            <w:tcW w:w="16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7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 (a)</w:t>
            </w:r>
          </w:p>
        </w:tc>
        <w:tc>
          <w:tcPr>
            <w:tcW w:w="7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Royce &amp; Associates, LLC</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1,214,592</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Trustees, Hawkins, Inc. Employee Stock Ownership Plan and Trust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902,377</w:t>
            </w:r>
          </w:p>
        </w:tc>
        <w:tc>
          <w:tcPr>
            <w:tcW w:w="780" w:type="dxa"/>
            <w:vAlign w:val="bottom"/>
          </w:tcPr>
          <w:p>
            <w:pPr>
              <w:ind w:left="140"/>
              <w:spacing w:after="0"/>
              <w:rPr>
                <w:sz w:val="20"/>
                <w:szCs w:val="20"/>
                <w:color w:val="auto"/>
              </w:rPr>
            </w:pPr>
            <w:r>
              <w:rPr>
                <w:rFonts w:ascii="Arial" w:cs="Arial" w:eastAsia="Arial" w:hAnsi="Arial"/>
                <w:sz w:val="18"/>
                <w:szCs w:val="18"/>
                <w:color w:val="auto"/>
              </w:rPr>
              <w:t>(c)</w:t>
            </w:r>
          </w:p>
        </w:tc>
        <w:tc>
          <w:tcPr>
            <w:tcW w:w="16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873,911</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T. Rowe Price Associates, Inc.</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800,591</w:t>
            </w:r>
          </w:p>
        </w:tc>
        <w:tc>
          <w:tcPr>
            <w:tcW w:w="780" w:type="dxa"/>
            <w:vAlign w:val="bottom"/>
          </w:tcPr>
          <w:p>
            <w:pPr>
              <w:ind w:left="140"/>
              <w:spacing w:after="0"/>
              <w:rPr>
                <w:sz w:val="20"/>
                <w:szCs w:val="20"/>
                <w:color w:val="auto"/>
              </w:rPr>
            </w:pPr>
            <w:r>
              <w:rPr>
                <w:rFonts w:ascii="Arial" w:cs="Arial" w:eastAsia="Arial" w:hAnsi="Arial"/>
                <w:sz w:val="18"/>
                <w:szCs w:val="18"/>
                <w:color w:val="auto"/>
              </w:rPr>
              <w:t>(e)</w:t>
            </w:r>
          </w:p>
        </w:tc>
        <w:tc>
          <w:tcPr>
            <w:tcW w:w="1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Neuberger Berman Group LLC</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595,788</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James A. Faulconbridge</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8,111</w:t>
            </w:r>
          </w:p>
        </w:tc>
        <w:tc>
          <w:tcPr>
            <w:tcW w:w="780" w:type="dxa"/>
            <w:vAlign w:val="bottom"/>
          </w:tcPr>
          <w:p>
            <w:pPr>
              <w:ind w:left="140"/>
              <w:spacing w:after="0"/>
              <w:rPr>
                <w:sz w:val="20"/>
                <w:szCs w:val="20"/>
                <w:color w:val="auto"/>
              </w:rPr>
            </w:pPr>
            <w:r>
              <w:rPr>
                <w:rFonts w:ascii="Arial" w:cs="Arial" w:eastAsia="Arial" w:hAnsi="Arial"/>
                <w:sz w:val="18"/>
                <w:szCs w:val="18"/>
                <w:color w:val="auto"/>
              </w:rPr>
              <w:t>(g)</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53,710</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Duane M. Jergenson</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22,132</w:t>
            </w:r>
          </w:p>
        </w:tc>
        <w:tc>
          <w:tcPr>
            <w:tcW w:w="780" w:type="dxa"/>
            <w:vAlign w:val="bottom"/>
          </w:tcPr>
          <w:p>
            <w:pPr>
              <w:ind w:left="140"/>
              <w:spacing w:after="0"/>
              <w:rPr>
                <w:sz w:val="20"/>
                <w:szCs w:val="20"/>
                <w:color w:val="auto"/>
              </w:rPr>
            </w:pPr>
            <w:r>
              <w:rPr>
                <w:rFonts w:ascii="Arial" w:cs="Arial" w:eastAsia="Arial" w:hAnsi="Arial"/>
                <w:sz w:val="18"/>
                <w:szCs w:val="18"/>
                <w:color w:val="auto"/>
              </w:rPr>
              <w:t>(i)</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S. McKeon</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36,877</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Mary J. Schumacher</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865</w:t>
            </w:r>
          </w:p>
        </w:tc>
        <w:tc>
          <w:tcPr>
            <w:tcW w:w="780" w:type="dxa"/>
            <w:vAlign w:val="bottom"/>
          </w:tcPr>
          <w:p>
            <w:pPr>
              <w:ind w:left="140"/>
              <w:spacing w:after="0"/>
              <w:rPr>
                <w:sz w:val="20"/>
                <w:szCs w:val="20"/>
                <w:color w:val="auto"/>
              </w:rPr>
            </w:pPr>
            <w:r>
              <w:rPr>
                <w:rFonts w:ascii="Arial" w:cs="Arial" w:eastAsia="Arial" w:hAnsi="Arial"/>
                <w:sz w:val="18"/>
                <w:szCs w:val="18"/>
                <w:color w:val="auto"/>
              </w:rPr>
              <w:t>(i)</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Daryl I. Skaar</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8,988</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James T. Thompson</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8,005</w:t>
            </w:r>
          </w:p>
        </w:tc>
        <w:tc>
          <w:tcPr>
            <w:tcW w:w="780" w:type="dxa"/>
            <w:vAlign w:val="bottom"/>
          </w:tcPr>
          <w:p>
            <w:pPr>
              <w:ind w:left="140"/>
              <w:spacing w:after="0"/>
              <w:rPr>
                <w:sz w:val="20"/>
                <w:szCs w:val="20"/>
                <w:color w:val="auto"/>
              </w:rPr>
            </w:pPr>
            <w:r>
              <w:rPr>
                <w:rFonts w:ascii="Arial" w:cs="Arial" w:eastAsia="Arial" w:hAnsi="Arial"/>
                <w:sz w:val="18"/>
                <w:szCs w:val="18"/>
                <w:color w:val="auto"/>
              </w:rPr>
              <w:t>(i)</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Jeffrey L. Wright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5,005</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Richard G. Erstad</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11,256</w:t>
            </w:r>
          </w:p>
        </w:tc>
        <w:tc>
          <w:tcPr>
            <w:tcW w:w="780" w:type="dxa"/>
            <w:vAlign w:val="bottom"/>
          </w:tcPr>
          <w:p>
            <w:pPr>
              <w:ind w:left="140"/>
              <w:spacing w:after="0"/>
              <w:rPr>
                <w:sz w:val="20"/>
                <w:szCs w:val="20"/>
                <w:color w:val="auto"/>
              </w:rPr>
            </w:pPr>
            <w:r>
              <w:rPr>
                <w:rFonts w:ascii="Arial" w:cs="Arial" w:eastAsia="Arial" w:hAnsi="Arial"/>
                <w:sz w:val="18"/>
                <w:szCs w:val="18"/>
                <w:color w:val="auto"/>
              </w:rPr>
              <w:t>(j)</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59,512</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19,851</w:t>
            </w:r>
          </w:p>
        </w:tc>
        <w:tc>
          <w:tcPr>
            <w:tcW w:w="780" w:type="dxa"/>
            <w:vAlign w:val="bottom"/>
          </w:tcPr>
          <w:p>
            <w:pPr>
              <w:ind w:left="140"/>
              <w:spacing w:after="0"/>
              <w:rPr>
                <w:sz w:val="20"/>
                <w:szCs w:val="20"/>
                <w:color w:val="auto"/>
              </w:rPr>
            </w:pPr>
            <w:r>
              <w:rPr>
                <w:rFonts w:ascii="Arial" w:cs="Arial" w:eastAsia="Arial" w:hAnsi="Arial"/>
                <w:sz w:val="18"/>
                <w:szCs w:val="18"/>
                <w:color w:val="auto"/>
              </w:rPr>
              <w:t>(l)</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R. Sevenich</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41,006</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All directors and officers as a group (13 persons)</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319,077</w:t>
            </w:r>
          </w:p>
        </w:tc>
        <w:tc>
          <w:tcPr>
            <w:tcW w:w="780" w:type="dxa"/>
            <w:vAlign w:val="bottom"/>
          </w:tcPr>
          <w:p>
            <w:pPr>
              <w:ind w:left="140"/>
              <w:spacing w:after="0"/>
              <w:rPr>
                <w:sz w:val="20"/>
                <w:szCs w:val="20"/>
                <w:color w:val="auto"/>
              </w:rPr>
            </w:pPr>
            <w:r>
              <w:rPr>
                <w:rFonts w:ascii="Arial" w:cs="Arial" w:eastAsia="Arial" w:hAnsi="Arial"/>
                <w:sz w:val="18"/>
                <w:szCs w:val="18"/>
                <w:color w:val="auto"/>
              </w:rPr>
              <w:t>(n)</w:t>
            </w: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one percent.</w:t>
      </w:r>
    </w:p>
    <w:p>
      <w:pPr>
        <w:spacing w:after="0" w:line="63"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voting and investment power with respect to such shares.</w:t>
      </w:r>
    </w:p>
    <w:p>
      <w:pPr>
        <w:spacing w:after="0" w:line="74" w:lineRule="exact"/>
        <w:rPr>
          <w:rFonts w:ascii="Arial" w:cs="Arial" w:eastAsia="Arial" w:hAnsi="Arial"/>
          <w:sz w:val="17"/>
          <w:szCs w:val="17"/>
          <w:color w:val="auto"/>
        </w:rPr>
      </w:pPr>
    </w:p>
    <w:p>
      <w:pPr>
        <w:ind w:left="420" w:right="500" w:hanging="412"/>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 Schedule 13G filed by Royce &amp; Associates, LLC with the SEC on January 10, 2014. The address for Royce &amp; Associates is 745 Fifth Avenue, New York, NY 10151.</w:t>
      </w:r>
    </w:p>
    <w:p>
      <w:pPr>
        <w:spacing w:after="0" w:line="8" w:lineRule="exact"/>
        <w:rPr>
          <w:rFonts w:ascii="Arial" w:cs="Arial" w:eastAsia="Arial" w:hAnsi="Arial"/>
          <w:sz w:val="18"/>
          <w:szCs w:val="18"/>
          <w:color w:val="auto"/>
        </w:rPr>
      </w:pPr>
    </w:p>
    <w:p>
      <w:pPr>
        <w:ind w:left="420" w:right="20" w:hanging="412"/>
        <w:spacing w:after="0" w:line="255"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 of the Hawkins, Inc. Employee Stock Ownership Plan and Trust is BMO Harris Bank, N.A.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disclaims beneficial ownership of the shares attributed to it in its capacity as Trustee of the ESOP.</w:t>
      </w:r>
    </w:p>
    <w:p>
      <w:pPr>
        <w:spacing w:after="0" w:line="27" w:lineRule="exact"/>
        <w:rPr>
          <w:rFonts w:ascii="Arial" w:cs="Arial" w:eastAsia="Arial" w:hAnsi="Arial"/>
          <w:sz w:val="18"/>
          <w:szCs w:val="18"/>
          <w:color w:val="auto"/>
        </w:rPr>
      </w:pPr>
    </w:p>
    <w:p>
      <w:pPr>
        <w:ind w:left="420" w:right="400" w:hanging="412"/>
        <w:spacing w:after="0" w:line="216"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 Schedule 13G filed by BlackRock, Inc. with the SEC on January 29, 2014. The address for BlackRock, Inc. is 40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 New York, NY 10022.</w:t>
      </w:r>
    </w:p>
    <w:p>
      <w:pPr>
        <w:spacing w:after="0" w:line="41" w:lineRule="exact"/>
        <w:rPr>
          <w:rFonts w:ascii="Arial" w:cs="Arial" w:eastAsia="Arial" w:hAnsi="Arial"/>
          <w:sz w:val="18"/>
          <w:szCs w:val="18"/>
          <w:color w:val="auto"/>
        </w:rPr>
      </w:pPr>
    </w:p>
    <w:p>
      <w:pPr>
        <w:ind w:left="420" w:right="80" w:hanging="412"/>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 Schedule 13G filed by T. Rowe Price Associates, Inc. with the SEC on February 10, 2014. The address for T. Rowe Price Associates, Inc. is 100 E. Pratt Street, Baltimore, MD 21202.</w:t>
      </w:r>
    </w:p>
    <w:p>
      <w:pPr>
        <w:spacing w:after="0" w:line="8" w:lineRule="exact"/>
        <w:rPr>
          <w:rFonts w:ascii="Arial" w:cs="Arial" w:eastAsia="Arial" w:hAnsi="Arial"/>
          <w:sz w:val="18"/>
          <w:szCs w:val="18"/>
          <w:color w:val="auto"/>
        </w:rPr>
      </w:pPr>
    </w:p>
    <w:p>
      <w:pPr>
        <w:ind w:left="420" w:right="120" w:hanging="412"/>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a Schedule 13G filed by Neuberger Berman Group LLC with the SEC on February 12, 2014. The address for Neuberger Berman Group LLC is 605 Third Avenue, New York, NY 10158.</w:t>
      </w:r>
    </w:p>
    <w:p>
      <w:pPr>
        <w:spacing w:after="0" w:line="8" w:lineRule="exact"/>
        <w:rPr>
          <w:rFonts w:ascii="Arial" w:cs="Arial" w:eastAsia="Arial" w:hAnsi="Arial"/>
          <w:sz w:val="18"/>
          <w:szCs w:val="18"/>
          <w:color w:val="auto"/>
        </w:rPr>
      </w:pPr>
    </w:p>
    <w:p>
      <w:pPr>
        <w:ind w:left="420" w:right="200" w:hanging="412"/>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550 shares that Mr. Faulconbridge holds jointly with his wife as to which he shares voting and investment power and 865 shares of restricted stock, which shares vest and the related restrictions expire on August 1, 2014.</w:t>
      </w:r>
    </w:p>
    <w:p>
      <w:pPr>
        <w:spacing w:after="0" w:line="8" w:lineRule="exact"/>
        <w:rPr>
          <w:rFonts w:ascii="Arial" w:cs="Arial" w:eastAsia="Arial" w:hAnsi="Arial"/>
          <w:sz w:val="18"/>
          <w:szCs w:val="18"/>
          <w:color w:val="auto"/>
        </w:rPr>
      </w:pPr>
    </w:p>
    <w:p>
      <w:pPr>
        <w:ind w:left="420" w:hanging="412"/>
        <w:spacing w:after="0" w:line="264"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12,036 shares representing the beneficial interest of Mr. Hawkins as of June 6, 2014 in our ESOP, 8,684 shares of restricted stock, which shares vest and the related restrictions expire on March 31, 2015, and 7,568 shares of restricted stock, which shares vest and the related restrictions expire on March 30, 2016. Does not include outstanding Performance-Based Restricted Stock Unit Awards.</w:t>
      </w:r>
    </w:p>
    <w:p>
      <w:pPr>
        <w:spacing w:after="0" w:line="1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865 shares of restricted stock, which shares vest and the related restrictions expire on August 1, 2014.</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23" w:right="259" w:bottom="1440" w:gutter="0" w:footer="0" w:header="0"/>
        </w:sectPr>
      </w:pPr>
    </w:p>
    <w:bookmarkStart w:id="22" w:name="page23"/>
    <w:bookmarkEnd w:id="22"/>
    <w:p>
      <w:pPr>
        <w:ind w:left="420" w:right="20" w:hanging="412"/>
        <w:spacing w:after="0" w:line="264"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224 shares representing the beneficial interest of Mr. Erstad as of June 6, 2014 in our ESOP, 4,003 shares of restricted stock, which shares vest and the related restrictions expire on March 31, 2015, and 3,492 shares of restricted stock, which shares vest and the related restrictions expire on March 30, 2016. Does not include outstanding Performance-Based Restricted Stock Unit Awards.</w:t>
      </w:r>
    </w:p>
    <w:p>
      <w:pPr>
        <w:spacing w:after="0" w:line="19" w:lineRule="exact"/>
        <w:rPr>
          <w:rFonts w:ascii="Arial" w:cs="Arial" w:eastAsia="Arial" w:hAnsi="Arial"/>
          <w:sz w:val="18"/>
          <w:szCs w:val="18"/>
          <w:color w:val="auto"/>
        </w:rPr>
      </w:pPr>
    </w:p>
    <w:p>
      <w:pPr>
        <w:ind w:left="420" w:right="100" w:hanging="412"/>
        <w:spacing w:after="0" w:line="25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5,634 shares that Mr. Keller holds jointly with his wife as to which he shares voting and investment power, 47,040 shares representing the beneficial interest of Mr. Keller as of June 6, 2014 in our ESOP, 3,556 shares of restricted stock, which shares vest and the related restrictions expire on March 31, 2015, and 3,100 shares of restricted stock, which shares vest and the related restrictions expire on March 30, 2016. Does not include outstanding Performance-Based Restricted Stock Unit Awards.</w:t>
      </w:r>
    </w:p>
    <w:p>
      <w:pPr>
        <w:spacing w:after="0" w:line="24" w:lineRule="exact"/>
        <w:rPr>
          <w:rFonts w:ascii="Arial" w:cs="Arial" w:eastAsia="Arial" w:hAnsi="Arial"/>
          <w:sz w:val="18"/>
          <w:szCs w:val="18"/>
          <w:color w:val="auto"/>
        </w:rPr>
      </w:pPr>
    </w:p>
    <w:p>
      <w:pPr>
        <w:jc w:val="both"/>
        <w:ind w:left="420" w:right="20" w:hanging="412"/>
        <w:spacing w:after="0" w:line="264"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224 shares representing the beneficial interest of Ms. Pepski as of June 6, 2014 in our ESOP, 4,466 shares of restricted stock, which shares vest and the related restrictions expire on March 31, 2015, and 3,898 shares of restricted stock, which shares vest and the related restrictions expire on March 30, 2016. Does not include outstanding Performance-Based Restricted Stock Unit Awards.</w:t>
      </w:r>
    </w:p>
    <w:p>
      <w:pPr>
        <w:spacing w:after="0" w:line="19" w:lineRule="exact"/>
        <w:rPr>
          <w:rFonts w:ascii="Arial" w:cs="Arial" w:eastAsia="Arial" w:hAnsi="Arial"/>
          <w:sz w:val="18"/>
          <w:szCs w:val="18"/>
          <w:color w:val="auto"/>
        </w:rPr>
      </w:pPr>
    </w:p>
    <w:p>
      <w:pPr>
        <w:ind w:left="420" w:right="80" w:hanging="412"/>
        <w:spacing w:after="0" w:line="25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26,899 shares representing the beneficial interest of Mr. Sevenich as of June 6, 2014 in our ESOP, 9,333 shares covered by options exercisable within 60 days granted to Mr. Sevenich, 3,920 shares of restricted stock, which shares vest and the related restrictions expire on March 31, 2015, and 3,422 shares of restricted stock, which shares vest and the related restrictions expire on March 30, 2016. Does not include outstanding Performance-Based Restricted Stock Unit Awards.</w:t>
      </w:r>
    </w:p>
    <w:p>
      <w:pPr>
        <w:spacing w:after="0" w:line="24" w:lineRule="exact"/>
        <w:rPr>
          <w:rFonts w:ascii="Arial" w:cs="Arial" w:eastAsia="Arial" w:hAnsi="Arial"/>
          <w:sz w:val="18"/>
          <w:szCs w:val="18"/>
          <w:color w:val="auto"/>
        </w:rPr>
      </w:pPr>
    </w:p>
    <w:p>
      <w:pPr>
        <w:ind w:left="420" w:right="24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120,354 shares representing the beneficial interest of the directors and officers as of June 6, 2014 in our ESOP. Does not include outstanding Performance-Based Restricted Stock Unit Awards.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 other than Richard Erstad, Patrick Hawkins, Tom Keller, Theresa Moran, Kathleen Pepski and John Sevenich with respect to one report on Form 4 each relating to restricted stock issued upon vesting of performance-based restricted stock awards in May 2013.</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employ Angela Wagamon, sister of Patrick H. Hawkins, our Chief Executive Officer, and Todd Hawkins, cousin of Patrick H. Hawkins; and Michael Clemens and John Clemens, the brothers of Theresa R. Moran, our Vice President - Quality and Support. Including retirement plan contributions and bonuses, each such employee earned in excess of $120,000 in fiscal 2014.</w:t>
      </w:r>
    </w:p>
    <w:p>
      <w:pPr>
        <w:spacing w:after="0" w:line="46"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PROPOSAL TWO </w:t>
      </w:r>
      <w:r>
        <w:rPr>
          <w:rFonts w:ascii="Arial" w:cs="Arial" w:eastAsia="Arial" w:hAnsi="Arial"/>
          <w:sz w:val="18"/>
          <w:szCs w:val="18"/>
          <w:color w:val="auto"/>
        </w:rPr>
        <w:t>—</w:t>
      </w:r>
      <w:r>
        <w:rPr>
          <w:rFonts w:ascii="Arial" w:cs="Arial" w:eastAsia="Arial" w:hAnsi="Arial"/>
          <w:sz w:val="18"/>
          <w:szCs w:val="18"/>
          <w:b w:val="1"/>
          <w:bCs w:val="1"/>
          <w:color w:val="auto"/>
        </w:rPr>
        <w:t xml:space="preserve"> ADVISORY VOTE ON EXECUTIVE OFFICER COMPENSATION</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seeks a non-binding advisory vote from its shareholders to approve the compensation of our executive officers as described in this proxy statement under “Executive Compensation” and “Compensation Discussion and Analysis.”</w:t>
      </w:r>
    </w:p>
    <w:p>
      <w:pPr>
        <w:spacing w:after="0" w:line="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This proposal gives our shareholders the opportunity to express their views on our executive officer compensation. Because your vote is advisory, it will not be binding upon the Board of Directors. However, the Compensation Committee will take into account the outcome of the vote when making future executive officer compensation decisions. We will consider our shareholders to have approved our executive compensation if the number of votes cast “for” this proposal exceed the number of votes cast “against” this proposal. Accordingly, an abstention or failure to vote on this proposal (including a broker non-vote) will have no effect on the outcome of this proposal.</w:t>
      </w:r>
    </w:p>
    <w:p>
      <w:pPr>
        <w:spacing w:after="0" w:line="53"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Our executive compensation program has been designed to attract and retain executives who will lead our company to achieve long-term success and growth in shareholder value. Consistent with that goal, our executive compensation is based on company, business unit and individual performance and the alignment of the interests of our executive officers with those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p>
      <w:pPr>
        <w:spacing w:after="0" w:line="276" w:lineRule="auto"/>
        <w:rPr>
          <w:sz w:val="20"/>
          <w:szCs w:val="20"/>
          <w:color w:val="auto"/>
        </w:rPr>
      </w:pPr>
      <w:r>
        <w:rPr>
          <w:rFonts w:ascii="Arial" w:cs="Arial" w:eastAsia="Arial" w:hAnsi="Arial"/>
          <w:sz w:val="17"/>
          <w:szCs w:val="17"/>
          <w:color w:val="auto"/>
        </w:rPr>
        <w:t>our shareholders and is used to encourage our executive officers to stay with the company. Our executive compensation program currently includes a mix of compensation elements that rewards current results as well as motivates long-term performance through an appropriate balance of base pay and performance-based variable compensation. To incent appropriate performance, our performance-based variable compensation consists of a short-term variable pay component that rewards executives for both current business results as well as personal performance, and a long-term incentive plan that motivates long-term performance and aligns business results with the interests of our shareholders.</w:t>
      </w:r>
    </w:p>
    <w:p>
      <w:pPr>
        <w:spacing w:after="0" w:line="3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are presenting this proposal, which gives you as a shareholder the opportunity to approve our executive officer compensation as disclosed in this proxy statement by voting for or against the following resolution:</w:t>
      </w:r>
    </w:p>
    <w:p>
      <w:pPr>
        <w:spacing w:after="0" w:line="3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RESOLVED, that the shareholders approve the compensation of the company’s executive officers, as disclosed in the Compensation Discussion and Analysis, the compensation tables, and the related disclosure contained in the company’s 2014 proxy statement.</w:t>
      </w:r>
    </w:p>
    <w:p>
      <w:pPr>
        <w:spacing w:after="0" w:line="31" w:lineRule="exact"/>
        <w:rPr>
          <w:sz w:val="20"/>
          <w:szCs w:val="20"/>
          <w:color w:val="auto"/>
        </w:rPr>
      </w:pPr>
    </w:p>
    <w:p>
      <w:pPr>
        <w:ind w:right="220" w:firstLine="432"/>
        <w:spacing w:after="0" w:line="282" w:lineRule="auto"/>
        <w:rPr>
          <w:sz w:val="20"/>
          <w:szCs w:val="20"/>
          <w:color w:val="auto"/>
        </w:rPr>
      </w:pPr>
      <w:r>
        <w:rPr>
          <w:rFonts w:ascii="Arial" w:cs="Arial" w:eastAsia="Arial" w:hAnsi="Arial"/>
          <w:sz w:val="18"/>
          <w:szCs w:val="18"/>
          <w:b w:val="1"/>
          <w:bCs w:val="1"/>
          <w:color w:val="auto"/>
        </w:rPr>
        <w:t>THE BOARD OF DIRECTORS BELIEVES THAT THE COMPENSATION OF OUR EXECUTIVE OFFICERS IS APPROPRIATE AND RECOMMENDS A VOTE “FOR” THIS PROPOSAL TWO.</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KPMG LLP, an independent registered public accounting firm, was retained by the Audit Committee for fiscal 2014 and has been retained by the Audit Committee as our auditor for fiscal 2015.</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Representatives of KPMG LLP are expected to attend the Annual Meeting and will have the opportunity to make a statement if they desire to do so.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expected to be available to respond to appropriate questions.</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PROPOSALS BY SHAREHOLDERS</w:t>
      </w:r>
    </w:p>
    <w:p>
      <w:pPr>
        <w:spacing w:after="0" w:line="94"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In order for a shareholder proposal to be considered for inclusion in our proxy statement for next year’s annual meeting of shareholders, the written proposal must be received by us at our principal executive office no later than March 2, 2015.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 no later than May 9, 2015,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Annual Report on Form 10-K for fiscal 2014, including financial statements, is being mailed with this Proxy Statement. Shareholders who wish to obtain an additional copy of our Annual Report on Form 10-K for fiscal 2014 may do so without charge by writing to: Hawkins, Inc., 2381 Rosegate, Roseville, Minnesota 55113, Attention: Secretary. Our Annual Report on Form 10-K, as well as other company reports, are also available on the SEC’s website (www.sec.gov).</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665" w:right="2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3"/>
    </w:lvl>
    <w:lvl w:ilvl="1">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2"/>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2"/>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2019-12-05T10:28:09Z</dcterms:created>
  <dcterms:modified xsi:type="dcterms:W3CDTF">2019-12-05T10:28:09Z</dcterms:modified>
</cp:coreProperties>
</file>