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71" w:lineRule="exact"/>
        <w:rPr>
          <w:sz w:val="24"/>
          <w:szCs w:val="24"/>
          <w:color w:val="auto"/>
        </w:rPr>
      </w:pPr>
    </w:p>
    <w:p>
      <w:pPr>
        <w:jc w:val="center"/>
        <w:spacing w:after="0" w:line="288" w:lineRule="exact"/>
        <w:rPr>
          <w:sz w:val="20"/>
          <w:szCs w:val="20"/>
          <w:color w:val="auto"/>
        </w:rPr>
      </w:pPr>
      <w:r>
        <w:rPr>
          <w:rFonts w:ascii="Arial" w:cs="Arial" w:eastAsia="Arial" w:hAnsi="Arial"/>
          <w:sz w:val="25"/>
          <w:szCs w:val="25"/>
          <w:b w:val="1"/>
          <w:bCs w:val="1"/>
          <w:color w:val="auto"/>
        </w:rPr>
        <w:t>FORM 8</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K</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 PURSUANT TO</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SECTION 13 OR 15(d) OF THE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Date of Report (Date of earliest event reported): </w:t>
      </w:r>
      <w:r>
        <w:rPr>
          <w:rFonts w:ascii="Arial" w:cs="Arial" w:eastAsia="Arial" w:hAnsi="Arial"/>
          <w:sz w:val="13"/>
          <w:szCs w:val="13"/>
          <w:b w:val="1"/>
          <w:bCs w:val="1"/>
          <w:color w:val="auto"/>
        </w:rPr>
        <w:t>August 1, 2013</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HAWKINS,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20"/>
          </w:cols>
          <w:pgMar w:left="240" w:top="610" w:right="239" w:bottom="1440" w:gutter="0" w:footer="0" w:header="0"/>
        </w:sectPr>
      </w:pPr>
    </w:p>
    <w:p>
      <w:pPr>
        <w:spacing w:after="0" w:line="320" w:lineRule="exact"/>
        <w:rPr>
          <w:sz w:val="24"/>
          <w:szCs w:val="24"/>
          <w:color w:val="auto"/>
        </w:rPr>
      </w:pPr>
    </w:p>
    <w:p>
      <w:pPr>
        <w:jc w:val="center"/>
        <w:ind w:left="280"/>
        <w:spacing w:after="0"/>
        <w:rPr>
          <w:sz w:val="20"/>
          <w:szCs w:val="20"/>
          <w:color w:val="auto"/>
        </w:rPr>
      </w:pPr>
      <w:r>
        <w:rPr>
          <w:rFonts w:ascii="Arial" w:cs="Arial" w:eastAsia="Arial" w:hAnsi="Arial"/>
          <w:sz w:val="15"/>
          <w:szCs w:val="15"/>
          <w:b w:val="1"/>
          <w:bCs w:val="1"/>
          <w:color w:val="auto"/>
        </w:rPr>
        <w:t>Minnesota</w:t>
      </w:r>
    </w:p>
    <w:p>
      <w:pPr>
        <w:spacing w:after="0" w:line="60" w:lineRule="exact"/>
        <w:rPr>
          <w:sz w:val="24"/>
          <w:szCs w:val="24"/>
          <w:color w:val="auto"/>
        </w:rPr>
      </w:pPr>
    </w:p>
    <w:p>
      <w:pPr>
        <w:jc w:val="center"/>
        <w:ind w:left="28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jc w:val="center"/>
        <w:ind w:right="780"/>
        <w:spacing w:after="0"/>
        <w:rPr>
          <w:sz w:val="20"/>
          <w:szCs w:val="20"/>
          <w:color w:val="auto"/>
        </w:rPr>
      </w:pPr>
      <w:r>
        <w:rPr>
          <w:rFonts w:ascii="Arial" w:cs="Arial" w:eastAsia="Arial" w:hAnsi="Arial"/>
          <w:sz w:val="15"/>
          <w:szCs w:val="15"/>
          <w:b w:val="1"/>
          <w:bCs w:val="1"/>
          <w:color w:val="auto"/>
        </w:rPr>
        <w:t>0-7647</w:t>
      </w:r>
    </w:p>
    <w:p>
      <w:pPr>
        <w:spacing w:after="0" w:line="60" w:lineRule="exact"/>
        <w:rPr>
          <w:sz w:val="24"/>
          <w:szCs w:val="24"/>
          <w:color w:val="auto"/>
        </w:rPr>
      </w:pPr>
    </w:p>
    <w:p>
      <w:pPr>
        <w:jc w:val="center"/>
        <w:ind w:right="780"/>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41-0771293</w:t>
      </w:r>
    </w:p>
    <w:p>
      <w:pPr>
        <w:spacing w:after="0" w:line="60" w:lineRule="exact"/>
        <w:rPr>
          <w:sz w:val="24"/>
          <w:szCs w:val="24"/>
          <w:color w:val="auto"/>
        </w:rPr>
      </w:pPr>
    </w:p>
    <w:p>
      <w:pPr>
        <w:jc w:val="center"/>
        <w:ind w:right="1040"/>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4100" w:space="720"/>
            <w:col w:w="2580" w:space="720"/>
            <w:col w:w="3300"/>
          </w:cols>
          <w:pgMar w:left="240" w:top="610" w:right="239" w:bottom="1440" w:gutter="0" w:footer="0" w:header="0"/>
          <w:type w:val="continuous"/>
        </w:sectPr>
      </w:pPr>
    </w:p>
    <w:p>
      <w:pPr>
        <w:spacing w:after="0" w:line="157"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5180" w:type="dxa"/>
            <w:vAlign w:val="bottom"/>
          </w:tcPr>
          <w:p>
            <w:pPr>
              <w:jc w:val="center"/>
              <w:ind w:right="2455"/>
              <w:spacing w:after="0"/>
              <w:rPr>
                <w:sz w:val="20"/>
                <w:szCs w:val="20"/>
                <w:color w:val="auto"/>
              </w:rPr>
            </w:pPr>
            <w:r>
              <w:rPr>
                <w:rFonts w:ascii="Arial" w:cs="Arial" w:eastAsia="Arial" w:hAnsi="Arial"/>
                <w:sz w:val="19"/>
                <w:szCs w:val="19"/>
                <w:b w:val="1"/>
                <w:bCs w:val="1"/>
                <w:color w:val="auto"/>
                <w:w w:val="84"/>
              </w:rPr>
              <w:t>2381 Rosegate</w:t>
            </w:r>
          </w:p>
        </w:tc>
        <w:tc>
          <w:tcPr>
            <w:tcW w:w="1760" w:type="dxa"/>
            <w:vAlign w:val="bottom"/>
          </w:tcPr>
          <w:p>
            <w:pPr>
              <w:spacing w:after="0"/>
              <w:rPr>
                <w:sz w:val="18"/>
                <w:szCs w:val="18"/>
                <w:color w:val="auto"/>
              </w:rPr>
            </w:pPr>
          </w:p>
        </w:tc>
      </w:tr>
      <w:tr>
        <w:trPr>
          <w:trHeight w:val="241"/>
        </w:trPr>
        <w:tc>
          <w:tcPr>
            <w:tcW w:w="5180" w:type="dxa"/>
            <w:vAlign w:val="bottom"/>
          </w:tcPr>
          <w:p>
            <w:pPr>
              <w:jc w:val="center"/>
              <w:ind w:right="2455"/>
              <w:spacing w:after="0"/>
              <w:rPr>
                <w:sz w:val="20"/>
                <w:szCs w:val="20"/>
                <w:color w:val="auto"/>
              </w:rPr>
            </w:pPr>
            <w:r>
              <w:rPr>
                <w:rFonts w:ascii="Arial" w:cs="Arial" w:eastAsia="Arial" w:hAnsi="Arial"/>
                <w:sz w:val="19"/>
                <w:szCs w:val="19"/>
                <w:b w:val="1"/>
                <w:bCs w:val="1"/>
                <w:color w:val="auto"/>
                <w:w w:val="90"/>
              </w:rPr>
              <w:t>Roseville, MN</w:t>
            </w:r>
          </w:p>
        </w:tc>
        <w:tc>
          <w:tcPr>
            <w:tcW w:w="1760" w:type="dxa"/>
            <w:vAlign w:val="bottom"/>
          </w:tcPr>
          <w:p>
            <w:pPr>
              <w:jc w:val="right"/>
              <w:ind w:right="63"/>
              <w:spacing w:after="0"/>
              <w:rPr>
                <w:sz w:val="20"/>
                <w:szCs w:val="20"/>
                <w:color w:val="auto"/>
              </w:rPr>
            </w:pPr>
            <w:r>
              <w:rPr>
                <w:rFonts w:ascii="Arial" w:cs="Arial" w:eastAsia="Arial" w:hAnsi="Arial"/>
                <w:sz w:val="15"/>
                <w:szCs w:val="15"/>
                <w:b w:val="1"/>
                <w:bCs w:val="1"/>
                <w:color w:val="auto"/>
              </w:rPr>
              <w:t>55113</w:t>
            </w:r>
          </w:p>
        </w:tc>
      </w:tr>
      <w:tr>
        <w:trPr>
          <w:trHeight w:val="222"/>
        </w:trPr>
        <w:tc>
          <w:tcPr>
            <w:tcW w:w="5180" w:type="dxa"/>
            <w:vAlign w:val="bottom"/>
          </w:tcPr>
          <w:p>
            <w:pPr>
              <w:jc w:val="center"/>
              <w:ind w:right="2455"/>
              <w:spacing w:after="0"/>
              <w:rPr>
                <w:sz w:val="20"/>
                <w:szCs w:val="20"/>
                <w:color w:val="auto"/>
              </w:rPr>
            </w:pPr>
            <w:r>
              <w:rPr>
                <w:rFonts w:ascii="Arial" w:cs="Arial" w:eastAsia="Arial" w:hAnsi="Arial"/>
                <w:sz w:val="15"/>
                <w:szCs w:val="15"/>
                <w:b w:val="1"/>
                <w:bCs w:val="1"/>
                <w:color w:val="auto"/>
                <w:w w:val="92"/>
              </w:rPr>
              <w:t>(Address of Principal Executive Offices)</w:t>
            </w:r>
          </w:p>
        </w:tc>
        <w:tc>
          <w:tcPr>
            <w:tcW w:w="1760" w:type="dxa"/>
            <w:vAlign w:val="bottom"/>
          </w:tcPr>
          <w:p>
            <w:pPr>
              <w:jc w:val="center"/>
              <w:ind w:left="1003"/>
              <w:spacing w:after="0"/>
              <w:rPr>
                <w:sz w:val="20"/>
                <w:szCs w:val="20"/>
                <w:color w:val="auto"/>
              </w:rPr>
            </w:pPr>
            <w:r>
              <w:rPr>
                <w:rFonts w:ascii="Arial" w:cs="Arial" w:eastAsia="Arial" w:hAnsi="Arial"/>
                <w:sz w:val="15"/>
                <w:szCs w:val="15"/>
                <w:color w:val="auto"/>
                <w:w w:val="95"/>
              </w:rPr>
              <w:t>(Zip Code)</w:t>
            </w:r>
          </w:p>
        </w:tc>
      </w:tr>
      <w:tr>
        <w:trPr>
          <w:trHeight w:val="395"/>
        </w:trPr>
        <w:tc>
          <w:tcPr>
            <w:tcW w:w="5180" w:type="dxa"/>
            <w:vAlign w:val="bottom"/>
          </w:tcPr>
          <w:p>
            <w:pPr>
              <w:ind w:left="1820"/>
              <w:spacing w:after="0"/>
              <w:rPr>
                <w:sz w:val="20"/>
                <w:szCs w:val="20"/>
                <w:color w:val="auto"/>
              </w:rPr>
            </w:pPr>
            <w:r>
              <w:rPr>
                <w:rFonts w:ascii="Arial" w:cs="Arial" w:eastAsia="Arial" w:hAnsi="Arial"/>
                <w:sz w:val="15"/>
                <w:szCs w:val="15"/>
                <w:color w:val="auto"/>
                <w:w w:val="93"/>
              </w:rPr>
              <w:t>Registrant's Telephone Number, Including Area Code</w:t>
            </w:r>
          </w:p>
        </w:tc>
        <w:tc>
          <w:tcPr>
            <w:tcW w:w="1760" w:type="dxa"/>
            <w:vAlign w:val="bottom"/>
          </w:tcPr>
          <w:p>
            <w:pPr>
              <w:jc w:val="right"/>
              <w:ind w:right="643"/>
              <w:spacing w:after="0"/>
              <w:rPr>
                <w:sz w:val="20"/>
                <w:szCs w:val="20"/>
                <w:color w:val="auto"/>
              </w:rPr>
            </w:pPr>
            <w:r>
              <w:rPr>
                <w:rFonts w:ascii="Arial" w:cs="Arial" w:eastAsia="Arial" w:hAnsi="Arial"/>
                <w:sz w:val="15"/>
                <w:szCs w:val="15"/>
                <w:b w:val="1"/>
                <w:bCs w:val="1"/>
                <w:color w:val="auto"/>
                <w:w w:val="99"/>
              </w:rPr>
              <w:t>(612) 331-6910</w:t>
            </w:r>
          </w:p>
        </w:tc>
      </w:tr>
    </w:tbl>
    <w:p>
      <w:pPr>
        <w:spacing w:after="0" w:line="176" w:lineRule="exact"/>
        <w:rPr>
          <w:sz w:val="24"/>
          <w:szCs w:val="24"/>
          <w:color w:val="auto"/>
        </w:rPr>
      </w:pPr>
    </w:p>
    <w:p>
      <w:pPr>
        <w:spacing w:after="0" w:line="290"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General Instruction A.2. below):</w:t>
      </w:r>
    </w:p>
    <w:p>
      <w:pPr>
        <w:spacing w:after="0" w:line="140" w:lineRule="exact"/>
        <w:rPr>
          <w:sz w:val="24"/>
          <w:szCs w:val="24"/>
          <w:color w:val="auto"/>
        </w:rPr>
      </w:pPr>
    </w:p>
    <w:p>
      <w:pPr>
        <w:ind w:left="820"/>
        <w:spacing w:after="0"/>
        <w:rPr>
          <w:sz w:val="20"/>
          <w:szCs w:val="20"/>
          <w:color w:val="auto"/>
        </w:rPr>
      </w:pPr>
      <w:r>
        <w:rPr>
          <w:rFonts w:ascii="Arial" w:cs="Arial" w:eastAsia="Arial" w:hAnsi="Arial"/>
          <w:sz w:val="15"/>
          <w:szCs w:val="15"/>
          <w:color w:val="auto"/>
        </w:rPr>
        <w:t>o Written communications pursuant to Rule 425 under the Securities Act (17 CFR 230.425)</w:t>
      </w:r>
    </w:p>
    <w:p>
      <w:pPr>
        <w:spacing w:after="0" w:line="199" w:lineRule="exact"/>
        <w:rPr>
          <w:sz w:val="24"/>
          <w:szCs w:val="24"/>
          <w:color w:val="auto"/>
        </w:rPr>
      </w:pPr>
    </w:p>
    <w:p>
      <w:pPr>
        <w:ind w:left="820"/>
        <w:spacing w:after="0"/>
        <w:rPr>
          <w:sz w:val="20"/>
          <w:szCs w:val="20"/>
          <w:color w:val="auto"/>
        </w:rPr>
      </w:pPr>
      <w:r>
        <w:rPr>
          <w:rFonts w:ascii="Arial" w:cs="Arial" w:eastAsia="Arial" w:hAnsi="Arial"/>
          <w:sz w:val="15"/>
          <w:szCs w:val="15"/>
          <w:color w:val="auto"/>
        </w:rPr>
        <w:t>o Soliciting material pursuant to Rule 14a-12 under the Exchange Act (17 CFR 240.14a-12)</w:t>
      </w:r>
    </w:p>
    <w:p>
      <w:pPr>
        <w:spacing w:after="0" w:line="199" w:lineRule="exact"/>
        <w:rPr>
          <w:sz w:val="24"/>
          <w:szCs w:val="24"/>
          <w:color w:val="auto"/>
        </w:rPr>
      </w:pPr>
    </w:p>
    <w:p>
      <w:pPr>
        <w:ind w:left="820"/>
        <w:spacing w:after="0"/>
        <w:rPr>
          <w:sz w:val="20"/>
          <w:szCs w:val="20"/>
          <w:color w:val="auto"/>
        </w:rPr>
      </w:pPr>
      <w:r>
        <w:rPr>
          <w:rFonts w:ascii="Arial" w:cs="Arial" w:eastAsia="Arial" w:hAnsi="Arial"/>
          <w:sz w:val="15"/>
          <w:szCs w:val="15"/>
          <w:color w:val="auto"/>
        </w:rPr>
        <w:t>o Pre-commencement communications pursuant to Rule 14d-2(b) under the Exchange Act (17 CFR 240.14d-2(b))</w:t>
      </w:r>
    </w:p>
    <w:p>
      <w:pPr>
        <w:spacing w:after="0" w:line="199" w:lineRule="exact"/>
        <w:rPr>
          <w:sz w:val="24"/>
          <w:szCs w:val="24"/>
          <w:color w:val="auto"/>
        </w:rPr>
      </w:pPr>
    </w:p>
    <w:p>
      <w:pPr>
        <w:ind w:left="820"/>
        <w:spacing w:after="0"/>
        <w:rPr>
          <w:sz w:val="20"/>
          <w:szCs w:val="20"/>
          <w:color w:val="auto"/>
        </w:rPr>
      </w:pPr>
      <w:r>
        <w:rPr>
          <w:rFonts w:ascii="Arial" w:cs="Arial" w:eastAsia="Arial" w:hAnsi="Arial"/>
          <w:sz w:val="15"/>
          <w:szCs w:val="15"/>
          <w:color w:val="auto"/>
        </w:rPr>
        <w:t>o Pre-commencement communications pursuant to Rule 13e-4(c) under the Exchange Act (17 CFR 240.13e-4(c))</w:t>
      </w:r>
    </w:p>
    <w:p>
      <w:pPr>
        <w:sectPr>
          <w:pgSz w:w="11900" w:h="16838" w:orient="portrait"/>
          <w:cols w:equalWidth="0" w:num="1">
            <w:col w:w="11420"/>
          </w:cols>
          <w:pgMar w:left="240" w:top="610" w:right="239" w:bottom="1440" w:gutter="0" w:footer="0" w:header="0"/>
          <w:type w:val="continuous"/>
        </w:sectPr>
      </w:pPr>
    </w:p>
    <w:bookmarkStart w:id="1" w:name="page2"/>
    <w:bookmarkEnd w:id="1"/>
    <w:p>
      <w:pPr>
        <w:spacing w:after="0"/>
        <w:tabs>
          <w:tab w:leader="none" w:pos="920" w:val="left"/>
        </w:tabs>
        <w:rPr>
          <w:sz w:val="20"/>
          <w:szCs w:val="20"/>
          <w:color w:val="auto"/>
        </w:rPr>
      </w:pPr>
      <w:r>
        <w:rPr>
          <w:rFonts w:ascii="Arial" w:cs="Arial" w:eastAsia="Arial" w:hAnsi="Arial"/>
          <w:sz w:val="19"/>
          <w:szCs w:val="19"/>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03" w:lineRule="exact"/>
        <w:rPr>
          <w:sz w:val="20"/>
          <w:szCs w:val="20"/>
          <w:color w:val="auto"/>
        </w:rPr>
      </w:pPr>
    </w:p>
    <w:p>
      <w:pPr>
        <w:ind w:right="300" w:firstLine="557"/>
        <w:spacing w:after="0" w:line="322" w:lineRule="auto"/>
        <w:rPr>
          <w:sz w:val="20"/>
          <w:szCs w:val="20"/>
          <w:color w:val="auto"/>
        </w:rPr>
      </w:pPr>
      <w:r>
        <w:rPr>
          <w:rFonts w:ascii="Arial" w:cs="Arial" w:eastAsia="Arial" w:hAnsi="Arial"/>
          <w:sz w:val="17"/>
          <w:szCs w:val="17"/>
          <w:color w:val="auto"/>
        </w:rPr>
        <w:t>At our annual meeting of shareholders held August 1, 2013, the following proposals, each as described in further detail in the definitive proxy statement filed by our company on June 24, 2013 (File No. 0-7647), were voted upon by our shareholders as set forth below:</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One - Election of Directors</w:t>
      </w:r>
    </w:p>
    <w:p>
      <w:pPr>
        <w:spacing w:after="0" w:line="192" w:lineRule="exact"/>
        <w:rPr>
          <w:sz w:val="20"/>
          <w:szCs w:val="20"/>
          <w:color w:val="auto"/>
        </w:rPr>
      </w:pPr>
    </w:p>
    <w:p>
      <w:pPr>
        <w:ind w:right="320"/>
        <w:spacing w:after="0" w:line="263" w:lineRule="auto"/>
        <w:rPr>
          <w:sz w:val="20"/>
          <w:szCs w:val="20"/>
          <w:color w:val="auto"/>
        </w:rPr>
      </w:pPr>
      <w:r>
        <w:rPr>
          <w:rFonts w:ascii="Arial" w:cs="Arial" w:eastAsia="Arial" w:hAnsi="Arial"/>
          <w:sz w:val="19"/>
          <w:szCs w:val="19"/>
          <w:color w:val="auto"/>
        </w:rPr>
        <w:t>Our shareholders elected each of the seven nominees to serve as director for a term of one year, which term shall expire at the next annual meeting of shareholders, based on the following votes:</w:t>
      </w:r>
    </w:p>
    <w:p>
      <w:pPr>
        <w:spacing w:after="0" w:line="278" w:lineRule="exact"/>
        <w:rPr>
          <w:sz w:val="20"/>
          <w:szCs w:val="20"/>
          <w:color w:val="auto"/>
        </w:rPr>
      </w:pPr>
    </w:p>
    <w:tbl>
      <w:tblPr>
        <w:tblLayout w:type="fixed"/>
        <w:tblInd w:w="500" w:type="dxa"/>
        <w:tblCellMar>
          <w:top w:w="0" w:type="dxa"/>
          <w:left w:w="0" w:type="dxa"/>
          <w:bottom w:w="0" w:type="dxa"/>
          <w:right w:w="0" w:type="dxa"/>
        </w:tblCellMar>
      </w:tblPr>
      <w:tr>
        <w:trPr>
          <w:trHeight w:val="202"/>
        </w:trPr>
        <w:tc>
          <w:tcPr>
            <w:tcW w:w="3340" w:type="dxa"/>
            <w:vAlign w:val="bottom"/>
            <w:gridSpan w:val="2"/>
          </w:tcPr>
          <w:p>
            <w:pPr>
              <w:ind w:left="1020"/>
              <w:spacing w:after="0"/>
              <w:rPr>
                <w:sz w:val="20"/>
                <w:szCs w:val="20"/>
                <w:color w:val="auto"/>
              </w:rPr>
            </w:pPr>
            <w:r>
              <w:rPr>
                <w:rFonts w:ascii="Arial" w:cs="Arial" w:eastAsia="Arial" w:hAnsi="Arial"/>
                <w:sz w:val="15"/>
                <w:szCs w:val="15"/>
                <w:b w:val="1"/>
                <w:bCs w:val="1"/>
                <w:color w:val="auto"/>
              </w:rPr>
              <w:t>Director Nominee</w:t>
            </w:r>
          </w:p>
        </w:tc>
        <w:tc>
          <w:tcPr>
            <w:tcW w:w="2400" w:type="dxa"/>
            <w:vAlign w:val="bottom"/>
            <w:gridSpan w:val="2"/>
          </w:tcPr>
          <w:p>
            <w:pPr>
              <w:ind w:left="1020"/>
              <w:spacing w:after="0"/>
              <w:rPr>
                <w:sz w:val="20"/>
                <w:szCs w:val="20"/>
                <w:color w:val="auto"/>
              </w:rPr>
            </w:pPr>
            <w:r>
              <w:rPr>
                <w:rFonts w:ascii="Arial" w:cs="Arial" w:eastAsia="Arial" w:hAnsi="Arial"/>
                <w:sz w:val="15"/>
                <w:szCs w:val="15"/>
                <w:b w:val="1"/>
                <w:bCs w:val="1"/>
                <w:color w:val="auto"/>
              </w:rPr>
              <w:t>For</w:t>
            </w:r>
          </w:p>
        </w:tc>
        <w:tc>
          <w:tcPr>
            <w:tcW w:w="2420" w:type="dxa"/>
            <w:vAlign w:val="bottom"/>
            <w:gridSpan w:val="2"/>
          </w:tcPr>
          <w:p>
            <w:pPr>
              <w:ind w:left="900"/>
              <w:spacing w:after="0"/>
              <w:rPr>
                <w:sz w:val="20"/>
                <w:szCs w:val="20"/>
                <w:color w:val="auto"/>
              </w:rPr>
            </w:pPr>
            <w:r>
              <w:rPr>
                <w:rFonts w:ascii="Arial" w:cs="Arial" w:eastAsia="Arial" w:hAnsi="Arial"/>
                <w:sz w:val="15"/>
                <w:szCs w:val="15"/>
                <w:b w:val="1"/>
                <w:bCs w:val="1"/>
                <w:color w:val="auto"/>
              </w:rPr>
              <w:t>Against</w:t>
            </w:r>
          </w:p>
        </w:tc>
        <w:tc>
          <w:tcPr>
            <w:tcW w:w="2280" w:type="dxa"/>
            <w:vAlign w:val="bottom"/>
          </w:tcPr>
          <w:p>
            <w:pPr>
              <w:jc w:val="right"/>
              <w:ind w:right="823"/>
              <w:spacing w:after="0"/>
              <w:rPr>
                <w:sz w:val="20"/>
                <w:szCs w:val="20"/>
                <w:color w:val="auto"/>
              </w:rPr>
            </w:pPr>
            <w:r>
              <w:rPr>
                <w:rFonts w:ascii="Arial" w:cs="Arial" w:eastAsia="Arial" w:hAnsi="Arial"/>
                <w:sz w:val="15"/>
                <w:szCs w:val="15"/>
                <w:b w:val="1"/>
                <w:bCs w:val="1"/>
                <w:color w:val="auto"/>
              </w:rPr>
              <w:t>Abstain</w:t>
            </w:r>
          </w:p>
        </w:tc>
      </w:tr>
      <w:tr>
        <w:trPr>
          <w:trHeight w:val="24"/>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00"/>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John S. McKeon</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7,214,608.682</w:t>
            </w:r>
          </w:p>
        </w:tc>
        <w:tc>
          <w:tcPr>
            <w:tcW w:w="100" w:type="dxa"/>
            <w:vAlign w:val="bottom"/>
          </w:tcPr>
          <w:p>
            <w:pPr>
              <w:spacing w:after="0"/>
              <w:rPr>
                <w:sz w:val="17"/>
                <w:szCs w:val="17"/>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926,879.000</w:t>
            </w:r>
          </w:p>
        </w:tc>
        <w:tc>
          <w:tcPr>
            <w:tcW w:w="120" w:type="dxa"/>
            <w:vAlign w:val="bottom"/>
          </w:tcPr>
          <w:p>
            <w:pPr>
              <w:spacing w:after="0"/>
              <w:rPr>
                <w:sz w:val="17"/>
                <w:szCs w:val="17"/>
                <w:color w:val="auto"/>
              </w:rPr>
            </w:pPr>
          </w:p>
        </w:tc>
        <w:tc>
          <w:tcPr>
            <w:tcW w:w="2280" w:type="dxa"/>
            <w:vAlign w:val="bottom"/>
          </w:tcPr>
          <w:p>
            <w:pPr>
              <w:jc w:val="right"/>
              <w:ind w:right="23"/>
              <w:spacing w:after="0"/>
              <w:rPr>
                <w:sz w:val="20"/>
                <w:szCs w:val="20"/>
                <w:color w:val="auto"/>
              </w:rPr>
            </w:pPr>
            <w:r>
              <w:rPr>
                <w:rFonts w:ascii="Arial" w:cs="Arial" w:eastAsia="Arial" w:hAnsi="Arial"/>
                <w:sz w:val="15"/>
                <w:szCs w:val="15"/>
                <w:color w:val="auto"/>
              </w:rPr>
              <w:t>23,921.000</w:t>
            </w:r>
          </w:p>
        </w:tc>
      </w:tr>
      <w:tr>
        <w:trPr>
          <w:trHeight w:val="23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Patrick H. Hawkins</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7,952,747.682</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206,582.000</w:t>
            </w:r>
          </w:p>
        </w:tc>
        <w:tc>
          <w:tcPr>
            <w:tcW w:w="120" w:type="dxa"/>
            <w:vAlign w:val="bottom"/>
          </w:tcPr>
          <w:p>
            <w:pPr>
              <w:spacing w:after="0"/>
              <w:rPr>
                <w:sz w:val="20"/>
                <w:szCs w:val="20"/>
                <w:color w:val="auto"/>
              </w:rPr>
            </w:pPr>
          </w:p>
        </w:tc>
        <w:tc>
          <w:tcPr>
            <w:tcW w:w="2280" w:type="dxa"/>
            <w:vAlign w:val="bottom"/>
          </w:tcPr>
          <w:p>
            <w:pPr>
              <w:jc w:val="right"/>
              <w:ind w:right="23"/>
              <w:spacing w:after="0"/>
              <w:rPr>
                <w:sz w:val="20"/>
                <w:szCs w:val="20"/>
                <w:color w:val="auto"/>
              </w:rPr>
            </w:pPr>
            <w:r>
              <w:rPr>
                <w:rFonts w:ascii="Arial" w:cs="Arial" w:eastAsia="Arial" w:hAnsi="Arial"/>
                <w:sz w:val="15"/>
                <w:szCs w:val="15"/>
                <w:color w:val="auto"/>
              </w:rPr>
              <w:t>6,079.000</w:t>
            </w:r>
          </w:p>
        </w:tc>
      </w:tr>
      <w:tr>
        <w:trPr>
          <w:trHeight w:val="23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James A. Faulconbridge</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7,219,981.682</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921,717.000</w:t>
            </w:r>
          </w:p>
        </w:tc>
        <w:tc>
          <w:tcPr>
            <w:tcW w:w="120" w:type="dxa"/>
            <w:vAlign w:val="bottom"/>
          </w:tcPr>
          <w:p>
            <w:pPr>
              <w:spacing w:after="0"/>
              <w:rPr>
                <w:sz w:val="20"/>
                <w:szCs w:val="20"/>
                <w:color w:val="auto"/>
              </w:rPr>
            </w:pPr>
          </w:p>
        </w:tc>
        <w:tc>
          <w:tcPr>
            <w:tcW w:w="2280" w:type="dxa"/>
            <w:vAlign w:val="bottom"/>
          </w:tcPr>
          <w:p>
            <w:pPr>
              <w:jc w:val="right"/>
              <w:ind w:right="23"/>
              <w:spacing w:after="0"/>
              <w:rPr>
                <w:sz w:val="20"/>
                <w:szCs w:val="20"/>
                <w:color w:val="auto"/>
              </w:rPr>
            </w:pPr>
            <w:r>
              <w:rPr>
                <w:rFonts w:ascii="Arial" w:cs="Arial" w:eastAsia="Arial" w:hAnsi="Arial"/>
                <w:sz w:val="15"/>
                <w:szCs w:val="15"/>
                <w:color w:val="auto"/>
              </w:rPr>
              <w:t>23,710.000</w:t>
            </w:r>
          </w:p>
        </w:tc>
      </w:tr>
      <w:tr>
        <w:trPr>
          <w:trHeight w:val="23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Duane M. Jergenson</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8,074,460.644</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50,013.000</w:t>
            </w:r>
          </w:p>
        </w:tc>
        <w:tc>
          <w:tcPr>
            <w:tcW w:w="120" w:type="dxa"/>
            <w:vAlign w:val="bottom"/>
          </w:tcPr>
          <w:p>
            <w:pPr>
              <w:spacing w:after="0"/>
              <w:rPr>
                <w:sz w:val="20"/>
                <w:szCs w:val="20"/>
                <w:color w:val="auto"/>
              </w:rPr>
            </w:pPr>
          </w:p>
        </w:tc>
        <w:tc>
          <w:tcPr>
            <w:tcW w:w="2280" w:type="dxa"/>
            <w:vAlign w:val="bottom"/>
          </w:tcPr>
          <w:p>
            <w:pPr>
              <w:jc w:val="right"/>
              <w:ind w:right="23"/>
              <w:spacing w:after="0"/>
              <w:rPr>
                <w:sz w:val="20"/>
                <w:szCs w:val="20"/>
                <w:color w:val="auto"/>
              </w:rPr>
            </w:pPr>
            <w:r>
              <w:rPr>
                <w:rFonts w:ascii="Arial" w:cs="Arial" w:eastAsia="Arial" w:hAnsi="Arial"/>
                <w:sz w:val="15"/>
                <w:szCs w:val="15"/>
                <w:color w:val="auto"/>
              </w:rPr>
              <w:t>40,935.038</w:t>
            </w:r>
          </w:p>
        </w:tc>
      </w:tr>
      <w:tr>
        <w:trPr>
          <w:trHeight w:val="23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Mary J. Schumacher</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7,786,690.644</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355,366.000</w:t>
            </w:r>
          </w:p>
        </w:tc>
        <w:tc>
          <w:tcPr>
            <w:tcW w:w="120" w:type="dxa"/>
            <w:vAlign w:val="bottom"/>
          </w:tcPr>
          <w:p>
            <w:pPr>
              <w:spacing w:after="0"/>
              <w:rPr>
                <w:sz w:val="20"/>
                <w:szCs w:val="20"/>
                <w:color w:val="auto"/>
              </w:rPr>
            </w:pPr>
          </w:p>
        </w:tc>
        <w:tc>
          <w:tcPr>
            <w:tcW w:w="2280" w:type="dxa"/>
            <w:vAlign w:val="bottom"/>
          </w:tcPr>
          <w:p>
            <w:pPr>
              <w:jc w:val="right"/>
              <w:ind w:right="23"/>
              <w:spacing w:after="0"/>
              <w:rPr>
                <w:sz w:val="20"/>
                <w:szCs w:val="20"/>
                <w:color w:val="auto"/>
              </w:rPr>
            </w:pPr>
            <w:r>
              <w:rPr>
                <w:rFonts w:ascii="Arial" w:cs="Arial" w:eastAsia="Arial" w:hAnsi="Arial"/>
                <w:sz w:val="15"/>
                <w:szCs w:val="15"/>
                <w:color w:val="auto"/>
              </w:rPr>
              <w:t>23,352.038</w:t>
            </w:r>
          </w:p>
        </w:tc>
      </w:tr>
      <w:tr>
        <w:trPr>
          <w:trHeight w:val="23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Daryl I. Skaar</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8,034,780.682</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107,191.000</w:t>
            </w:r>
          </w:p>
        </w:tc>
        <w:tc>
          <w:tcPr>
            <w:tcW w:w="120" w:type="dxa"/>
            <w:vAlign w:val="bottom"/>
          </w:tcPr>
          <w:p>
            <w:pPr>
              <w:spacing w:after="0"/>
              <w:rPr>
                <w:sz w:val="20"/>
                <w:szCs w:val="20"/>
                <w:color w:val="auto"/>
              </w:rPr>
            </w:pPr>
          </w:p>
        </w:tc>
        <w:tc>
          <w:tcPr>
            <w:tcW w:w="2280" w:type="dxa"/>
            <w:vAlign w:val="bottom"/>
          </w:tcPr>
          <w:p>
            <w:pPr>
              <w:jc w:val="right"/>
              <w:ind w:right="23"/>
              <w:spacing w:after="0"/>
              <w:rPr>
                <w:sz w:val="20"/>
                <w:szCs w:val="20"/>
                <w:color w:val="auto"/>
              </w:rPr>
            </w:pPr>
            <w:r>
              <w:rPr>
                <w:rFonts w:ascii="Arial" w:cs="Arial" w:eastAsia="Arial" w:hAnsi="Arial"/>
                <w:sz w:val="15"/>
                <w:szCs w:val="15"/>
                <w:color w:val="auto"/>
              </w:rPr>
              <w:t>23,437.000</w:t>
            </w:r>
          </w:p>
        </w:tc>
      </w:tr>
      <w:tr>
        <w:trPr>
          <w:trHeight w:val="23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James T. Thompson</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8,069,704.682</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72,106.000</w:t>
            </w:r>
          </w:p>
        </w:tc>
        <w:tc>
          <w:tcPr>
            <w:tcW w:w="120" w:type="dxa"/>
            <w:vAlign w:val="bottom"/>
          </w:tcPr>
          <w:p>
            <w:pPr>
              <w:spacing w:after="0"/>
              <w:rPr>
                <w:sz w:val="20"/>
                <w:szCs w:val="20"/>
                <w:color w:val="auto"/>
              </w:rPr>
            </w:pPr>
          </w:p>
        </w:tc>
        <w:tc>
          <w:tcPr>
            <w:tcW w:w="2280" w:type="dxa"/>
            <w:vAlign w:val="bottom"/>
          </w:tcPr>
          <w:p>
            <w:pPr>
              <w:jc w:val="right"/>
              <w:ind w:right="23"/>
              <w:spacing w:after="0"/>
              <w:rPr>
                <w:sz w:val="20"/>
                <w:szCs w:val="20"/>
                <w:color w:val="auto"/>
              </w:rPr>
            </w:pPr>
            <w:r>
              <w:rPr>
                <w:rFonts w:ascii="Arial" w:cs="Arial" w:eastAsia="Arial" w:hAnsi="Arial"/>
                <w:sz w:val="15"/>
                <w:szCs w:val="15"/>
                <w:color w:val="auto"/>
              </w:rPr>
              <w:t>23,598.000</w:t>
            </w:r>
          </w:p>
        </w:tc>
      </w:tr>
      <w:tr>
        <w:trPr>
          <w:trHeight w:val="232"/>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Jeffrey L. Wright</w:t>
            </w: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7,227,584.644</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Arial" w:cs="Arial" w:eastAsia="Arial" w:hAnsi="Arial"/>
                <w:sz w:val="15"/>
                <w:szCs w:val="15"/>
                <w:color w:val="auto"/>
              </w:rPr>
              <w:t>914,268.038</w:t>
            </w:r>
          </w:p>
        </w:tc>
        <w:tc>
          <w:tcPr>
            <w:tcW w:w="120" w:type="dxa"/>
            <w:vAlign w:val="bottom"/>
          </w:tcPr>
          <w:p>
            <w:pPr>
              <w:spacing w:after="0"/>
              <w:rPr>
                <w:sz w:val="20"/>
                <w:szCs w:val="20"/>
                <w:color w:val="auto"/>
              </w:rPr>
            </w:pPr>
          </w:p>
        </w:tc>
        <w:tc>
          <w:tcPr>
            <w:tcW w:w="2280" w:type="dxa"/>
            <w:vAlign w:val="bottom"/>
          </w:tcPr>
          <w:p>
            <w:pPr>
              <w:jc w:val="right"/>
              <w:ind w:right="23"/>
              <w:spacing w:after="0"/>
              <w:rPr>
                <w:sz w:val="20"/>
                <w:szCs w:val="20"/>
                <w:color w:val="auto"/>
              </w:rPr>
            </w:pPr>
            <w:r>
              <w:rPr>
                <w:rFonts w:ascii="Arial" w:cs="Arial" w:eastAsia="Arial" w:hAnsi="Arial"/>
                <w:sz w:val="15"/>
                <w:szCs w:val="15"/>
                <w:color w:val="auto"/>
              </w:rPr>
              <w:t>23,556.000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Two - Non-Binding Advisory Vote on Executive Compensation</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shareholders approved, on an advisory basis, the compensation of the Company's executive officers as disclosed in the proxy statement distributed in connection with the annual meeting, based on the votes listed below:</w:t>
      </w:r>
    </w:p>
    <w:p>
      <w:pPr>
        <w:spacing w:after="0" w:line="278" w:lineRule="exact"/>
        <w:rPr>
          <w:sz w:val="20"/>
          <w:szCs w:val="20"/>
          <w:color w:val="auto"/>
        </w:rPr>
      </w:pPr>
    </w:p>
    <w:tbl>
      <w:tblPr>
        <w:tblLayout w:type="fixed"/>
        <w:tblInd w:w="2380" w:type="dxa"/>
        <w:tblCellMar>
          <w:top w:w="0" w:type="dxa"/>
          <w:left w:w="0" w:type="dxa"/>
          <w:bottom w:w="0" w:type="dxa"/>
          <w:right w:w="0" w:type="dxa"/>
        </w:tblCellMar>
      </w:tblPr>
      <w:tr>
        <w:trPr>
          <w:trHeight w:val="202"/>
        </w:trPr>
        <w:tc>
          <w:tcPr>
            <w:tcW w:w="17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For</w:t>
            </w:r>
          </w:p>
        </w:tc>
        <w:tc>
          <w:tcPr>
            <w:tcW w:w="16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4"/>
              </w:rPr>
              <w:t>Against</w:t>
            </w:r>
          </w:p>
        </w:tc>
        <w:tc>
          <w:tcPr>
            <w:tcW w:w="16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4"/>
              </w:rPr>
              <w:t>Abstain</w:t>
            </w:r>
          </w:p>
        </w:tc>
        <w:tc>
          <w:tcPr>
            <w:tcW w:w="1580" w:type="dxa"/>
            <w:vAlign w:val="bottom"/>
          </w:tcPr>
          <w:p>
            <w:pPr>
              <w:jc w:val="center"/>
              <w:spacing w:after="0"/>
              <w:rPr>
                <w:sz w:val="20"/>
                <w:szCs w:val="20"/>
                <w:color w:val="auto"/>
              </w:rPr>
            </w:pPr>
            <w:r>
              <w:rPr>
                <w:rFonts w:ascii="Arial" w:cs="Arial" w:eastAsia="Arial" w:hAnsi="Arial"/>
                <w:sz w:val="15"/>
                <w:szCs w:val="15"/>
                <w:b w:val="1"/>
                <w:bCs w:val="1"/>
                <w:color w:val="auto"/>
                <w:w w:val="92"/>
              </w:rPr>
              <w:t>Broker Non-Votes</w:t>
            </w:r>
          </w:p>
        </w:tc>
      </w:tr>
      <w:tr>
        <w:trPr>
          <w:trHeight w:val="24"/>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0"/>
        </w:trPr>
        <w:tc>
          <w:tcPr>
            <w:tcW w:w="1640" w:type="dxa"/>
            <w:vAlign w:val="bottom"/>
          </w:tcPr>
          <w:p>
            <w:pPr>
              <w:jc w:val="right"/>
              <w:ind w:right="303"/>
              <w:spacing w:after="0"/>
              <w:rPr>
                <w:sz w:val="20"/>
                <w:szCs w:val="20"/>
                <w:color w:val="auto"/>
              </w:rPr>
            </w:pPr>
            <w:r>
              <w:rPr>
                <w:rFonts w:ascii="Arial" w:cs="Arial" w:eastAsia="Arial" w:hAnsi="Arial"/>
                <w:sz w:val="15"/>
                <w:szCs w:val="15"/>
                <w:color w:val="auto"/>
              </w:rPr>
              <w:t>7,832,245.147</w:t>
            </w:r>
          </w:p>
        </w:tc>
        <w:tc>
          <w:tcPr>
            <w:tcW w:w="100" w:type="dxa"/>
            <w:vAlign w:val="bottom"/>
          </w:tcPr>
          <w:p>
            <w:pPr>
              <w:spacing w:after="0"/>
              <w:rPr>
                <w:sz w:val="17"/>
                <w:szCs w:val="17"/>
                <w:color w:val="auto"/>
              </w:rPr>
            </w:pPr>
          </w:p>
        </w:tc>
        <w:tc>
          <w:tcPr>
            <w:tcW w:w="1580" w:type="dxa"/>
            <w:vAlign w:val="bottom"/>
          </w:tcPr>
          <w:p>
            <w:pPr>
              <w:jc w:val="right"/>
              <w:ind w:right="343"/>
              <w:spacing w:after="0"/>
              <w:rPr>
                <w:sz w:val="20"/>
                <w:szCs w:val="20"/>
                <w:color w:val="auto"/>
              </w:rPr>
            </w:pPr>
            <w:r>
              <w:rPr>
                <w:rFonts w:ascii="Arial" w:cs="Arial" w:eastAsia="Arial" w:hAnsi="Arial"/>
                <w:sz w:val="15"/>
                <w:szCs w:val="15"/>
                <w:color w:val="auto"/>
              </w:rPr>
              <w:t>266,775.903</w:t>
            </w:r>
          </w:p>
        </w:tc>
        <w:tc>
          <w:tcPr>
            <w:tcW w:w="100" w:type="dxa"/>
            <w:vAlign w:val="bottom"/>
          </w:tcPr>
          <w:p>
            <w:pPr>
              <w:spacing w:after="0"/>
              <w:rPr>
                <w:sz w:val="17"/>
                <w:szCs w:val="17"/>
                <w:color w:val="auto"/>
              </w:rPr>
            </w:pPr>
          </w:p>
        </w:tc>
        <w:tc>
          <w:tcPr>
            <w:tcW w:w="1580" w:type="dxa"/>
            <w:vAlign w:val="bottom"/>
          </w:tcPr>
          <w:p>
            <w:pPr>
              <w:jc w:val="right"/>
              <w:ind w:right="363"/>
              <w:spacing w:after="0"/>
              <w:rPr>
                <w:sz w:val="20"/>
                <w:szCs w:val="20"/>
                <w:color w:val="auto"/>
              </w:rPr>
            </w:pPr>
            <w:r>
              <w:rPr>
                <w:rFonts w:ascii="Arial" w:cs="Arial" w:eastAsia="Arial" w:hAnsi="Arial"/>
                <w:sz w:val="15"/>
                <w:szCs w:val="15"/>
                <w:color w:val="auto"/>
              </w:rPr>
              <w:t>66,387.632</w:t>
            </w: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5"/>
                <w:szCs w:val="15"/>
                <w:color w:val="auto"/>
              </w:rPr>
              <w:t>—</w:t>
            </w:r>
          </w:p>
        </w:tc>
      </w:tr>
    </w:tbl>
    <w:p>
      <w:pPr>
        <w:sectPr>
          <w:pgSz w:w="11900" w:h="16838" w:orient="portrait"/>
          <w:cols w:equalWidth="0" w:num="1">
            <w:col w:w="11400"/>
          </w:cols>
          <w:pgMar w:left="240" w:top="523"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color w:val="auto"/>
        </w:rPr>
        <w:t>SIGNATURES</w:t>
      </w:r>
    </w:p>
    <w:p>
      <w:pPr>
        <w:spacing w:after="0" w:line="188" w:lineRule="exact"/>
        <w:rPr>
          <w:sz w:val="20"/>
          <w:szCs w:val="20"/>
          <w:color w:val="auto"/>
        </w:rPr>
      </w:pPr>
    </w:p>
    <w:p>
      <w:pPr>
        <w:ind w:firstLine="557"/>
        <w:spacing w:after="0" w:line="263"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84" w:lineRule="exact"/>
        <w:rPr>
          <w:sz w:val="20"/>
          <w:szCs w:val="20"/>
          <w:color w:val="auto"/>
        </w:rPr>
      </w:pPr>
    </w:p>
    <w:p>
      <w:pPr>
        <w:ind w:left="6800"/>
        <w:spacing w:after="0"/>
        <w:rPr>
          <w:sz w:val="20"/>
          <w:szCs w:val="20"/>
          <w:color w:val="auto"/>
        </w:rPr>
      </w:pPr>
      <w:r>
        <w:rPr>
          <w:rFonts w:ascii="Arial" w:cs="Arial" w:eastAsia="Arial" w:hAnsi="Arial"/>
          <w:sz w:val="15"/>
          <w:szCs w:val="15"/>
          <w:color w:val="auto"/>
        </w:rPr>
        <w:t>HAWKINS, INC.</w:t>
      </w:r>
    </w:p>
    <w:p>
      <w:pPr>
        <w:spacing w:after="0" w:line="164" w:lineRule="exact"/>
        <w:rPr>
          <w:sz w:val="20"/>
          <w:szCs w:val="20"/>
          <w:color w:val="auto"/>
        </w:rPr>
      </w:pPr>
    </w:p>
    <w:p>
      <w:pPr>
        <w:ind w:left="3640"/>
        <w:spacing w:after="0"/>
        <w:tabs>
          <w:tab w:leader="none" w:pos="6780" w:val="left"/>
          <w:tab w:leader="none" w:pos="8720" w:val="left"/>
        </w:tabs>
        <w:rPr>
          <w:sz w:val="20"/>
          <w:szCs w:val="20"/>
          <w:color w:val="auto"/>
        </w:rPr>
      </w:pPr>
      <w:r>
        <w:rPr>
          <w:rFonts w:ascii="Arial" w:cs="Arial" w:eastAsia="Arial" w:hAnsi="Arial"/>
          <w:sz w:val="15"/>
          <w:szCs w:val="15"/>
          <w:color w:val="auto"/>
        </w:rPr>
        <w:t>Date: August 6, 2013</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29845</wp:posOffset>
            </wp:positionV>
            <wp:extent cx="27508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50820" cy="7620"/>
                    </a:xfrm>
                    <a:prstGeom prst="rect">
                      <a:avLst/>
                    </a:prstGeom>
                    <a:noFill/>
                  </pic:spPr>
                </pic:pic>
              </a:graphicData>
            </a:graphic>
          </wp:anchor>
        </w:drawing>
      </w:r>
    </w:p>
    <w:p>
      <w:pPr>
        <w:spacing w:after="0" w:line="51" w:lineRule="exact"/>
        <w:rPr>
          <w:sz w:val="20"/>
          <w:szCs w:val="20"/>
          <w:color w:val="auto"/>
        </w:rPr>
      </w:pPr>
    </w:p>
    <w:p>
      <w:pPr>
        <w:jc w:val="center"/>
        <w:ind w:left="7340"/>
        <w:spacing w:after="0"/>
        <w:rPr>
          <w:sz w:val="20"/>
          <w:szCs w:val="20"/>
          <w:color w:val="auto"/>
        </w:rPr>
      </w:pPr>
      <w:r>
        <w:rPr>
          <w:rFonts w:ascii="Arial" w:cs="Arial" w:eastAsia="Arial" w:hAnsi="Arial"/>
          <w:sz w:val="15"/>
          <w:szCs w:val="15"/>
          <w:color w:val="auto"/>
        </w:rPr>
        <w:t>Richard G. Erstad</w:t>
      </w:r>
    </w:p>
    <w:p>
      <w:pPr>
        <w:spacing w:after="0" w:line="60" w:lineRule="exact"/>
        <w:rPr>
          <w:sz w:val="20"/>
          <w:szCs w:val="20"/>
          <w:color w:val="auto"/>
        </w:rPr>
      </w:pPr>
    </w:p>
    <w:p>
      <w:pPr>
        <w:jc w:val="center"/>
        <w:ind w:left="7340"/>
        <w:spacing w:after="0"/>
        <w:rPr>
          <w:sz w:val="20"/>
          <w:szCs w:val="20"/>
          <w:color w:val="auto"/>
        </w:rPr>
      </w:pPr>
      <w:r>
        <w:rPr>
          <w:rFonts w:ascii="Arial" w:cs="Arial" w:eastAsia="Arial" w:hAnsi="Arial"/>
          <w:sz w:val="15"/>
          <w:szCs w:val="15"/>
          <w:color w:val="auto"/>
        </w:rPr>
        <w:t>Vice President, General Counsel and Secretary</w:t>
      </w:r>
    </w:p>
    <w:sectPr>
      <w:pgSz w:w="11900" w:h="16838" w:orient="portrait"/>
      <w:cols w:equalWidth="0" w:num="1">
        <w:col w:w="11440"/>
      </w:cols>
      <w:pgMar w:left="240" w:top="5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2019-12-05T11:18:25Z</dcterms:created>
  <dcterms:modified xsi:type="dcterms:W3CDTF">2019-12-05T11:18:25Z</dcterms:modified>
</cp:coreProperties>
</file>