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Pepski Kathleen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VP, CFO, &amp; Treas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04/29/2014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1,505</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37.26</w:t>
            </w:r>
          </w:p>
        </w:tc>
        <w:tc>
          <w:tcPr>
            <w:tcW w:w="126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w w:val="96"/>
              </w:rPr>
              <w:t>15,728.448</w:t>
            </w:r>
            <w:r>
              <w:rPr>
                <w:rFonts w:ascii="Arial" w:cs="Arial" w:eastAsia="Arial" w:hAnsi="Arial"/>
                <w:sz w:val="22"/>
                <w:szCs w:val="22"/>
                <w:color w:val="008000"/>
                <w:w w:val="96"/>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8"/>
                <w:szCs w:val="18"/>
                <w:color w:val="0000FF"/>
              </w:rPr>
              <w:t>224.3241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332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1.717 shares acquired in October 2013 and 3.731 shares acquired in April 2014, each pursuant to the issuer's dividend reinvestment plan, and 179 shares acquired in June of 2013 and 205 shares acquired in December 2013, each pursuant to the issuer's employee stock purchase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05/06/2014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8616"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2019-12-17T10:51:17Z</dcterms:created>
  <dcterms:modified xsi:type="dcterms:W3CDTF">2019-12-17T10:51:17Z</dcterms:modified>
</cp:coreProperties>
</file>