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Calibri" w:cs="Calibri" w:eastAsia="Calibri" w:hAnsi="Calibri"/>
          <w:sz w:val="25"/>
          <w:szCs w:val="25"/>
          <w:b w:val="1"/>
          <w:bCs w:val="1"/>
          <w:color w:val="auto"/>
        </w:rPr>
        <w:t>UNITED STATES</w:t>
      </w:r>
    </w:p>
    <w:p>
      <w:pPr>
        <w:jc w:val="center"/>
        <w:ind w:right="-1100"/>
        <w:spacing w:after="0" w:line="233" w:lineRule="auto"/>
        <w:rPr>
          <w:sz w:val="20"/>
          <w:szCs w:val="20"/>
          <w:color w:val="auto"/>
        </w:rPr>
      </w:pPr>
      <w:r>
        <w:rPr>
          <w:rFonts w:ascii="Calibri" w:cs="Calibri" w:eastAsia="Calibri" w:hAnsi="Calibri"/>
          <w:sz w:val="25"/>
          <w:szCs w:val="25"/>
          <w:b w:val="1"/>
          <w:bCs w:val="1"/>
          <w:color w:val="auto"/>
        </w:rPr>
        <w:t>SECURITIES AND EXCHANGE COMMISSION</w:t>
      </w:r>
    </w:p>
    <w:p>
      <w:pPr>
        <w:spacing w:after="0" w:line="8" w:lineRule="exact"/>
        <w:rPr>
          <w:sz w:val="24"/>
          <w:szCs w:val="24"/>
          <w:color w:val="auto"/>
        </w:rPr>
      </w:pPr>
    </w:p>
    <w:p>
      <w:pPr>
        <w:ind w:left="4460"/>
        <w:spacing w:after="0"/>
        <w:rPr>
          <w:sz w:val="20"/>
          <w:szCs w:val="20"/>
          <w:color w:val="auto"/>
        </w:rPr>
      </w:pPr>
      <w:r>
        <w:rPr>
          <w:rFonts w:ascii="Calibri" w:cs="Calibri" w:eastAsia="Calibri" w:hAnsi="Calibri"/>
          <w:sz w:val="22"/>
          <w:szCs w:val="22"/>
          <w:b w:val="1"/>
          <w:bCs w:val="1"/>
          <w:color w:val="auto"/>
        </w:rPr>
        <w:t>WASHINGTON, D.C. 20549</w:t>
      </w:r>
    </w:p>
    <w:p>
      <w:pPr>
        <w:spacing w:after="0" w:line="364" w:lineRule="exact"/>
        <w:rPr>
          <w:sz w:val="24"/>
          <w:szCs w:val="24"/>
          <w:color w:val="auto"/>
        </w:rPr>
      </w:pPr>
    </w:p>
    <w:p>
      <w:pPr>
        <w:jc w:val="center"/>
        <w:ind w:right="-1100"/>
        <w:spacing w:after="0"/>
        <w:rPr>
          <w:sz w:val="20"/>
          <w:szCs w:val="20"/>
          <w:color w:val="auto"/>
        </w:rPr>
      </w:pPr>
      <w:r>
        <w:rPr>
          <w:rFonts w:ascii="Calibri" w:cs="Calibri" w:eastAsia="Calibri" w:hAnsi="Calibri"/>
          <w:sz w:val="32"/>
          <w:szCs w:val="32"/>
          <w:b w:val="1"/>
          <w:bCs w:val="1"/>
          <w:color w:val="auto"/>
        </w:rPr>
        <w:t>SCHEDULE 14A INFORMATION</w:t>
      </w:r>
    </w:p>
    <w:p>
      <w:pPr>
        <w:spacing w:after="0" w:line="175" w:lineRule="exact"/>
        <w:rPr>
          <w:sz w:val="24"/>
          <w:szCs w:val="24"/>
          <w:color w:val="auto"/>
        </w:rPr>
      </w:pPr>
    </w:p>
    <w:p>
      <w:pPr>
        <w:jc w:val="center"/>
        <w:ind w:right="-1100"/>
        <w:spacing w:after="0"/>
        <w:rPr>
          <w:sz w:val="20"/>
          <w:szCs w:val="20"/>
          <w:color w:val="auto"/>
        </w:rPr>
      </w:pPr>
      <w:r>
        <w:rPr>
          <w:rFonts w:ascii="Calibri" w:cs="Calibri" w:eastAsia="Calibri" w:hAnsi="Calibri"/>
          <w:sz w:val="21"/>
          <w:szCs w:val="21"/>
          <w:b w:val="1"/>
          <w:bCs w:val="1"/>
          <w:color w:val="auto"/>
        </w:rPr>
        <w:t>Proxy Statement Pursuant to Secton 14(a) of the Securites</w:t>
      </w:r>
    </w:p>
    <w:p>
      <w:pPr>
        <w:jc w:val="center"/>
        <w:ind w:right="-1100"/>
        <w:spacing w:after="0" w:line="230" w:lineRule="auto"/>
        <w:rPr>
          <w:sz w:val="20"/>
          <w:szCs w:val="20"/>
          <w:color w:val="auto"/>
        </w:rPr>
      </w:pPr>
      <w:r>
        <w:rPr>
          <w:rFonts w:ascii="Calibri" w:cs="Calibri" w:eastAsia="Calibri" w:hAnsi="Calibri"/>
          <w:sz w:val="22"/>
          <w:szCs w:val="22"/>
          <w:b w:val="1"/>
          <w:bCs w:val="1"/>
          <w:color w:val="auto"/>
        </w:rPr>
        <w:t>Exchange Act of 1934</w:t>
      </w:r>
    </w:p>
    <w:p>
      <w:pPr>
        <w:spacing w:after="0" w:line="63" w:lineRule="exact"/>
        <w:rPr>
          <w:sz w:val="24"/>
          <w:szCs w:val="24"/>
          <w:color w:val="auto"/>
        </w:rPr>
      </w:pPr>
    </w:p>
    <w:p>
      <w:pPr>
        <w:spacing w:after="0" w:line="220" w:lineRule="exact"/>
        <w:rPr>
          <w:sz w:val="20"/>
          <w:szCs w:val="20"/>
          <w:color w:val="auto"/>
        </w:rPr>
      </w:pPr>
      <w:r>
        <w:rPr>
          <w:rFonts w:ascii="Calibri" w:cs="Calibri" w:eastAsia="Calibri" w:hAnsi="Calibri"/>
          <w:sz w:val="18"/>
          <w:szCs w:val="18"/>
          <w:color w:val="auto"/>
        </w:rPr>
        <w:t xml:space="preserve">Filed by the registrant </w:t>
      </w:r>
      <w:r>
        <w:rPr>
          <w:rFonts w:ascii="MS PGothic" w:cs="MS PGothic" w:eastAsia="MS PGothic" w:hAnsi="MS PGothic"/>
          <w:sz w:val="18"/>
          <w:szCs w:val="18"/>
          <w:color w:val="auto"/>
        </w:rPr>
        <w:t>☑</w:t>
      </w:r>
    </w:p>
    <w:p>
      <w:pPr>
        <w:spacing w:after="0" w:line="91" w:lineRule="exact"/>
        <w:rPr>
          <w:sz w:val="24"/>
          <w:szCs w:val="24"/>
          <w:color w:val="auto"/>
        </w:rPr>
      </w:pPr>
    </w:p>
    <w:p>
      <w:pPr>
        <w:spacing w:after="0" w:line="220" w:lineRule="exact"/>
        <w:rPr>
          <w:sz w:val="20"/>
          <w:szCs w:val="20"/>
          <w:color w:val="auto"/>
        </w:rPr>
      </w:pPr>
      <w:r>
        <w:rPr>
          <w:rFonts w:ascii="Calibri" w:cs="Calibri" w:eastAsia="Calibri" w:hAnsi="Calibri"/>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Calibri" w:cs="Calibri" w:eastAsia="Calibri" w:hAnsi="Calibri"/>
          <w:sz w:val="18"/>
          <w:szCs w:val="18"/>
          <w:color w:val="auto"/>
        </w:rPr>
        <w:t>Check the appropriate box:</w:t>
      </w:r>
    </w:p>
    <w:p>
      <w:pPr>
        <w:spacing w:after="0" w:line="3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Confdental, for use of the Commission only (as permited by Rule 14A-6(e)(2))</w:t>
      </w:r>
    </w:p>
    <w:p>
      <w:pPr>
        <w:spacing w:after="0" w:line="64"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Calibri" w:cs="Calibri" w:eastAsia="Calibri" w:hAnsi="Calibri"/>
          <w:sz w:val="18"/>
          <w:szCs w:val="18"/>
          <w:color w:val="auto"/>
        </w:rPr>
        <w:t>Defnitve proxy statement.</w:t>
      </w:r>
    </w:p>
    <w:p>
      <w:pPr>
        <w:spacing w:after="0" w:line="64" w:lineRule="exact"/>
        <w:rPr>
          <w:sz w:val="24"/>
          <w:szCs w:val="24"/>
          <w:color w:val="auto"/>
        </w:rPr>
      </w:pPr>
    </w:p>
    <w:p>
      <w:pPr>
        <w:ind w:left="680" w:hanging="654"/>
        <w:spacing w:after="0"/>
        <w:tabs>
          <w:tab w:leader="none" w:pos="680" w:val="left"/>
        </w:tabs>
        <w:numPr>
          <w:ilvl w:val="0"/>
          <w:numId w:val="3"/>
        </w:numPr>
        <w:rPr>
          <w:rFonts w:ascii="MS PGothic" w:cs="MS PGothic" w:eastAsia="MS PGothic" w:hAnsi="MS PGothic"/>
          <w:sz w:val="18"/>
          <w:szCs w:val="18"/>
          <w:color w:val="auto"/>
        </w:rPr>
      </w:pPr>
      <w:r>
        <w:rPr>
          <w:rFonts w:ascii="Calibri" w:cs="Calibri" w:eastAsia="Calibri" w:hAnsi="Calibri"/>
          <w:sz w:val="18"/>
          <w:szCs w:val="18"/>
          <w:color w:val="auto"/>
        </w:rPr>
        <w:t>Defnitve additonal materials.</w:t>
      </w:r>
    </w:p>
    <w:p>
      <w:pPr>
        <w:spacing w:after="0" w:line="63" w:lineRule="exact"/>
        <w:rPr>
          <w:rFonts w:ascii="MS PGothic" w:cs="MS PGothic" w:eastAsia="MS PGothic" w:hAnsi="MS PGothic"/>
          <w:sz w:val="18"/>
          <w:szCs w:val="18"/>
          <w:color w:val="auto"/>
        </w:rPr>
      </w:pPr>
    </w:p>
    <w:p>
      <w:pPr>
        <w:ind w:left="680" w:hanging="654"/>
        <w:spacing w:after="0"/>
        <w:tabs>
          <w:tab w:leader="none" w:pos="680" w:val="left"/>
        </w:tabs>
        <w:numPr>
          <w:ilvl w:val="0"/>
          <w:numId w:val="3"/>
        </w:numPr>
        <w:rPr>
          <w:rFonts w:ascii="MS PGothic" w:cs="MS PGothic" w:eastAsia="MS PGothic" w:hAnsi="MS PGothic"/>
          <w:sz w:val="18"/>
          <w:szCs w:val="18"/>
          <w:color w:val="auto"/>
        </w:rPr>
      </w:pPr>
      <w:r>
        <w:rPr>
          <w:rFonts w:ascii="Calibri" w:cs="Calibri" w:eastAsia="Calibri" w:hAnsi="Calibri"/>
          <w:sz w:val="18"/>
          <w:szCs w:val="18"/>
          <w:color w:val="auto"/>
        </w:rPr>
        <w:t>Solicitng material under § 240.14a-12</w:t>
      </w:r>
    </w:p>
    <w:p>
      <w:pPr>
        <w:spacing w:after="0" w:line="200" w:lineRule="exact"/>
        <w:rPr>
          <w:sz w:val="24"/>
          <w:szCs w:val="24"/>
          <w:color w:val="auto"/>
        </w:rPr>
      </w:pPr>
    </w:p>
    <w:p>
      <w:pPr>
        <w:spacing w:after="0" w:line="268" w:lineRule="exact"/>
        <w:rPr>
          <w:sz w:val="24"/>
          <w:szCs w:val="24"/>
          <w:color w:val="auto"/>
        </w:rPr>
      </w:pPr>
    </w:p>
    <w:p>
      <w:pPr>
        <w:ind w:left="5040"/>
        <w:spacing w:after="0"/>
        <w:rPr>
          <w:sz w:val="20"/>
          <w:szCs w:val="20"/>
          <w:color w:val="auto"/>
        </w:rPr>
      </w:pPr>
      <w:r>
        <w:rPr>
          <w:rFonts w:ascii="Calibri" w:cs="Calibri" w:eastAsia="Calibri" w:hAnsi="Calibri"/>
          <w:sz w:val="29"/>
          <w:szCs w:val="29"/>
          <w:b w:val="1"/>
          <w:bCs w:val="1"/>
          <w:u w:val="single" w:color="auto"/>
          <w:color w:val="auto"/>
        </w:rPr>
        <w:t>HAWKINS, INC.</w:t>
      </w:r>
    </w:p>
    <w:p>
      <w:pPr>
        <w:spacing w:after="0" w:line="11" w:lineRule="exact"/>
        <w:rPr>
          <w:sz w:val="24"/>
          <w:szCs w:val="24"/>
          <w:color w:val="auto"/>
        </w:rPr>
      </w:pPr>
    </w:p>
    <w:p>
      <w:pPr>
        <w:jc w:val="center"/>
        <w:ind w:right="-1100"/>
        <w:spacing w:after="0"/>
        <w:rPr>
          <w:sz w:val="20"/>
          <w:szCs w:val="20"/>
          <w:color w:val="auto"/>
        </w:rPr>
      </w:pPr>
      <w:r>
        <w:rPr>
          <w:rFonts w:ascii="Calibri" w:cs="Calibri" w:eastAsia="Calibri" w:hAnsi="Calibri"/>
          <w:sz w:val="18"/>
          <w:szCs w:val="18"/>
          <w:color w:val="auto"/>
        </w:rPr>
        <w:t>(Name of Registrant as Specifed in its Charter)</w:t>
      </w:r>
    </w:p>
    <w:p>
      <w:pPr>
        <w:spacing w:after="0" w:line="96" w:lineRule="exact"/>
        <w:rPr>
          <w:sz w:val="24"/>
          <w:szCs w:val="24"/>
          <w:color w:val="auto"/>
        </w:rPr>
      </w:pPr>
    </w:p>
    <w:p>
      <w:pPr>
        <w:ind w:left="3080"/>
        <w:spacing w:after="0"/>
        <w:rPr>
          <w:sz w:val="20"/>
          <w:szCs w:val="20"/>
          <w:color w:val="auto"/>
        </w:rPr>
      </w:pPr>
      <w:r>
        <w:rPr>
          <w:rFonts w:ascii="Calibri" w:cs="Calibri" w:eastAsia="Calibri" w:hAnsi="Calibri"/>
          <w:sz w:val="17"/>
          <w:szCs w:val="17"/>
          <w:color w:val="auto"/>
        </w:rPr>
        <w:t>__________________________________________________________</w:t>
      </w:r>
    </w:p>
    <w:p>
      <w:pPr>
        <w:spacing w:after="0" w:line="8" w:lineRule="exact"/>
        <w:rPr>
          <w:sz w:val="24"/>
          <w:szCs w:val="24"/>
          <w:color w:val="auto"/>
        </w:rPr>
      </w:pPr>
    </w:p>
    <w:p>
      <w:pPr>
        <w:ind w:left="3060"/>
        <w:spacing w:after="0"/>
        <w:rPr>
          <w:sz w:val="20"/>
          <w:szCs w:val="20"/>
          <w:color w:val="auto"/>
        </w:rPr>
      </w:pPr>
      <w:r>
        <w:rPr>
          <w:rFonts w:ascii="Calibri" w:cs="Calibri" w:eastAsia="Calibri" w:hAnsi="Calibri"/>
          <w:sz w:val="17"/>
          <w:szCs w:val="17"/>
          <w:color w:val="auto"/>
        </w:rPr>
        <w:t>(Name of Person(s) Filing Proxy Statement, if Other Than the Registrant)</w:t>
      </w:r>
    </w:p>
    <w:p>
      <w:pPr>
        <w:spacing w:after="0" w:line="85" w:lineRule="exact"/>
        <w:rPr>
          <w:sz w:val="24"/>
          <w:szCs w:val="24"/>
          <w:color w:val="auto"/>
        </w:rPr>
      </w:pPr>
    </w:p>
    <w:p>
      <w:pPr>
        <w:spacing w:after="0"/>
        <w:rPr>
          <w:sz w:val="20"/>
          <w:szCs w:val="20"/>
          <w:color w:val="auto"/>
        </w:rPr>
      </w:pPr>
      <w:r>
        <w:rPr>
          <w:rFonts w:ascii="Calibri" w:cs="Calibri" w:eastAsia="Calibri" w:hAnsi="Calibri"/>
          <w:sz w:val="18"/>
          <w:szCs w:val="18"/>
          <w:color w:val="auto"/>
        </w:rPr>
        <w:t>Payment of fling fee (check all boxes that apply):</w:t>
      </w:r>
    </w:p>
    <w:p>
      <w:pPr>
        <w:spacing w:after="0" w:line="37" w:lineRule="exact"/>
        <w:rPr>
          <w:sz w:val="24"/>
          <w:szCs w:val="24"/>
          <w:color w:val="auto"/>
        </w:rPr>
      </w:pPr>
    </w:p>
    <w:p>
      <w:pPr>
        <w:ind w:left="580" w:hanging="554"/>
        <w:spacing w:after="0"/>
        <w:tabs>
          <w:tab w:leader="none" w:pos="580" w:val="left"/>
        </w:tabs>
        <w:numPr>
          <w:ilvl w:val="0"/>
          <w:numId w:val="4"/>
        </w:numPr>
        <w:rPr>
          <w:rFonts w:ascii="MS PGothic" w:cs="MS PGothic" w:eastAsia="MS PGothic" w:hAnsi="MS PGothic"/>
          <w:sz w:val="18"/>
          <w:szCs w:val="18"/>
          <w:color w:val="auto"/>
        </w:rPr>
      </w:pPr>
      <w:r>
        <w:rPr>
          <w:rFonts w:ascii="Calibri" w:cs="Calibri" w:eastAsia="Calibri" w:hAnsi="Calibri"/>
          <w:sz w:val="18"/>
          <w:szCs w:val="18"/>
          <w:color w:val="auto"/>
        </w:rPr>
        <w:t>No fee required.</w:t>
      </w:r>
    </w:p>
    <w:p>
      <w:pPr>
        <w:spacing w:after="0" w:line="64" w:lineRule="exact"/>
        <w:rPr>
          <w:sz w:val="24"/>
          <w:szCs w:val="24"/>
          <w:color w:val="auto"/>
        </w:rPr>
      </w:pPr>
    </w:p>
    <w:p>
      <w:pPr>
        <w:ind w:left="580" w:hanging="554"/>
        <w:spacing w:after="0"/>
        <w:tabs>
          <w:tab w:leader="none" w:pos="580" w:val="left"/>
        </w:tabs>
        <w:numPr>
          <w:ilvl w:val="0"/>
          <w:numId w:val="5"/>
        </w:numPr>
        <w:rPr>
          <w:rFonts w:ascii="MS PGothic" w:cs="MS PGothic" w:eastAsia="MS PGothic" w:hAnsi="MS PGothic"/>
          <w:sz w:val="18"/>
          <w:szCs w:val="18"/>
          <w:color w:val="auto"/>
        </w:rPr>
      </w:pPr>
      <w:r>
        <w:rPr>
          <w:rFonts w:ascii="Calibri" w:cs="Calibri" w:eastAsia="Calibri" w:hAnsi="Calibri"/>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580" w:hanging="554"/>
        <w:spacing w:after="0"/>
        <w:tabs>
          <w:tab w:leader="none" w:pos="580" w:val="left"/>
        </w:tabs>
        <w:numPr>
          <w:ilvl w:val="0"/>
          <w:numId w:val="5"/>
        </w:numPr>
        <w:rPr>
          <w:rFonts w:ascii="MS PGothic" w:cs="MS PGothic" w:eastAsia="MS PGothic" w:hAnsi="MS PGothic"/>
          <w:sz w:val="18"/>
          <w:szCs w:val="18"/>
          <w:color w:val="auto"/>
        </w:rPr>
      </w:pPr>
      <w:r>
        <w:rPr>
          <w:rFonts w:ascii="Calibri" w:cs="Calibri" w:eastAsia="Calibri" w:hAnsi="Calibri"/>
          <w:sz w:val="18"/>
          <w:szCs w:val="18"/>
          <w:color w:val="auto"/>
        </w:rPr>
        <w:t>Fee computed on table in exhibit required by item 25(b) per Exchange Act Rules 14a-6(i) (1)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6"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2959735</wp:posOffset>
            </wp:positionH>
            <wp:positionV relativeFrom="page">
              <wp:posOffset>637540</wp:posOffset>
            </wp:positionV>
            <wp:extent cx="1637030" cy="848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63703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Calibri" w:cs="Calibri" w:eastAsia="Calibri" w:hAnsi="Calibri"/>
          <w:sz w:val="25"/>
          <w:szCs w:val="25"/>
          <w:b w:val="1"/>
          <w:bCs w:val="1"/>
          <w:color w:val="auto"/>
        </w:rPr>
        <w:t>HAWKINS, INC.</w:t>
      </w:r>
    </w:p>
    <w:p>
      <w:pPr>
        <w:spacing w:after="0" w:line="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2381 Rosegate</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Roseville, Minnesota 55113</w:t>
      </w:r>
    </w:p>
    <w:p>
      <w:pPr>
        <w:spacing w:after="0" w:line="242"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NOTICE OF ANNUAL MEETING OF SHAREHOLDERS</w:t>
      </w:r>
    </w:p>
    <w:p>
      <w:pPr>
        <w:jc w:val="center"/>
        <w:ind w:right="-19"/>
        <w:spacing w:after="0" w:line="229" w:lineRule="auto"/>
        <w:rPr>
          <w:sz w:val="20"/>
          <w:szCs w:val="20"/>
          <w:color w:val="auto"/>
        </w:rPr>
      </w:pPr>
      <w:r>
        <w:rPr>
          <w:rFonts w:ascii="Calibri" w:cs="Calibri" w:eastAsia="Calibri" w:hAnsi="Calibri"/>
          <w:sz w:val="22"/>
          <w:szCs w:val="22"/>
          <w:b w:val="1"/>
          <w:bCs w:val="1"/>
          <w:color w:val="auto"/>
        </w:rPr>
        <w:t>To Be Held July 31, 2024</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color w:val="auto"/>
        </w:rPr>
        <w:t>To our Shareholders:</w:t>
      </w:r>
    </w:p>
    <w:p>
      <w:pPr>
        <w:spacing w:after="0" w:line="96" w:lineRule="exact"/>
        <w:rPr>
          <w:sz w:val="20"/>
          <w:szCs w:val="20"/>
          <w:color w:val="auto"/>
        </w:rPr>
      </w:pPr>
    </w:p>
    <w:p>
      <w:pPr>
        <w:ind w:right="300"/>
        <w:spacing w:after="0" w:line="249" w:lineRule="auto"/>
        <w:rPr>
          <w:sz w:val="20"/>
          <w:szCs w:val="20"/>
          <w:color w:val="auto"/>
        </w:rPr>
      </w:pPr>
      <w:r>
        <w:rPr>
          <w:rFonts w:ascii="Calibri" w:cs="Calibri" w:eastAsia="Calibri" w:hAnsi="Calibri"/>
          <w:sz w:val="17"/>
          <w:szCs w:val="17"/>
          <w:color w:val="auto"/>
        </w:rPr>
        <w:t>The Annual Meetng of Shareholders of Hawkins, Inc. will be held on Wednesday, July 31, 2024, at 8:00 a.m., Central Time. The meetng will be completely virtual, incorporatng technology designed to increase efciency and provide greater opportunity for shareholder partcipaton. In additon to on-</w:t>
      </w:r>
    </w:p>
    <w:p>
      <w:pPr>
        <w:spacing w:after="0" w:line="1"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color w:val="auto"/>
        </w:rPr>
        <w:t>line atendance, shareholders will have an opportunity to hear all portons of the ofcial meetng, submit writen questons during the meetng, vote on-line during the open poll porton of the meetng, and listen to live responses to shareholder questons immediately following the formal meetng.</w:t>
      </w:r>
    </w:p>
    <w:p>
      <w:pPr>
        <w:spacing w:after="0" w:line="245" w:lineRule="exact"/>
        <w:rPr>
          <w:sz w:val="20"/>
          <w:szCs w:val="20"/>
          <w:color w:val="auto"/>
        </w:rPr>
      </w:pPr>
    </w:p>
    <w:p>
      <w:pPr>
        <w:ind w:right="540"/>
        <w:spacing w:after="0" w:line="235" w:lineRule="auto"/>
        <w:rPr>
          <w:sz w:val="20"/>
          <w:szCs w:val="20"/>
          <w:color w:val="auto"/>
        </w:rPr>
      </w:pPr>
      <w:r>
        <w:rPr>
          <w:rFonts w:ascii="Calibri" w:cs="Calibri" w:eastAsia="Calibri" w:hAnsi="Calibri"/>
          <w:sz w:val="18"/>
          <w:szCs w:val="18"/>
          <w:color w:val="auto"/>
        </w:rPr>
        <w:t xml:space="preserve">You may atend the meetng, vote your shares, and submit questons electronically during the meetng via live webcast by logging in using your control number at: </w:t>
      </w:r>
      <w:r>
        <w:rPr>
          <w:rFonts w:ascii="Calibri" w:cs="Calibri" w:eastAsia="Calibri" w:hAnsi="Calibri"/>
          <w:sz w:val="18"/>
          <w:szCs w:val="18"/>
          <w:b w:val="1"/>
          <w:bCs w:val="1"/>
          <w:color w:val="auto"/>
        </w:rPr>
        <w:t>www.virtualshareholdermeetng.com/HWKN2024</w:t>
      </w:r>
      <w:r>
        <w:rPr>
          <w:rFonts w:ascii="Calibri" w:cs="Calibri" w:eastAsia="Calibri" w:hAnsi="Calibri"/>
          <w:sz w:val="18"/>
          <w:szCs w:val="18"/>
          <w:color w:val="auto"/>
        </w:rPr>
        <w:t>.</w:t>
      </w:r>
    </w:p>
    <w:p>
      <w:pPr>
        <w:spacing w:after="0" w:line="39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476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6500" cy="8255"/>
                    </a:xfrm>
                    <a:prstGeom prst="rect">
                      <a:avLst/>
                    </a:prstGeom>
                    <a:noFill/>
                  </pic:spPr>
                </pic:pic>
              </a:graphicData>
            </a:graphic>
          </wp:anchor>
        </w:drawing>
      </w:r>
    </w:p>
    <w:p>
      <w:pPr>
        <w:spacing w:after="0" w:line="74" w:lineRule="exact"/>
        <w:rPr>
          <w:sz w:val="20"/>
          <w:szCs w:val="20"/>
          <w:color w:val="auto"/>
        </w:rPr>
      </w:pPr>
    </w:p>
    <w:p>
      <w:pPr>
        <w:ind w:left="500" w:hanging="168"/>
        <w:spacing w:after="0"/>
        <w:tabs>
          <w:tab w:leader="none" w:pos="50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To elect eight directors.</w:t>
      </w:r>
    </w:p>
    <w:p>
      <w:pPr>
        <w:spacing w:after="0" w:line="95" w:lineRule="exact"/>
        <w:rPr>
          <w:rFonts w:ascii="Calibri" w:cs="Calibri" w:eastAsia="Calibri" w:hAnsi="Calibri"/>
          <w:sz w:val="18"/>
          <w:szCs w:val="18"/>
          <w:color w:val="auto"/>
        </w:rPr>
      </w:pPr>
    </w:p>
    <w:p>
      <w:pPr>
        <w:ind w:left="500" w:right="320" w:hanging="168"/>
        <w:spacing w:after="0" w:line="235" w:lineRule="auto"/>
        <w:tabs>
          <w:tab w:leader="none" w:pos="511"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To ratfy the appointment of Grant Thornton LLP to serve as our independent registered public accountng frm for the fscal year ending March 30, 2025.</w:t>
      </w:r>
    </w:p>
    <w:p>
      <w:pPr>
        <w:spacing w:after="0" w:line="82" w:lineRule="exact"/>
        <w:rPr>
          <w:rFonts w:ascii="Calibri" w:cs="Calibri" w:eastAsia="Calibri" w:hAnsi="Calibri"/>
          <w:sz w:val="18"/>
          <w:szCs w:val="18"/>
          <w:color w:val="auto"/>
        </w:rPr>
      </w:pPr>
    </w:p>
    <w:p>
      <w:pPr>
        <w:ind w:left="500" w:right="80" w:hanging="168"/>
        <w:spacing w:after="0" w:line="235" w:lineRule="auto"/>
        <w:tabs>
          <w:tab w:leader="none" w:pos="511"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To approve, by a non-binding advisory vote, the compensaton of our named executve ofcers as disclosed in the atached proxy statement, or a “say-on-pay” vote.</w:t>
      </w:r>
    </w:p>
    <w:p>
      <w:pPr>
        <w:spacing w:after="0" w:line="91" w:lineRule="exact"/>
        <w:rPr>
          <w:rFonts w:ascii="Calibri" w:cs="Calibri" w:eastAsia="Calibri" w:hAnsi="Calibri"/>
          <w:sz w:val="18"/>
          <w:szCs w:val="18"/>
          <w:color w:val="auto"/>
        </w:rPr>
      </w:pPr>
    </w:p>
    <w:p>
      <w:pPr>
        <w:ind w:left="500" w:hanging="168"/>
        <w:spacing w:after="0"/>
        <w:tabs>
          <w:tab w:leader="none" w:pos="50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To transact such other business as may properly come before the meetng or any adjournment thereof.</w:t>
      </w:r>
    </w:p>
    <w:p>
      <w:pPr>
        <w:spacing w:after="0" w:line="14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Votng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03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3755"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color w:val="auto"/>
        </w:rPr>
        <w:t>The Board of Directors has fxed the close of business on June 5, 2024 as the record date for determining the shareholders enttled to vote at the meetng.</w:t>
      </w:r>
    </w:p>
    <w:p>
      <w:pPr>
        <w:spacing w:after="0" w:line="235" w:lineRule="auto"/>
        <w:rPr>
          <w:sz w:val="20"/>
          <w:szCs w:val="20"/>
          <w:color w:val="auto"/>
        </w:rPr>
      </w:pPr>
      <w:r>
        <w:rPr>
          <w:rFonts w:ascii="Calibri" w:cs="Calibri" w:eastAsia="Calibri" w:hAnsi="Calibri"/>
          <w:sz w:val="18"/>
          <w:szCs w:val="18"/>
          <w:color w:val="auto"/>
        </w:rPr>
        <w:t>Accordingly, only shareholders of record at the close of business on that date will be enttled to vote. Our transfer books will not be closed.</w:t>
      </w:r>
    </w:p>
    <w:p>
      <w:pPr>
        <w:spacing w:after="0" w:line="335" w:lineRule="exact"/>
        <w:rPr>
          <w:sz w:val="20"/>
          <w:szCs w:val="20"/>
          <w:color w:val="auto"/>
        </w:rPr>
      </w:pPr>
    </w:p>
    <w:p>
      <w:pPr>
        <w:ind w:left="6560"/>
        <w:spacing w:after="0"/>
        <w:rPr>
          <w:sz w:val="20"/>
          <w:szCs w:val="20"/>
          <w:color w:val="auto"/>
        </w:rPr>
      </w:pPr>
      <w:r>
        <w:rPr>
          <w:rFonts w:ascii="Calibri" w:cs="Calibri" w:eastAsia="Calibri" w:hAnsi="Calibri"/>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186055</wp:posOffset>
            </wp:positionV>
            <wp:extent cx="1885950" cy="659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595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560"/>
        <w:spacing w:after="0"/>
        <w:rPr>
          <w:sz w:val="20"/>
          <w:szCs w:val="20"/>
          <w:color w:val="auto"/>
        </w:rPr>
      </w:pPr>
      <w:r>
        <w:rPr>
          <w:rFonts w:ascii="Calibri" w:cs="Calibri" w:eastAsia="Calibri" w:hAnsi="Calibri"/>
          <w:sz w:val="18"/>
          <w:szCs w:val="18"/>
          <w:color w:val="auto"/>
        </w:rPr>
        <w:t xml:space="preserve">RICHARD G. ERSTAD, </w:t>
      </w:r>
      <w:r>
        <w:rPr>
          <w:rFonts w:ascii="Calibri" w:cs="Calibri" w:eastAsia="Calibri" w:hAnsi="Calibri"/>
          <w:sz w:val="18"/>
          <w:szCs w:val="18"/>
          <w:i w:val="1"/>
          <w:iCs w:val="1"/>
          <w:color w:val="auto"/>
        </w:rPr>
        <w:t>Secretary</w:t>
      </w:r>
    </w:p>
    <w:p>
      <w:pPr>
        <w:spacing w:after="0" w:line="17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Dated: June 20, 2024</w:t>
      </w:r>
    </w:p>
    <w:p>
      <w:pPr>
        <w:spacing w:after="0" w:line="25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IMPORTANT: To assure the necessary representaton at the meetng, you are urged to VOTE YOUR SHARES PROMPTLY to save the company the expense of additonal solicitaton. You may revoke your proxy at any tme prior to the meetng, and votng in advance will not afect your right to vote by atending the virtual meetng via the website identfed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Calibri" w:cs="Calibri" w:eastAsia="Calibri" w:hAnsi="Calibri"/>
          <w:sz w:val="25"/>
          <w:szCs w:val="25"/>
          <w:b w:val="1"/>
          <w:bCs w:val="1"/>
          <w:color w:val="auto"/>
        </w:rPr>
        <w:t>TABLE OF CONTENTS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000" w:type="dxa"/>
            <w:vAlign w:val="bottom"/>
          </w:tcPr>
          <w:p>
            <w:pPr>
              <w:spacing w:after="0"/>
              <w:rPr>
                <w:sz w:val="19"/>
                <w:szCs w:val="19"/>
                <w:color w:val="auto"/>
              </w:rPr>
            </w:pPr>
          </w:p>
        </w:tc>
        <w:tc>
          <w:tcPr>
            <w:tcW w:w="2240" w:type="dxa"/>
            <w:vAlign w:val="bottom"/>
            <w:gridSpan w:val="6"/>
          </w:tcPr>
          <w:p>
            <w:pPr>
              <w:spacing w:after="0"/>
              <w:rPr>
                <w:sz w:val="20"/>
                <w:szCs w:val="20"/>
                <w:color w:val="auto"/>
              </w:rPr>
            </w:pPr>
            <w:r>
              <w:rPr>
                <w:rFonts w:ascii="Calibri" w:cs="Calibri" w:eastAsia="Calibri" w:hAnsi="Calibri"/>
                <w:sz w:val="18"/>
                <w:szCs w:val="18"/>
                <w:b w:val="1"/>
                <w:bCs w:val="1"/>
                <w:color w:val="auto"/>
              </w:rPr>
              <w:t>Page</w:t>
            </w:r>
          </w:p>
        </w:tc>
      </w:tr>
      <w:tr>
        <w:trPr>
          <w:trHeight w:val="209"/>
        </w:trPr>
        <w:tc>
          <w:tcPr>
            <w:tcW w:w="90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Proxy Statement</w:t>
            </w:r>
          </w:p>
        </w:tc>
        <w:tc>
          <w:tcPr>
            <w:tcW w:w="12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auto"/>
              <w:bottom w:val="single" w:sz="8" w:color="0000FF"/>
            </w:tcBorders>
          </w:tcPr>
          <w:p>
            <w:pPr>
              <w:jc w:val="center"/>
              <w:spacing w:after="0" w:line="209" w:lineRule="exact"/>
              <w:rPr>
                <w:sz w:val="20"/>
                <w:szCs w:val="20"/>
                <w:color w:val="auto"/>
              </w:rPr>
            </w:pPr>
            <w:r>
              <w:rPr>
                <w:rFonts w:ascii="Calibri" w:cs="Calibri" w:eastAsia="Calibri" w:hAnsi="Calibri"/>
                <w:sz w:val="18"/>
                <w:szCs w:val="18"/>
                <w:color w:val="0000FF"/>
              </w:rPr>
              <w:t>1</w:t>
            </w: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900" w:type="dxa"/>
            <w:vAlign w:val="bottom"/>
          </w:tcPr>
          <w:p>
            <w:pPr>
              <w:spacing w:after="0"/>
              <w:rPr>
                <w:sz w:val="18"/>
                <w:szCs w:val="18"/>
                <w:color w:val="auto"/>
              </w:rPr>
            </w:pPr>
          </w:p>
        </w:tc>
      </w:tr>
      <w:tr>
        <w:trPr>
          <w:trHeight w:val="210"/>
        </w:trPr>
        <w:tc>
          <w:tcPr>
            <w:tcW w:w="90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About the Annual Meetng</w:t>
            </w:r>
          </w:p>
        </w:tc>
        <w:tc>
          <w:tcPr>
            <w:tcW w:w="12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line="209" w:lineRule="exact"/>
              <w:rPr>
                <w:sz w:val="20"/>
                <w:szCs w:val="20"/>
                <w:color w:val="auto"/>
              </w:rPr>
            </w:pPr>
            <w:r>
              <w:rPr>
                <w:rFonts w:ascii="Calibri" w:cs="Calibri" w:eastAsia="Calibri" w:hAnsi="Calibri"/>
                <w:sz w:val="18"/>
                <w:szCs w:val="18"/>
                <w:color w:val="0000FF"/>
              </w:rPr>
              <w:t>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9"/>
        </w:trPr>
        <w:tc>
          <w:tcPr>
            <w:tcW w:w="90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Proposal One – Electon of Directors</w:t>
            </w:r>
          </w:p>
        </w:tc>
        <w:tc>
          <w:tcPr>
            <w:tcW w:w="12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line="209" w:lineRule="exact"/>
              <w:rPr>
                <w:sz w:val="20"/>
                <w:szCs w:val="20"/>
                <w:color w:val="auto"/>
              </w:rPr>
            </w:pPr>
            <w:r>
              <w:rPr>
                <w:rFonts w:ascii="Calibri" w:cs="Calibri" w:eastAsia="Calibri" w:hAnsi="Calibri"/>
                <w:sz w:val="18"/>
                <w:szCs w:val="18"/>
                <w:color w:val="0000FF"/>
              </w:rPr>
              <w:t>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0"/>
        </w:trPr>
        <w:tc>
          <w:tcPr>
            <w:tcW w:w="90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Corporate Governance</w:t>
            </w:r>
          </w:p>
        </w:tc>
        <w:tc>
          <w:tcPr>
            <w:tcW w:w="12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line="209" w:lineRule="exact"/>
              <w:rPr>
                <w:sz w:val="20"/>
                <w:szCs w:val="20"/>
                <w:color w:val="auto"/>
              </w:rPr>
            </w:pPr>
            <w:r>
              <w:rPr>
                <w:rFonts w:ascii="Calibri" w:cs="Calibri" w:eastAsia="Calibri" w:hAnsi="Calibri"/>
                <w:sz w:val="18"/>
                <w:szCs w:val="18"/>
                <w:color w:val="0000FF"/>
              </w:rPr>
              <w:t>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9"/>
        </w:trPr>
        <w:tc>
          <w:tcPr>
            <w:tcW w:w="90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Environmental, Social and Governance Commitment</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11</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90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Proposal Two - Ratfcaton of Appointment of Independent Registered Public Accountng Firm</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12</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90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Compensaton of Executve Ofcers and Directors</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13</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9000" w:type="dxa"/>
            <w:vAlign w:val="bottom"/>
          </w:tcPr>
          <w:p>
            <w:pPr>
              <w:ind w:left="380"/>
              <w:spacing w:after="0" w:line="209" w:lineRule="exact"/>
              <w:rPr>
                <w:sz w:val="20"/>
                <w:szCs w:val="20"/>
                <w:color w:val="auto"/>
              </w:rPr>
            </w:pPr>
            <w:r>
              <w:rPr>
                <w:rFonts w:ascii="Calibri" w:cs="Calibri" w:eastAsia="Calibri" w:hAnsi="Calibri"/>
                <w:sz w:val="18"/>
                <w:szCs w:val="18"/>
                <w:color w:val="auto"/>
              </w:rPr>
              <w:t>Compensaton Discussion and Analysis</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13</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9000" w:type="dxa"/>
            <w:vAlign w:val="bottom"/>
          </w:tcPr>
          <w:p>
            <w:pPr>
              <w:ind w:left="380"/>
              <w:spacing w:after="0" w:line="209" w:lineRule="exact"/>
              <w:rPr>
                <w:sz w:val="20"/>
                <w:szCs w:val="20"/>
                <w:color w:val="auto"/>
              </w:rPr>
            </w:pPr>
            <w:r>
              <w:rPr>
                <w:rFonts w:ascii="Calibri" w:cs="Calibri" w:eastAsia="Calibri" w:hAnsi="Calibri"/>
                <w:sz w:val="18"/>
                <w:szCs w:val="18"/>
                <w:color w:val="auto"/>
              </w:rPr>
              <w:t>Compensaton Commitee Report</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20</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9000" w:type="dxa"/>
            <w:vAlign w:val="bottom"/>
          </w:tcPr>
          <w:p>
            <w:pPr>
              <w:ind w:left="380"/>
              <w:spacing w:after="0" w:line="209" w:lineRule="exact"/>
              <w:rPr>
                <w:sz w:val="20"/>
                <w:szCs w:val="20"/>
                <w:color w:val="auto"/>
              </w:rPr>
            </w:pPr>
            <w:r>
              <w:rPr>
                <w:rFonts w:ascii="Calibri" w:cs="Calibri" w:eastAsia="Calibri" w:hAnsi="Calibri"/>
                <w:sz w:val="18"/>
                <w:szCs w:val="18"/>
                <w:color w:val="auto"/>
              </w:rPr>
              <w:t>Summary Compensaton Table</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21</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9000" w:type="dxa"/>
            <w:vAlign w:val="bottom"/>
          </w:tcPr>
          <w:p>
            <w:pPr>
              <w:ind w:left="380"/>
              <w:spacing w:after="0" w:line="209" w:lineRule="exact"/>
              <w:rPr>
                <w:sz w:val="20"/>
                <w:szCs w:val="20"/>
                <w:color w:val="auto"/>
              </w:rPr>
            </w:pPr>
            <w:r>
              <w:rPr>
                <w:rFonts w:ascii="Calibri" w:cs="Calibri" w:eastAsia="Calibri" w:hAnsi="Calibri"/>
                <w:sz w:val="18"/>
                <w:szCs w:val="18"/>
                <w:color w:val="auto"/>
              </w:rPr>
              <w:t>Grants of Plan-Based Awards</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22</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9000" w:type="dxa"/>
            <w:vAlign w:val="bottom"/>
          </w:tcPr>
          <w:p>
            <w:pPr>
              <w:ind w:left="380"/>
              <w:spacing w:after="0" w:line="209" w:lineRule="exact"/>
              <w:rPr>
                <w:sz w:val="20"/>
                <w:szCs w:val="20"/>
                <w:color w:val="auto"/>
              </w:rPr>
            </w:pPr>
            <w:r>
              <w:rPr>
                <w:rFonts w:ascii="Calibri" w:cs="Calibri" w:eastAsia="Calibri" w:hAnsi="Calibri"/>
                <w:sz w:val="18"/>
                <w:szCs w:val="18"/>
                <w:color w:val="auto"/>
              </w:rPr>
              <w:t>Outstanding Equity Awards at 2024 Fiscal Year-End</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23</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9000" w:type="dxa"/>
            <w:vAlign w:val="bottom"/>
          </w:tcPr>
          <w:p>
            <w:pPr>
              <w:ind w:left="380"/>
              <w:spacing w:after="0" w:line="209" w:lineRule="exact"/>
              <w:rPr>
                <w:sz w:val="20"/>
                <w:szCs w:val="20"/>
                <w:color w:val="auto"/>
              </w:rPr>
            </w:pPr>
            <w:r>
              <w:rPr>
                <w:rFonts w:ascii="Calibri" w:cs="Calibri" w:eastAsia="Calibri" w:hAnsi="Calibri"/>
                <w:sz w:val="18"/>
                <w:szCs w:val="18"/>
                <w:color w:val="auto"/>
              </w:rPr>
              <w:t>Stock Vested</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24</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9000" w:type="dxa"/>
            <w:vAlign w:val="bottom"/>
          </w:tcPr>
          <w:p>
            <w:pPr>
              <w:ind w:left="380"/>
              <w:spacing w:after="0" w:line="209" w:lineRule="exact"/>
              <w:rPr>
                <w:sz w:val="20"/>
                <w:szCs w:val="20"/>
                <w:color w:val="auto"/>
              </w:rPr>
            </w:pPr>
            <w:r>
              <w:rPr>
                <w:rFonts w:ascii="Calibri" w:cs="Calibri" w:eastAsia="Calibri" w:hAnsi="Calibri"/>
                <w:sz w:val="18"/>
                <w:szCs w:val="18"/>
                <w:color w:val="auto"/>
              </w:rPr>
              <w:t>Nonqualifed Deferred Compensaton</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24</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9000" w:type="dxa"/>
            <w:vAlign w:val="bottom"/>
          </w:tcPr>
          <w:p>
            <w:pPr>
              <w:ind w:left="380"/>
              <w:spacing w:after="0" w:line="209" w:lineRule="exact"/>
              <w:rPr>
                <w:sz w:val="20"/>
                <w:szCs w:val="20"/>
                <w:color w:val="auto"/>
              </w:rPr>
            </w:pPr>
            <w:r>
              <w:rPr>
                <w:rFonts w:ascii="Calibri" w:cs="Calibri" w:eastAsia="Calibri" w:hAnsi="Calibri"/>
                <w:sz w:val="18"/>
                <w:szCs w:val="18"/>
                <w:color w:val="auto"/>
              </w:rPr>
              <w:t>Potental Payments Upon Terminaton or Change in Control</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24</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9000" w:type="dxa"/>
            <w:vAlign w:val="bottom"/>
          </w:tcPr>
          <w:p>
            <w:pPr>
              <w:ind w:left="380"/>
              <w:spacing w:after="0" w:line="209" w:lineRule="exact"/>
              <w:rPr>
                <w:sz w:val="20"/>
                <w:szCs w:val="20"/>
                <w:color w:val="auto"/>
              </w:rPr>
            </w:pPr>
            <w:r>
              <w:rPr>
                <w:rFonts w:ascii="Calibri" w:cs="Calibri" w:eastAsia="Calibri" w:hAnsi="Calibri"/>
                <w:sz w:val="18"/>
                <w:szCs w:val="18"/>
                <w:color w:val="auto"/>
              </w:rPr>
              <w:t>CEO Pay Rato</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28</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9000" w:type="dxa"/>
            <w:vAlign w:val="bottom"/>
          </w:tcPr>
          <w:p>
            <w:pPr>
              <w:ind w:left="380"/>
              <w:spacing w:after="0" w:line="209" w:lineRule="exact"/>
              <w:rPr>
                <w:sz w:val="20"/>
                <w:szCs w:val="20"/>
                <w:color w:val="auto"/>
              </w:rPr>
            </w:pPr>
            <w:r>
              <w:rPr>
                <w:rFonts w:ascii="Calibri" w:cs="Calibri" w:eastAsia="Calibri" w:hAnsi="Calibri"/>
                <w:sz w:val="18"/>
                <w:szCs w:val="18"/>
                <w:color w:val="auto"/>
              </w:rPr>
              <w:t>Director Compensaton for Fiscal 2024</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28</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9000" w:type="dxa"/>
            <w:vAlign w:val="bottom"/>
          </w:tcPr>
          <w:p>
            <w:pPr>
              <w:ind w:left="380"/>
              <w:spacing w:after="0" w:line="209" w:lineRule="exact"/>
              <w:rPr>
                <w:sz w:val="20"/>
                <w:szCs w:val="20"/>
                <w:color w:val="auto"/>
              </w:rPr>
            </w:pPr>
            <w:r>
              <w:rPr>
                <w:rFonts w:ascii="Calibri" w:cs="Calibri" w:eastAsia="Calibri" w:hAnsi="Calibri"/>
                <w:sz w:val="18"/>
                <w:szCs w:val="18"/>
                <w:color w:val="auto"/>
              </w:rPr>
              <w:t>Compensaton Commitee Interlocks and Insider Partcipaton</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29</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90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Pay Versus Performance</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30</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90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Equity Compensaton Plan Informaton</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34</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90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Security Ownership of Management and Benefcial Ownership</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35</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90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Delinquent Secton 16(a) Reports</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36</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90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Related Party Transactons</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36</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90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Proposal Three – Advisory Vote to Approve Executve Compensaton</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37</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90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Other Maters</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38</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90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Proposals by Shareholders</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38</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90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Form 10-K</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38</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90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Householding</w:t>
            </w:r>
          </w:p>
        </w:tc>
        <w:tc>
          <w:tcPr>
            <w:tcW w:w="260" w:type="dxa"/>
            <w:vAlign w:val="bottom"/>
            <w:gridSpan w:val="4"/>
          </w:tcPr>
          <w:p>
            <w:pPr>
              <w:jc w:val="center"/>
              <w:spacing w:after="0" w:line="209" w:lineRule="exact"/>
              <w:rPr>
                <w:sz w:val="20"/>
                <w:szCs w:val="20"/>
                <w:color w:val="auto"/>
              </w:rPr>
            </w:pPr>
            <w:r>
              <w:rPr>
                <w:rFonts w:ascii="Calibri" w:cs="Calibri" w:eastAsia="Calibri" w:hAnsi="Calibri"/>
                <w:sz w:val="18"/>
                <w:szCs w:val="18"/>
                <w:color w:val="0000FF"/>
                <w:w w:val="98"/>
              </w:rPr>
              <w:t>38</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1256"/>
        </w:trPr>
        <w:tc>
          <w:tcPr>
            <w:tcW w:w="9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 w:name="page4"/>
    <w:bookmarkEnd w:id="3"/>
    <w:p>
      <w:pPr>
        <w:spacing w:after="0"/>
        <w:rPr>
          <w:sz w:val="20"/>
          <w:szCs w:val="20"/>
          <w:color w:val="auto"/>
        </w:rPr>
      </w:pPr>
      <w:r>
        <w:rPr>
          <w:rFonts w:ascii="Calibri" w:cs="Calibri" w:eastAsia="Calibri" w:hAnsi="Calibri"/>
          <w:sz w:val="25"/>
          <w:szCs w:val="25"/>
          <w:b w:val="1"/>
          <w:bCs w:val="1"/>
          <w:color w:val="auto"/>
        </w:rPr>
        <w:t>PROXY STATEMENT</w:t>
      </w:r>
    </w:p>
    <w:p>
      <w:pPr>
        <w:spacing w:after="0" w:line="221"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HAWKINS, INC.</w:t>
      </w:r>
    </w:p>
    <w:p>
      <w:pPr>
        <w:spacing w:after="0" w:line="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2381 Rosegate</w:t>
      </w:r>
    </w:p>
    <w:p>
      <w:pPr>
        <w:spacing w:after="0" w:line="231" w:lineRule="auto"/>
        <w:rPr>
          <w:sz w:val="20"/>
          <w:szCs w:val="20"/>
          <w:color w:val="auto"/>
        </w:rPr>
      </w:pPr>
      <w:r>
        <w:rPr>
          <w:rFonts w:ascii="Calibri" w:cs="Calibri" w:eastAsia="Calibri" w:hAnsi="Calibri"/>
          <w:sz w:val="22"/>
          <w:szCs w:val="22"/>
          <w:b w:val="1"/>
          <w:bCs w:val="1"/>
          <w:color w:val="auto"/>
        </w:rPr>
        <w:t>Roseville, Minnesota 55113</w:t>
      </w:r>
    </w:p>
    <w:p>
      <w:pPr>
        <w:spacing w:after="0" w:line="229" w:lineRule="auto"/>
        <w:rPr>
          <w:sz w:val="20"/>
          <w:szCs w:val="20"/>
          <w:color w:val="auto"/>
        </w:rPr>
      </w:pPr>
      <w:r>
        <w:rPr>
          <w:rFonts w:ascii="Calibri" w:cs="Calibri" w:eastAsia="Calibri" w:hAnsi="Calibri"/>
          <w:sz w:val="22"/>
          <w:szCs w:val="22"/>
          <w:b w:val="1"/>
          <w:bCs w:val="1"/>
          <w:color w:val="auto"/>
        </w:rPr>
        <w:t>June 20, 2024</w:t>
      </w:r>
    </w:p>
    <w:p>
      <w:pPr>
        <w:spacing w:after="0" w:line="248"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following proxy statement is furnished in connecton with the solicitaton of proxies by the Board of Directors (the “Board”) of Hawkins, Inc. to be voted at its Annual Meetng of Shareholders (the “Annual Meetng”) to be held on Wednesday, July 31, 2024, commencing at 8:00 a.m., Central Time. The Annual Meetng will be completely virtual, incorporatng technology designed to increase efciency and provide greater opportunites for shareholder partcipaton. In additon to on-line atendance, shareholders will have an opportunity to hear all portons of the ofcial Annual Meetng and vote on-line during the open poll porton of the meetng.</w:t>
      </w:r>
    </w:p>
    <w:p>
      <w:pPr>
        <w:spacing w:after="0" w:line="245" w:lineRule="exact"/>
        <w:rPr>
          <w:sz w:val="20"/>
          <w:szCs w:val="20"/>
          <w:color w:val="auto"/>
        </w:rPr>
      </w:pPr>
    </w:p>
    <w:p>
      <w:pPr>
        <w:spacing w:after="0" w:line="234" w:lineRule="auto"/>
        <w:rPr>
          <w:sz w:val="20"/>
          <w:szCs w:val="20"/>
          <w:color w:val="auto"/>
        </w:rPr>
      </w:pPr>
      <w:r>
        <w:rPr>
          <w:rFonts w:ascii="Calibri" w:cs="Calibri" w:eastAsia="Calibri" w:hAnsi="Calibri"/>
          <w:sz w:val="20"/>
          <w:szCs w:val="20"/>
          <w:b w:val="1"/>
          <w:bCs w:val="1"/>
          <w:color w:val="auto"/>
        </w:rPr>
        <w:t>IMPORTANT NOTICE REGARDING THE AVAILABILITY OF PROXY MATERIALS FOR THE SHAREHOLDER MEETING TO BE HELD ON JULY 31, 2024</w:t>
      </w:r>
    </w:p>
    <w:p>
      <w:pPr>
        <w:spacing w:after="0" w:line="25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expect to mail to our shareholders a Notce of Internet Availability of Proxy Materials (the "Notce") on or about June 20, 2024. You may not receive a printed copy of our proxy statement, annual report or a proxy card. Instead, the Notce or another votng instructon form from your broker or nominee (a "VIF") will instruct you as to how you may access and review our proxy statement and annual report electronically. The Notce or VIF will also provide instructons on how to vote online or by telephone or request a full set of printed materials and a physical proxy card for votng by mail. This proxy statement and our annual report can be accessed directly at the Internet address htps://materials.proxyvote.com/420261 or at www.proxyvote.com using the 16-digit control number located on your proxy card.</w:t>
      </w:r>
    </w:p>
    <w:p>
      <w:pPr>
        <w:spacing w:after="0" w:line="248" w:lineRule="exact"/>
        <w:rPr>
          <w:sz w:val="20"/>
          <w:szCs w:val="20"/>
          <w:color w:val="auto"/>
        </w:rPr>
      </w:pPr>
    </w:p>
    <w:p>
      <w:pPr>
        <w:ind w:right="80"/>
        <w:spacing w:after="0" w:line="254" w:lineRule="auto"/>
        <w:rPr>
          <w:sz w:val="20"/>
          <w:szCs w:val="20"/>
          <w:color w:val="auto"/>
        </w:rPr>
      </w:pPr>
      <w:r>
        <w:rPr>
          <w:rFonts w:ascii="Calibri" w:cs="Calibri" w:eastAsia="Calibri" w:hAnsi="Calibri"/>
          <w:sz w:val="17"/>
          <w:szCs w:val="17"/>
          <w:color w:val="auto"/>
        </w:rPr>
        <w:t>You may atend the Annual Meetng, vote your shares and submit questons electronically during the meetng via live webcast by logging in at: www.virtualshareholdermeetng.com/HWKN2024. You will need the 16-digit control number included on your proxy card or on the Notce to join the online Annual Meetng. We recommend that you log in at least ffeen minutes before the Annual Meetng to ensure you are logged in when the meetng starts.</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SOLICITATION</w:t>
      </w:r>
    </w:p>
    <w:p>
      <w:pPr>
        <w:spacing w:after="0" w:line="248"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cost of solicitng proxies and of the notces of the meetng, including the preparaton, assembly and mailing of proxies and this proxy statement, will be borne by us. In additon to the use of the mail, proxies may be solicited personally or by telephone, mail or electronic mail by our directors, ofcers and regular employees. Furthermore, arrangements may be made with brokers, banks and similar organizatons to send proxies and proxy materials to benefcial owners for votng instructons. We will reimburse such organizatons for their reasonable expenses incurred.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68" w:right="419" w:bottom="1440" w:gutter="0" w:footer="0" w:header="0"/>
        </w:sectPr>
      </w:pPr>
    </w:p>
    <w:bookmarkStart w:id="4" w:name="page5"/>
    <w:bookmarkEnd w:id="4"/>
    <w:p>
      <w:pPr>
        <w:spacing w:after="0"/>
        <w:rPr>
          <w:sz w:val="20"/>
          <w:szCs w:val="20"/>
          <w:color w:val="auto"/>
        </w:rPr>
      </w:pPr>
      <w:r>
        <w:rPr>
          <w:rFonts w:ascii="Calibri" w:cs="Calibri" w:eastAsia="Calibri" w:hAnsi="Calibri"/>
          <w:sz w:val="25"/>
          <w:szCs w:val="25"/>
          <w:b w:val="1"/>
          <w:bCs w:val="1"/>
          <w:color w:val="auto"/>
        </w:rPr>
        <w:t>ABOUT THE ANNUAL MEETING</w:t>
      </w:r>
    </w:p>
    <w:p>
      <w:pPr>
        <w:spacing w:after="0" w:line="253"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Our Board is solicitng your proxy to vote at the meetng because you were a shareholder of Hawkins, Inc. as of June 5, 2024, or the “record date,” and are enttled to vote. This proxy statement summarizes informaton you need to know to cast a vote at the meetng.</w:t>
      </w:r>
    </w:p>
    <w:p>
      <w:pPr>
        <w:spacing w:after="0" w:line="22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What am I votng on?</w:t>
      </w:r>
    </w:p>
    <w:p>
      <w:pPr>
        <w:spacing w:after="0" w:line="121" w:lineRule="exact"/>
        <w:rPr>
          <w:sz w:val="20"/>
          <w:szCs w:val="20"/>
          <w:color w:val="auto"/>
        </w:rPr>
      </w:pPr>
    </w:p>
    <w:p>
      <w:pPr>
        <w:spacing w:after="0"/>
        <w:rPr>
          <w:sz w:val="20"/>
          <w:szCs w:val="20"/>
          <w:color w:val="auto"/>
        </w:rPr>
      </w:pPr>
      <w:r>
        <w:rPr>
          <w:rFonts w:ascii="Calibri" w:cs="Calibri" w:eastAsia="Calibri" w:hAnsi="Calibri"/>
          <w:sz w:val="18"/>
          <w:szCs w:val="18"/>
          <w:color w:val="auto"/>
        </w:rPr>
        <w:t>You are votng on three items:</w:t>
      </w:r>
    </w:p>
    <w:p>
      <w:pPr>
        <w:ind w:left="640" w:hanging="308"/>
        <w:spacing w:after="0" w:line="235" w:lineRule="auto"/>
        <w:tabs>
          <w:tab w:leader="none" w:pos="64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Electon of eight directors named in this proxy statement;</w:t>
      </w:r>
    </w:p>
    <w:p>
      <w:pPr>
        <w:spacing w:after="0" w:line="1" w:lineRule="exact"/>
        <w:rPr>
          <w:rFonts w:ascii="Calibri" w:cs="Calibri" w:eastAsia="Calibri" w:hAnsi="Calibri"/>
          <w:sz w:val="18"/>
          <w:szCs w:val="18"/>
          <w:color w:val="auto"/>
        </w:rPr>
      </w:pPr>
    </w:p>
    <w:p>
      <w:pPr>
        <w:ind w:left="660" w:right="480" w:hanging="328"/>
        <w:spacing w:after="0" w:line="235" w:lineRule="auto"/>
        <w:tabs>
          <w:tab w:leader="none" w:pos="653"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Ratfcaton of the appointment of Grant Thornton, LLP to serve as our independent registered public accountng frm for the fscal year ending March 30, 2025; and</w:t>
      </w:r>
    </w:p>
    <w:p>
      <w:pPr>
        <w:ind w:left="640" w:hanging="308"/>
        <w:spacing w:after="0" w:line="235" w:lineRule="auto"/>
        <w:tabs>
          <w:tab w:leader="none" w:pos="64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Approval, by non-binding advisory vote, of the compensaton of our named executve ofcers.</w:t>
      </w:r>
    </w:p>
    <w:p>
      <w:pPr>
        <w:spacing w:after="0" w:line="22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How do I vote?</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color w:val="auto"/>
        </w:rPr>
        <w:t>If you are a shareholder of record, there are four ways to vote:</w:t>
      </w:r>
    </w:p>
    <w:p>
      <w:pPr>
        <w:ind w:left="640" w:hanging="308"/>
        <w:spacing w:after="0" w:line="235" w:lineRule="auto"/>
        <w:tabs>
          <w:tab w:leader="none" w:pos="6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By Telephone: 1-800-690-6903</w:t>
      </w:r>
    </w:p>
    <w:p>
      <w:pPr>
        <w:ind w:left="640" w:hanging="308"/>
        <w:spacing w:after="0" w:line="216" w:lineRule="auto"/>
        <w:tabs>
          <w:tab w:leader="none" w:pos="6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 xml:space="preserve">By Internet: </w:t>
      </w:r>
      <w:r>
        <w:rPr>
          <w:rFonts w:ascii="Calibri" w:cs="Calibri" w:eastAsia="Calibri" w:hAnsi="Calibri"/>
          <w:sz w:val="18"/>
          <w:szCs w:val="18"/>
          <w:b w:val="1"/>
          <w:bCs w:val="1"/>
          <w:color w:val="auto"/>
        </w:rPr>
        <w:t>www.proxyvote.com</w:t>
      </w:r>
      <w:r>
        <w:rPr>
          <w:rFonts w:ascii="Calibri" w:cs="Calibri" w:eastAsia="Calibri" w:hAnsi="Calibri"/>
          <w:sz w:val="18"/>
          <w:szCs w:val="18"/>
          <w:color w:val="auto"/>
        </w:rPr>
        <w:t xml:space="preserve"> </w:t>
      </w:r>
      <w:r>
        <w:rPr>
          <w:rFonts w:ascii="Calibri" w:cs="Calibri" w:eastAsia="Calibri" w:hAnsi="Calibri"/>
          <w:sz w:val="23"/>
          <w:szCs w:val="23"/>
          <w:color w:val="auto"/>
          <w:vertAlign w:val="superscript"/>
        </w:rPr>
        <w:t>(1)</w:t>
      </w:r>
    </w:p>
    <w:p>
      <w:pPr>
        <w:ind w:left="640" w:hanging="308"/>
        <w:spacing w:after="0" w:line="195" w:lineRule="auto"/>
        <w:tabs>
          <w:tab w:leader="none" w:pos="6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By Mail: Complete and return the physical proxy card, if any, you received</w:t>
      </w:r>
    </w:p>
    <w:p>
      <w:pPr>
        <w:ind w:left="640" w:hanging="308"/>
        <w:spacing w:after="0" w:line="225" w:lineRule="auto"/>
        <w:tabs>
          <w:tab w:leader="none" w:pos="6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 xml:space="preserve">During the Annual Meetng: www.virtualshareholdermeetng.com/HWKN2024 </w:t>
      </w:r>
      <w:r>
        <w:rPr>
          <w:rFonts w:ascii="Calibri" w:cs="Calibri" w:eastAsia="Calibri" w:hAnsi="Calibri"/>
          <w:sz w:val="23"/>
          <w:szCs w:val="23"/>
          <w:color w:val="auto"/>
          <w:vertAlign w:val="superscript"/>
        </w:rPr>
        <w:t>(1)</w:t>
      </w:r>
    </w:p>
    <w:p>
      <w:pPr>
        <w:spacing w:after="0" w:line="61" w:lineRule="exact"/>
        <w:rPr>
          <w:rFonts w:ascii="Calibri" w:cs="Calibri" w:eastAsia="Calibri" w:hAnsi="Calibri"/>
          <w:sz w:val="18"/>
          <w:szCs w:val="18"/>
          <w:color w:val="auto"/>
        </w:rPr>
      </w:pPr>
    </w:p>
    <w:p>
      <w:pPr>
        <w:ind w:left="900" w:right="260" w:hanging="244"/>
        <w:spacing w:after="0" w:line="235" w:lineRule="auto"/>
        <w:tabs>
          <w:tab w:leader="none" w:pos="892" w:val="left"/>
        </w:tabs>
        <w:numPr>
          <w:ilvl w:val="1"/>
          <w:numId w:val="8"/>
        </w:numPr>
        <w:rPr>
          <w:rFonts w:ascii="Calibri" w:cs="Calibri" w:eastAsia="Calibri" w:hAnsi="Calibri"/>
          <w:sz w:val="18"/>
          <w:szCs w:val="18"/>
          <w:color w:val="auto"/>
        </w:rPr>
      </w:pPr>
      <w:r>
        <w:rPr>
          <w:rFonts w:ascii="Calibri" w:cs="Calibri" w:eastAsia="Calibri" w:hAnsi="Calibri"/>
          <w:sz w:val="18"/>
          <w:szCs w:val="18"/>
          <w:color w:val="auto"/>
        </w:rPr>
        <w:t>You will need the 16-digit control number included on your proxy card, Notce, or other instructons that accompanied your proxy materials to vote on-line or to join the online Annual Meetng</w:t>
      </w:r>
    </w:p>
    <w:p>
      <w:pPr>
        <w:spacing w:after="0" w:line="245"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If your shares are held in a brokerage account or by another nominee, your shares are said to be held in “street name” and you are considered the benefcial owner of the shares. Technically, the bank or broker is the shareholder of record with respect to those shares. Your bank or broker will collect the votng instructons from all their respectve customers who hold our shares, including you, and then submit those votes to us.</w:t>
      </w:r>
    </w:p>
    <w:p>
      <w:pPr>
        <w:spacing w:after="0" w:line="22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What are the votng recommendatons of the Board of Directors?</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6300" w:type="dxa"/>
            <w:vAlign w:val="bottom"/>
            <w:tcBorders>
              <w:left w:val="single" w:sz="8" w:color="auto"/>
            </w:tcBorders>
            <w:shd w:val="clear" w:color="auto" w:fill="000000"/>
          </w:tcPr>
          <w:p>
            <w:pPr>
              <w:ind w:left="40"/>
              <w:spacing w:after="0"/>
              <w:rPr>
                <w:sz w:val="20"/>
                <w:szCs w:val="20"/>
                <w:color w:val="auto"/>
              </w:rPr>
            </w:pPr>
            <w:r>
              <w:rPr>
                <w:rFonts w:ascii="Calibri" w:cs="Calibri" w:eastAsia="Calibri" w:hAnsi="Calibri"/>
                <w:sz w:val="20"/>
                <w:szCs w:val="20"/>
                <w:b w:val="1"/>
                <w:bCs w:val="1"/>
                <w:color w:val="FFFFFF"/>
              </w:rPr>
              <w:t>Mater</w:t>
            </w:r>
          </w:p>
        </w:tc>
        <w:tc>
          <w:tcPr>
            <w:tcW w:w="3080" w:type="dxa"/>
            <w:vAlign w:val="bottom"/>
            <w:tcBorders>
              <w:right w:val="single" w:sz="8" w:color="auto"/>
            </w:tcBorders>
            <w:shd w:val="clear" w:color="auto" w:fill="000000"/>
          </w:tcPr>
          <w:p>
            <w:pPr>
              <w:ind w:left="460"/>
              <w:spacing w:after="0"/>
              <w:rPr>
                <w:sz w:val="20"/>
                <w:szCs w:val="20"/>
                <w:color w:val="auto"/>
              </w:rPr>
            </w:pPr>
            <w:r>
              <w:rPr>
                <w:rFonts w:ascii="Calibri" w:cs="Calibri" w:eastAsia="Calibri" w:hAnsi="Calibri"/>
                <w:sz w:val="20"/>
                <w:szCs w:val="20"/>
                <w:b w:val="1"/>
                <w:bCs w:val="1"/>
                <w:color w:val="FFFFFF"/>
              </w:rPr>
              <w:t>Board Recommendaton</w:t>
            </w:r>
          </w:p>
        </w:tc>
      </w:tr>
      <w:tr>
        <w:trPr>
          <w:trHeight w:val="222"/>
        </w:trPr>
        <w:tc>
          <w:tcPr>
            <w:tcW w:w="6300" w:type="dxa"/>
            <w:vAlign w:val="bottom"/>
            <w:tcBorders>
              <w:lef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1. Electon of the eight directors named in this proxy statement</w:t>
            </w:r>
          </w:p>
        </w:tc>
        <w:tc>
          <w:tcPr>
            <w:tcW w:w="3080" w:type="dxa"/>
            <w:vAlign w:val="bottom"/>
            <w:tcBorders>
              <w:right w:val="single" w:sz="8" w:color="auto"/>
            </w:tcBorders>
          </w:tcPr>
          <w:p>
            <w:pPr>
              <w:jc w:val="center"/>
              <w:ind w:left="328"/>
              <w:spacing w:after="0" w:line="215" w:lineRule="exact"/>
              <w:rPr>
                <w:sz w:val="20"/>
                <w:szCs w:val="20"/>
                <w:color w:val="auto"/>
              </w:rPr>
            </w:pPr>
            <w:r>
              <w:rPr>
                <w:rFonts w:ascii="Calibri" w:cs="Calibri" w:eastAsia="Calibri" w:hAnsi="Calibri"/>
                <w:sz w:val="18"/>
                <w:szCs w:val="18"/>
                <w:b w:val="1"/>
                <w:bCs w:val="1"/>
                <w:color w:val="auto"/>
                <w:w w:val="97"/>
              </w:rPr>
              <w:t>FOR EACH NOMINEE</w:t>
            </w:r>
          </w:p>
        </w:tc>
      </w:tr>
      <w:tr>
        <w:trPr>
          <w:trHeight w:val="174"/>
        </w:trPr>
        <w:tc>
          <w:tcPr>
            <w:tcW w:w="6300" w:type="dxa"/>
            <w:vAlign w:val="bottom"/>
            <w:tcBorders>
              <w:left w:val="single" w:sz="8" w:color="auto"/>
            </w:tcBorders>
            <w:shd w:val="clear" w:color="auto" w:fill="DBDBDB"/>
          </w:tcPr>
          <w:p>
            <w:pPr>
              <w:ind w:left="40"/>
              <w:spacing w:after="0" w:line="174" w:lineRule="exact"/>
              <w:rPr>
                <w:sz w:val="20"/>
                <w:szCs w:val="20"/>
                <w:color w:val="auto"/>
              </w:rPr>
            </w:pPr>
            <w:r>
              <w:rPr>
                <w:rFonts w:ascii="Calibri" w:cs="Calibri" w:eastAsia="Calibri" w:hAnsi="Calibri"/>
                <w:sz w:val="18"/>
                <w:szCs w:val="18"/>
                <w:color w:val="auto"/>
              </w:rPr>
              <w:t>2. Ratfcaton of appointment of Grant Thornton LLP to serve as our independent</w:t>
            </w:r>
          </w:p>
        </w:tc>
        <w:tc>
          <w:tcPr>
            <w:tcW w:w="3080" w:type="dxa"/>
            <w:vAlign w:val="bottom"/>
            <w:tcBorders>
              <w:right w:val="single" w:sz="8" w:color="auto"/>
            </w:tcBorders>
            <w:shd w:val="clear" w:color="auto" w:fill="DBDBDB"/>
          </w:tcPr>
          <w:p>
            <w:pPr>
              <w:spacing w:after="0"/>
              <w:rPr>
                <w:sz w:val="15"/>
                <w:szCs w:val="15"/>
                <w:color w:val="auto"/>
              </w:rPr>
            </w:pPr>
          </w:p>
        </w:tc>
      </w:tr>
      <w:tr>
        <w:trPr>
          <w:trHeight w:val="232"/>
        </w:trPr>
        <w:tc>
          <w:tcPr>
            <w:tcW w:w="6300" w:type="dxa"/>
            <w:vAlign w:val="bottom"/>
            <w:tcBorders>
              <w:left w:val="single" w:sz="8" w:color="auto"/>
              <w:bottom w:val="single" w:sz="8" w:color="DBDBDB"/>
            </w:tcBorders>
            <w:shd w:val="clear" w:color="auto" w:fill="DBDBDB"/>
          </w:tcPr>
          <w:p>
            <w:pPr>
              <w:ind w:left="40"/>
              <w:spacing w:after="0" w:line="215" w:lineRule="exact"/>
              <w:rPr>
                <w:sz w:val="20"/>
                <w:szCs w:val="20"/>
                <w:color w:val="auto"/>
              </w:rPr>
            </w:pPr>
            <w:r>
              <w:rPr>
                <w:rFonts w:ascii="Calibri" w:cs="Calibri" w:eastAsia="Calibri" w:hAnsi="Calibri"/>
                <w:sz w:val="18"/>
                <w:szCs w:val="18"/>
                <w:color w:val="auto"/>
              </w:rPr>
              <w:t>registered public accountng frm for our fscal year ending March 30, 2025</w:t>
            </w:r>
          </w:p>
        </w:tc>
        <w:tc>
          <w:tcPr>
            <w:tcW w:w="3080" w:type="dxa"/>
            <w:vAlign w:val="bottom"/>
            <w:tcBorders>
              <w:bottom w:val="single" w:sz="8" w:color="DBDBDB"/>
              <w:right w:val="single" w:sz="8" w:color="auto"/>
            </w:tcBorders>
            <w:shd w:val="clear" w:color="auto" w:fill="DBDBDB"/>
          </w:tcPr>
          <w:p>
            <w:pPr>
              <w:jc w:val="center"/>
              <w:ind w:left="328"/>
              <w:spacing w:after="0"/>
              <w:rPr>
                <w:sz w:val="20"/>
                <w:szCs w:val="20"/>
                <w:color w:val="auto"/>
              </w:rPr>
            </w:pPr>
            <w:r>
              <w:rPr>
                <w:rFonts w:ascii="Calibri" w:cs="Calibri" w:eastAsia="Calibri" w:hAnsi="Calibri"/>
                <w:sz w:val="18"/>
                <w:szCs w:val="18"/>
                <w:b w:val="1"/>
                <w:bCs w:val="1"/>
                <w:color w:val="auto"/>
                <w:w w:val="97"/>
              </w:rPr>
              <w:t>FOR</w:t>
            </w:r>
          </w:p>
        </w:tc>
      </w:tr>
      <w:tr>
        <w:trPr>
          <w:trHeight w:val="167"/>
        </w:trPr>
        <w:tc>
          <w:tcPr>
            <w:tcW w:w="6300" w:type="dxa"/>
            <w:vAlign w:val="bottom"/>
            <w:tcBorders>
              <w:left w:val="single" w:sz="8" w:color="auto"/>
            </w:tcBorders>
          </w:tcPr>
          <w:p>
            <w:pPr>
              <w:ind w:left="40"/>
              <w:spacing w:after="0" w:line="166" w:lineRule="exact"/>
              <w:rPr>
                <w:sz w:val="20"/>
                <w:szCs w:val="20"/>
                <w:color w:val="auto"/>
              </w:rPr>
            </w:pPr>
            <w:r>
              <w:rPr>
                <w:rFonts w:ascii="Calibri" w:cs="Calibri" w:eastAsia="Calibri" w:hAnsi="Calibri"/>
                <w:sz w:val="18"/>
                <w:szCs w:val="18"/>
                <w:color w:val="auto"/>
              </w:rPr>
              <w:t>3. Advisory vote to approve executve compensaton disclosed in the proxy</w:t>
            </w:r>
          </w:p>
        </w:tc>
        <w:tc>
          <w:tcPr>
            <w:tcW w:w="3080" w:type="dxa"/>
            <w:vAlign w:val="bottom"/>
            <w:tcBorders>
              <w:right w:val="single" w:sz="8" w:color="auto"/>
            </w:tcBorders>
          </w:tcPr>
          <w:p>
            <w:pPr>
              <w:spacing w:after="0"/>
              <w:rPr>
                <w:sz w:val="14"/>
                <w:szCs w:val="14"/>
                <w:color w:val="auto"/>
              </w:rPr>
            </w:pPr>
          </w:p>
        </w:tc>
      </w:tr>
      <w:tr>
        <w:trPr>
          <w:trHeight w:val="228"/>
        </w:trPr>
        <w:tc>
          <w:tcPr>
            <w:tcW w:w="6300" w:type="dxa"/>
            <w:vAlign w:val="bottom"/>
            <w:tcBorders>
              <w:lef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statement</w:t>
            </w:r>
          </w:p>
        </w:tc>
        <w:tc>
          <w:tcPr>
            <w:tcW w:w="3080" w:type="dxa"/>
            <w:vAlign w:val="bottom"/>
            <w:tcBorders>
              <w:right w:val="single" w:sz="8" w:color="auto"/>
            </w:tcBorders>
          </w:tcPr>
          <w:p>
            <w:pPr>
              <w:jc w:val="center"/>
              <w:ind w:left="328"/>
              <w:spacing w:after="0"/>
              <w:rPr>
                <w:sz w:val="20"/>
                <w:szCs w:val="20"/>
                <w:color w:val="auto"/>
              </w:rPr>
            </w:pPr>
            <w:r>
              <w:rPr>
                <w:rFonts w:ascii="Calibri" w:cs="Calibri" w:eastAsia="Calibri" w:hAnsi="Calibri"/>
                <w:sz w:val="18"/>
                <w:szCs w:val="18"/>
                <w:b w:val="1"/>
                <w:bCs w:val="1"/>
                <w:color w:val="auto"/>
                <w:w w:val="97"/>
              </w:rPr>
              <w:t>FOR</w:t>
            </w:r>
          </w:p>
        </w:tc>
      </w:tr>
      <w:tr>
        <w:trPr>
          <w:trHeight w:val="23"/>
        </w:trPr>
        <w:tc>
          <w:tcPr>
            <w:tcW w:w="6300" w:type="dxa"/>
            <w:vAlign w:val="bottom"/>
            <w:tcBorders>
              <w:left w:val="single" w:sz="8" w:color="auto"/>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180" w:lineRule="exact"/>
        <w:rPr>
          <w:sz w:val="20"/>
          <w:szCs w:val="20"/>
          <w:color w:val="auto"/>
        </w:rPr>
      </w:pPr>
    </w:p>
    <w:p>
      <w:pPr>
        <w:ind w:right="820"/>
        <w:spacing w:after="0" w:line="235" w:lineRule="auto"/>
        <w:rPr>
          <w:sz w:val="20"/>
          <w:szCs w:val="20"/>
          <w:color w:val="auto"/>
        </w:rPr>
      </w:pPr>
      <w:r>
        <w:rPr>
          <w:rFonts w:ascii="Calibri" w:cs="Calibri" w:eastAsia="Calibri" w:hAnsi="Calibri"/>
          <w:sz w:val="18"/>
          <w:szCs w:val="18"/>
          <w:color w:val="auto"/>
        </w:rPr>
        <w:t>If you return a properly executed proxy card without instructons, the persons named as proxy holders will vote your shares in accordance with the recommendatons of the Board.</w:t>
      </w:r>
    </w:p>
    <w:p>
      <w:pPr>
        <w:spacing w:after="0" w:line="22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Will any other maters be voted on?</w:t>
      </w:r>
    </w:p>
    <w:p>
      <w:pPr>
        <w:spacing w:after="0" w:line="113"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color w:val="auto"/>
        </w:rPr>
        <w:t>We do not know of any other maters that will be brought before the shareholders for a vote at the Annual Meetng. If any other maters properly come before the Annual Meetng calling for a vote of shareholders, proxies in the enclosed form returned to us will be voted in accordance with the recommendaton of the Board or, in the absence of such a recommendaton, in accordance with the judgment of the proxy holders.</w:t>
      </w:r>
    </w:p>
    <w:p>
      <w:pPr>
        <w:spacing w:after="0" w:line="22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Who is enttled to vote at the Annual Meetng?</w:t>
      </w:r>
    </w:p>
    <w:p>
      <w:pPr>
        <w:spacing w:after="0" w:line="113" w:lineRule="exact"/>
        <w:rPr>
          <w:sz w:val="20"/>
          <w:szCs w:val="20"/>
          <w:color w:val="auto"/>
        </w:rPr>
      </w:pPr>
    </w:p>
    <w:p>
      <w:pPr>
        <w:spacing w:after="0"/>
        <w:rPr>
          <w:sz w:val="20"/>
          <w:szCs w:val="20"/>
          <w:color w:val="auto"/>
        </w:rPr>
      </w:pPr>
      <w:r>
        <w:rPr>
          <w:rFonts w:ascii="Calibri" w:cs="Calibri" w:eastAsia="Calibri" w:hAnsi="Calibri"/>
          <w:sz w:val="17"/>
          <w:szCs w:val="17"/>
          <w:color w:val="auto"/>
        </w:rPr>
        <w:t>Only shareholders of record at the close of business on the record date of June 5, 2024 are enttled to receive notce of and partcipate in the Annual Meetng.</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If you were a shareholder of record on that date, you will be enttled to vote all of the shares you held on that date.</w:t>
      </w:r>
    </w:p>
    <w:p>
      <w:pPr>
        <w:spacing w:after="0" w:line="22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How many votes do I have?</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color w:val="auto"/>
        </w:rPr>
        <w:t>You will have one vote for each share of our common stock you owned as of the close of business on the record date.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 w:name="page6"/>
    <w:bookmarkEnd w:id="5"/>
    <w:p>
      <w:pPr>
        <w:spacing w:after="0"/>
        <w:rPr>
          <w:sz w:val="20"/>
          <w:szCs w:val="20"/>
          <w:color w:val="auto"/>
        </w:rPr>
      </w:pPr>
      <w:r>
        <w:rPr>
          <w:rFonts w:ascii="Calibri" w:cs="Calibri" w:eastAsia="Calibri" w:hAnsi="Calibri"/>
          <w:sz w:val="22"/>
          <w:szCs w:val="22"/>
          <w:b w:val="1"/>
          <w:bCs w:val="1"/>
          <w:color w:val="auto"/>
        </w:rPr>
        <w:t>How many votes can be cast by all shareholders?</w:t>
      </w:r>
    </w:p>
    <w:p>
      <w:pPr>
        <w:spacing w:after="0" w:line="113"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On the record date there were 20,987,766 outstanding shares of our common stock, each of which is enttled to one vote at the Annual Meetng. There is no cumulatve votng for directors.</w:t>
      </w:r>
    </w:p>
    <w:p>
      <w:pPr>
        <w:spacing w:after="0" w:line="22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How many votes must be present to hold the Annual Meetng?</w:t>
      </w:r>
    </w:p>
    <w:p>
      <w:pPr>
        <w:spacing w:after="0" w:line="115"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holders of a majority of the aggregate votng power of our common stock outstanding and enttled to vote on the record date, must be present in person, or by proxy, at the Annual Meetng to consttute a quorum necessary to conduct the meetng.</w:t>
      </w:r>
    </w:p>
    <w:p>
      <w:pPr>
        <w:spacing w:after="0" w:line="245"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Abstentons will be counted as present for purposes of determining the existence of a quorum at the meetng. However, shares of a shareholder who abstains or does not otherwise vote online at the Annual Meetng or by proxy will not be counted for purposes of establishing a quorum.</w:t>
      </w:r>
    </w:p>
    <w:p>
      <w:pPr>
        <w:spacing w:after="0" w:line="245" w:lineRule="exact"/>
        <w:rPr>
          <w:sz w:val="20"/>
          <w:szCs w:val="20"/>
          <w:color w:val="auto"/>
        </w:rPr>
      </w:pPr>
    </w:p>
    <w:p>
      <w:pPr>
        <w:ind w:right="180"/>
        <w:spacing w:after="0" w:line="252" w:lineRule="auto"/>
        <w:rPr>
          <w:sz w:val="20"/>
          <w:szCs w:val="20"/>
          <w:color w:val="auto"/>
        </w:rPr>
      </w:pPr>
      <w:r>
        <w:rPr>
          <w:rFonts w:ascii="Calibri" w:cs="Calibri" w:eastAsia="Calibri" w:hAnsi="Calibri"/>
          <w:sz w:val="17"/>
          <w:szCs w:val="17"/>
          <w:color w:val="auto"/>
        </w:rPr>
        <w:t>If a broker submits a proxy which indicates that the broker does not have discretonary authority as to certain shares to vote on proposals at the Annual Meetng, such “broker non-votes” will be counted for purposes of determining the presence of a quorum at the Annual Meetng, but will not be considered as present in person or by proxy and enttled to vote for purposes of determining the approval or disapproval of any proposal that requires the afrmatve vote of the holders of a majority of the number of shares of common stock present in person or by proxy at the Annual Meetng and enttled to vote.</w:t>
      </w:r>
    </w:p>
    <w:p>
      <w:pPr>
        <w:spacing w:after="0" w:line="235" w:lineRule="exact"/>
        <w:rPr>
          <w:sz w:val="20"/>
          <w:szCs w:val="20"/>
          <w:color w:val="auto"/>
        </w:rPr>
      </w:pPr>
    </w:p>
    <w:p>
      <w:pPr>
        <w:ind w:right="540"/>
        <w:spacing w:after="0" w:line="235" w:lineRule="auto"/>
        <w:rPr>
          <w:sz w:val="20"/>
          <w:szCs w:val="20"/>
          <w:color w:val="auto"/>
        </w:rPr>
      </w:pPr>
      <w:r>
        <w:rPr>
          <w:rFonts w:ascii="Calibri" w:cs="Calibri" w:eastAsia="Calibri" w:hAnsi="Calibri"/>
          <w:sz w:val="18"/>
          <w:szCs w:val="18"/>
          <w:color w:val="auto"/>
        </w:rPr>
        <w:t>We urge you to vote in advance even if you plan to atend the virtual Annual Meetng so that we will know as soon as possible that a quorum has been achieved.</w:t>
      </w:r>
    </w:p>
    <w:p>
      <w:pPr>
        <w:spacing w:after="0" w:line="22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What vote is required to approve each proposal?</w:t>
      </w:r>
    </w:p>
    <w:p>
      <w:pPr>
        <w:spacing w:after="0" w:line="121"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With respect to Proposal One, </w:t>
      </w:r>
      <w:r>
        <w:rPr>
          <w:rFonts w:ascii="Calibri" w:cs="Calibri" w:eastAsia="Calibri" w:hAnsi="Calibri"/>
          <w:sz w:val="18"/>
          <w:szCs w:val="18"/>
          <w:i w:val="1"/>
          <w:iCs w:val="1"/>
          <w:color w:val="auto"/>
        </w:rPr>
        <w:t>Electon of Directors</w:t>
      </w:r>
      <w:r>
        <w:rPr>
          <w:rFonts w:ascii="Calibri" w:cs="Calibri" w:eastAsia="Calibri" w:hAnsi="Calibri"/>
          <w:sz w:val="18"/>
          <w:szCs w:val="18"/>
          <w:color w:val="auto"/>
        </w:rPr>
        <w:t>, directors are elected by a plurality of the votes cast. A plurality means that the nominees with the</w:t>
      </w:r>
    </w:p>
    <w:p>
      <w:pPr>
        <w:spacing w:after="0" w:line="235" w:lineRule="auto"/>
        <w:rPr>
          <w:sz w:val="20"/>
          <w:szCs w:val="20"/>
          <w:color w:val="auto"/>
        </w:rPr>
      </w:pPr>
      <w:r>
        <w:rPr>
          <w:rFonts w:ascii="Calibri" w:cs="Calibri" w:eastAsia="Calibri" w:hAnsi="Calibri"/>
          <w:sz w:val="18"/>
          <w:szCs w:val="18"/>
          <w:color w:val="auto"/>
        </w:rPr>
        <w:t>greatest number of “for” votes are elected as directors, up to the maximum number of directors to be chosen at the Annual Meetng. Accordingly, an</w:t>
      </w:r>
    </w:p>
    <w:p>
      <w:pPr>
        <w:spacing w:after="0" w:line="236" w:lineRule="auto"/>
        <w:rPr>
          <w:sz w:val="20"/>
          <w:szCs w:val="20"/>
          <w:color w:val="auto"/>
        </w:rPr>
      </w:pPr>
      <w:r>
        <w:rPr>
          <w:rFonts w:ascii="Calibri" w:cs="Calibri" w:eastAsia="Calibri" w:hAnsi="Calibri"/>
          <w:sz w:val="18"/>
          <w:szCs w:val="18"/>
          <w:color w:val="auto"/>
        </w:rPr>
        <w:t>abstenton or failure to vote on this proposal (including a broker</w:t>
      </w:r>
    </w:p>
    <w:p>
      <w:pPr>
        <w:spacing w:after="0" w:line="236" w:lineRule="auto"/>
        <w:rPr>
          <w:sz w:val="20"/>
          <w:szCs w:val="20"/>
          <w:color w:val="auto"/>
        </w:rPr>
      </w:pPr>
      <w:r>
        <w:rPr>
          <w:rFonts w:ascii="Calibri" w:cs="Calibri" w:eastAsia="Calibri" w:hAnsi="Calibri"/>
          <w:sz w:val="18"/>
          <w:szCs w:val="18"/>
          <w:color w:val="auto"/>
        </w:rPr>
        <w:t>non-vote) will have no efect on the votng for the electon of directors.</w:t>
      </w:r>
    </w:p>
    <w:p>
      <w:pPr>
        <w:spacing w:after="0" w:line="245"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 xml:space="preserve">With respect to Proposal Two, </w:t>
      </w:r>
      <w:r>
        <w:rPr>
          <w:rFonts w:ascii="Calibri" w:cs="Calibri" w:eastAsia="Calibri" w:hAnsi="Calibri"/>
          <w:sz w:val="18"/>
          <w:szCs w:val="18"/>
          <w:i w:val="1"/>
          <w:iCs w:val="1"/>
          <w:color w:val="auto"/>
        </w:rPr>
        <w:t>Ratfcaton of Appointment of Independent Registered Public Accountng Firm</w:t>
      </w:r>
      <w:r>
        <w:rPr>
          <w:rFonts w:ascii="Calibri" w:cs="Calibri" w:eastAsia="Calibri" w:hAnsi="Calibri"/>
          <w:sz w:val="18"/>
          <w:szCs w:val="18"/>
          <w:color w:val="auto"/>
        </w:rPr>
        <w:t>, the shareholders will have ratfed the appointment of our independent registered public accountng frm upon the afrmatve vote of the holders of a majority of the shares of common stock present or represented by proxy at the meetng and enttled to vote. Accordingly, an abstenton will have the same efect as a vote “against” the proposal. Brokers and nominees have discreton to vote on routne maters such as this proposal. As a result, we do not expect that any broker non-votes will be cast with respect to Proposal Two. Notwithstanding that, we urge you to direct the votng of your shares by following the instructons provided to you by your broker or nominee.</w:t>
      </w:r>
    </w:p>
    <w:p>
      <w:pPr>
        <w:spacing w:after="0" w:line="24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With respect to Proposal Three, </w:t>
      </w:r>
      <w:r>
        <w:rPr>
          <w:rFonts w:ascii="Calibri" w:cs="Calibri" w:eastAsia="Calibri" w:hAnsi="Calibri"/>
          <w:sz w:val="18"/>
          <w:szCs w:val="18"/>
          <w:i w:val="1"/>
          <w:iCs w:val="1"/>
          <w:color w:val="auto"/>
        </w:rPr>
        <w:t>Advisory Vote to Approve Executve Compensaton</w:t>
      </w:r>
      <w:r>
        <w:rPr>
          <w:rFonts w:ascii="Calibri" w:cs="Calibri" w:eastAsia="Calibri" w:hAnsi="Calibri"/>
          <w:sz w:val="18"/>
          <w:szCs w:val="18"/>
          <w:color w:val="auto"/>
        </w:rPr>
        <w:t>, we will consider our shareholders to have approved our executve compensaton if the number of votes cast “for” this proposal exceeds the number of votes cast “against” this proposal. Accordingly, an abstenton or failure to vote on this proposal (including a broker non-vote) will have no efect on the outcome of this proposal.</w:t>
      </w:r>
    </w:p>
    <w:p>
      <w:pPr>
        <w:spacing w:after="0" w:line="22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Can I change my vote or revoke my proxy?</w:t>
      </w:r>
    </w:p>
    <w:p>
      <w:pPr>
        <w:spacing w:after="0" w:line="11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Any proxy given pursuant to this solicitaton and received in tme for the Annual Meetng will be voted in accordance with the instructons in that proxy unless the proxy is properly revoked prior to the meetng. Any shareholder giving a proxy may revoke it prior to its exercise at the meetng by: (1) delivering a writen notce expressly revoking the proxy to our Secretary at our principal executve ofces, (2) signing and forwarding to us at our principal executve ofces a later dated proxy, or (3) atending the Annual Meetng via the Internet and votng during the Annual Meetng.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6" w:name="page7"/>
    <w:bookmarkEnd w:id="6"/>
    <w:p>
      <w:pPr>
        <w:spacing w:after="0"/>
        <w:rPr>
          <w:sz w:val="20"/>
          <w:szCs w:val="20"/>
          <w:color w:val="auto"/>
        </w:rPr>
      </w:pPr>
      <w:r>
        <w:rPr>
          <w:rFonts w:ascii="Calibri" w:cs="Calibri" w:eastAsia="Calibri" w:hAnsi="Calibri"/>
          <w:sz w:val="25"/>
          <w:szCs w:val="25"/>
          <w:b w:val="1"/>
          <w:bCs w:val="1"/>
          <w:color w:val="auto"/>
        </w:rPr>
        <w:t xml:space="preserve">PROPOSAL ONE </w:t>
      </w:r>
      <w:r>
        <w:rPr>
          <w:rFonts w:ascii="Calibri" w:cs="Calibri" w:eastAsia="Calibri" w:hAnsi="Calibri"/>
          <w:sz w:val="25"/>
          <w:szCs w:val="25"/>
          <w:color w:val="auto"/>
        </w:rPr>
        <w:t>—</w:t>
      </w:r>
      <w:r>
        <w:rPr>
          <w:rFonts w:ascii="Calibri" w:cs="Calibri" w:eastAsia="Calibri" w:hAnsi="Calibri"/>
          <w:sz w:val="25"/>
          <w:szCs w:val="25"/>
          <w:b w:val="1"/>
          <w:bCs w:val="1"/>
          <w:color w:val="auto"/>
        </w:rPr>
        <w:t xml:space="preserve"> ELECTION OF DIRECTORS</w:t>
      </w:r>
    </w:p>
    <w:p>
      <w:pPr>
        <w:spacing w:after="0" w:line="253"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Board has fxed at eight the number of directors to be elected at the Annual Meetng. Our Amended and Restated By-Laws (our "By-Laws") provide for a Board of not fewer than three and not more than eleven directors. Our Board currently consists of eight directors.</w:t>
      </w:r>
    </w:p>
    <w:p>
      <w:pPr>
        <w:spacing w:after="0" w:line="245" w:lineRule="exact"/>
        <w:rPr>
          <w:sz w:val="20"/>
          <w:szCs w:val="20"/>
          <w:color w:val="auto"/>
        </w:rPr>
      </w:pPr>
    </w:p>
    <w:p>
      <w:pPr>
        <w:spacing w:after="0"/>
        <w:rPr>
          <w:sz w:val="20"/>
          <w:szCs w:val="20"/>
          <w:color w:val="auto"/>
        </w:rPr>
      </w:pPr>
      <w:r>
        <w:rPr>
          <w:rFonts w:ascii="Calibri" w:cs="Calibri" w:eastAsia="Calibri" w:hAnsi="Calibri"/>
          <w:sz w:val="17"/>
          <w:szCs w:val="17"/>
          <w:color w:val="auto"/>
        </w:rPr>
        <w:t>Our Board has nominated James A. Faulconbridge, Patrick H. Hawkins, Mary J. Schumacher, Jefrey E. Spethmann, Daniel J. Stauber, Yi "Faith" Tang, James T.</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Thompson and Jefrey L. Wright for electon to the Board, each to hold ofce for the ensuing year and untl his or her successor is duly elected and qualifed.</w:t>
      </w:r>
    </w:p>
    <w:p>
      <w:pPr>
        <w:spacing w:after="0" w:line="244"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Executed and delivered proxies, including any submited electronically, will be voted for the electon of all nominees unless you direct otherwise. Should any nominee decline or be unable to accept such nominaton or to serve as a director (an event which our management does not expect to occur), proxies will be voted for a substtute nominee or nominees in accordance with the best judgment of the person or persons actng under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1517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99" w:lineRule="exact"/>
        <w:rPr>
          <w:sz w:val="20"/>
          <w:szCs w:val="20"/>
          <w:color w:val="auto"/>
        </w:rPr>
      </w:pPr>
    </w:p>
    <w:p>
      <w:pPr>
        <w:ind w:left="1720"/>
        <w:spacing w:after="0"/>
        <w:rPr>
          <w:sz w:val="20"/>
          <w:szCs w:val="20"/>
          <w:color w:val="auto"/>
        </w:rPr>
      </w:pPr>
      <w:r>
        <w:rPr>
          <w:rFonts w:ascii="Calibri" w:cs="Calibri" w:eastAsia="Calibri" w:hAnsi="Calibri"/>
          <w:sz w:val="18"/>
          <w:szCs w:val="18"/>
          <w:b w:val="1"/>
          <w:bCs w:val="1"/>
          <w:i w:val="1"/>
          <w:iCs w:val="1"/>
          <w:color w:val="auto"/>
        </w:rPr>
        <w:t>OUR BOARD RECOMMENDS THAT SHAREHOLDERS VOTE “FOR” THE ELECTION OF EACH NOMINEE FOR DIRECTOR.</w:t>
      </w:r>
    </w:p>
    <w:p>
      <w:pPr>
        <w:spacing w:after="0" w:line="36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Informaton About Our Directors</w:t>
      </w:r>
    </w:p>
    <w:p>
      <w:pPr>
        <w:spacing w:after="0" w:line="113"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color w:val="auto"/>
        </w:rPr>
        <w:t>Our directors have served as our directors contnuously since the years indicated below. The following informaton, including the principal occupaton or employment of each director nominee, has been furnished to us by the respectve director nominees.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color w:val="auto"/>
        </w:rPr>
        <w:t>There are no family relatonships among any of our directors, executve ofcers, or director nominees.</w:t>
      </w:r>
    </w:p>
    <w:p>
      <w:pPr>
        <w:spacing w:after="0" w:line="244"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Each director nominee brings unique capabilites to our Board. The Board believes the nominees as a group have the experience and skills in areas such as general business management, corporate governance, manufacturing, fnance, strategic planning and risk management that are necessary to efectvely oversee our company. In additon, the Board believes that each of our directors possesses high standards of ethics, integrity and professionalism, sound judgment and a commitment to representng the long-term interests of our shareholders. Set forth below for each director nominee are the name, age, principal occupaton, and the year of their frst electon as a director of our Board.</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2760" w:type="dxa"/>
            <w:vAlign w:val="bottom"/>
            <w:tcBorders>
              <w:left w:val="single" w:sz="8" w:color="auto"/>
              <w:right w:val="single" w:sz="8" w:color="auto"/>
            </w:tcBorders>
            <w:shd w:val="clear" w:color="auto" w:fill="000000"/>
          </w:tcPr>
          <w:p>
            <w:pPr>
              <w:spacing w:after="0"/>
              <w:rPr>
                <w:sz w:val="23"/>
                <w:szCs w:val="23"/>
                <w:color w:val="auto"/>
              </w:rPr>
            </w:pPr>
          </w:p>
        </w:tc>
        <w:tc>
          <w:tcPr>
            <w:tcW w:w="800" w:type="dxa"/>
            <w:vAlign w:val="bottom"/>
            <w:tcBorders>
              <w:right w:val="single" w:sz="8" w:color="auto"/>
            </w:tcBorders>
            <w:shd w:val="clear" w:color="auto" w:fill="000000"/>
          </w:tcPr>
          <w:p>
            <w:pPr>
              <w:spacing w:after="0"/>
              <w:rPr>
                <w:sz w:val="23"/>
                <w:szCs w:val="23"/>
                <w:color w:val="auto"/>
              </w:rPr>
            </w:pPr>
          </w:p>
        </w:tc>
        <w:tc>
          <w:tcPr>
            <w:tcW w:w="6480" w:type="dxa"/>
            <w:vAlign w:val="bottom"/>
            <w:tcBorders>
              <w:right w:val="single" w:sz="8" w:color="auto"/>
            </w:tcBorders>
            <w:shd w:val="clear" w:color="auto" w:fill="000000"/>
          </w:tcPr>
          <w:p>
            <w:pPr>
              <w:spacing w:after="0"/>
              <w:rPr>
                <w:sz w:val="23"/>
                <w:szCs w:val="23"/>
                <w:color w:val="auto"/>
              </w:rPr>
            </w:pPr>
          </w:p>
        </w:tc>
        <w:tc>
          <w:tcPr>
            <w:tcW w:w="118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22"/>
                <w:szCs w:val="22"/>
                <w:b w:val="1"/>
                <w:bCs w:val="1"/>
                <w:color w:val="FFFFFF"/>
                <w:w w:val="96"/>
              </w:rPr>
              <w:t>Director</w:t>
            </w:r>
          </w:p>
        </w:tc>
      </w:tr>
      <w:tr>
        <w:trPr>
          <w:trHeight w:val="292"/>
        </w:trPr>
        <w:tc>
          <w:tcPr>
            <w:tcW w:w="2760" w:type="dxa"/>
            <w:vAlign w:val="bottom"/>
            <w:tcBorders>
              <w:left w:val="single" w:sz="8" w:color="auto"/>
              <w:bottom w:val="single" w:sz="8" w:color="auto"/>
              <w:right w:val="single" w:sz="8" w:color="auto"/>
            </w:tcBorders>
            <w:shd w:val="clear" w:color="auto" w:fill="000000"/>
          </w:tcPr>
          <w:p>
            <w:pPr>
              <w:ind w:left="40"/>
              <w:spacing w:after="0" w:line="256" w:lineRule="exact"/>
              <w:rPr>
                <w:sz w:val="20"/>
                <w:szCs w:val="20"/>
                <w:color w:val="auto"/>
              </w:rPr>
            </w:pPr>
            <w:r>
              <w:rPr>
                <w:rFonts w:ascii="Calibri" w:cs="Calibri" w:eastAsia="Calibri" w:hAnsi="Calibri"/>
                <w:sz w:val="22"/>
                <w:szCs w:val="22"/>
                <w:b w:val="1"/>
                <w:bCs w:val="1"/>
                <w:color w:val="FFFFFF"/>
              </w:rPr>
              <w:t>Name of Nominee</w:t>
            </w:r>
          </w:p>
        </w:tc>
        <w:tc>
          <w:tcPr>
            <w:tcW w:w="800" w:type="dxa"/>
            <w:vAlign w:val="bottom"/>
            <w:tcBorders>
              <w:bottom w:val="single" w:sz="8" w:color="auto"/>
              <w:right w:val="single" w:sz="8" w:color="auto"/>
            </w:tcBorders>
            <w:shd w:val="clear" w:color="auto" w:fill="000000"/>
          </w:tcPr>
          <w:p>
            <w:pPr>
              <w:jc w:val="center"/>
              <w:spacing w:after="0" w:line="256" w:lineRule="exact"/>
              <w:rPr>
                <w:sz w:val="20"/>
                <w:szCs w:val="20"/>
                <w:color w:val="auto"/>
              </w:rPr>
            </w:pPr>
            <w:r>
              <w:rPr>
                <w:rFonts w:ascii="Calibri" w:cs="Calibri" w:eastAsia="Calibri" w:hAnsi="Calibri"/>
                <w:sz w:val="22"/>
                <w:szCs w:val="22"/>
                <w:b w:val="1"/>
                <w:bCs w:val="1"/>
                <w:color w:val="FFFFFF"/>
                <w:w w:val="91"/>
              </w:rPr>
              <w:t>Age</w:t>
            </w:r>
          </w:p>
        </w:tc>
        <w:tc>
          <w:tcPr>
            <w:tcW w:w="6480" w:type="dxa"/>
            <w:vAlign w:val="bottom"/>
            <w:tcBorders>
              <w:bottom w:val="single" w:sz="8" w:color="auto"/>
              <w:right w:val="single" w:sz="8" w:color="auto"/>
            </w:tcBorders>
            <w:shd w:val="clear" w:color="auto" w:fill="000000"/>
          </w:tcPr>
          <w:p>
            <w:pPr>
              <w:ind w:left="2300"/>
              <w:spacing w:after="0" w:line="256" w:lineRule="exact"/>
              <w:rPr>
                <w:sz w:val="20"/>
                <w:szCs w:val="20"/>
                <w:color w:val="auto"/>
              </w:rPr>
            </w:pPr>
            <w:r>
              <w:rPr>
                <w:rFonts w:ascii="Calibri" w:cs="Calibri" w:eastAsia="Calibri" w:hAnsi="Calibri"/>
                <w:sz w:val="22"/>
                <w:szCs w:val="22"/>
                <w:b w:val="1"/>
                <w:bCs w:val="1"/>
                <w:color w:val="FFFFFF"/>
              </w:rPr>
              <w:t>Principal Occupaton</w:t>
            </w:r>
          </w:p>
        </w:tc>
        <w:tc>
          <w:tcPr>
            <w:tcW w:w="1180" w:type="dxa"/>
            <w:vAlign w:val="bottom"/>
            <w:tcBorders>
              <w:bottom w:val="single" w:sz="8" w:color="auto"/>
              <w:right w:val="single" w:sz="8" w:color="auto"/>
            </w:tcBorders>
            <w:shd w:val="clear" w:color="auto" w:fill="000000"/>
          </w:tcPr>
          <w:p>
            <w:pPr>
              <w:jc w:val="center"/>
              <w:spacing w:after="0" w:line="256" w:lineRule="exact"/>
              <w:rPr>
                <w:sz w:val="20"/>
                <w:szCs w:val="20"/>
                <w:color w:val="auto"/>
              </w:rPr>
            </w:pPr>
            <w:r>
              <w:rPr>
                <w:rFonts w:ascii="Calibri" w:cs="Calibri" w:eastAsia="Calibri" w:hAnsi="Calibri"/>
                <w:sz w:val="22"/>
                <w:szCs w:val="22"/>
                <w:b w:val="1"/>
                <w:bCs w:val="1"/>
                <w:color w:val="FFFFFF"/>
              </w:rPr>
              <w:t>Since</w:t>
            </w:r>
          </w:p>
        </w:tc>
      </w:tr>
      <w:tr>
        <w:trPr>
          <w:trHeight w:val="220"/>
        </w:trPr>
        <w:tc>
          <w:tcPr>
            <w:tcW w:w="276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8"/>
                <w:szCs w:val="18"/>
                <w:color w:val="auto"/>
              </w:rPr>
              <w:t>James A. Faulconbridge</w:t>
            </w:r>
          </w:p>
        </w:tc>
        <w:tc>
          <w:tcPr>
            <w:tcW w:w="80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56</w:t>
            </w:r>
          </w:p>
        </w:tc>
        <w:tc>
          <w:tcPr>
            <w:tcW w:w="6480" w:type="dxa"/>
            <w:vAlign w:val="bottom"/>
            <w:tcBorders>
              <w:right w:val="single" w:sz="8" w:color="auto"/>
            </w:tcBorders>
          </w:tcPr>
          <w:p>
            <w:pPr>
              <w:spacing w:after="0"/>
              <w:rPr>
                <w:sz w:val="20"/>
                <w:szCs w:val="20"/>
                <w:color w:val="auto"/>
              </w:rPr>
            </w:pPr>
            <w:r>
              <w:rPr>
                <w:rFonts w:ascii="Calibri" w:cs="Calibri" w:eastAsia="Calibri" w:hAnsi="Calibri"/>
                <w:sz w:val="18"/>
                <w:szCs w:val="18"/>
                <w:color w:val="auto"/>
              </w:rPr>
              <w:t>President, Karges-Faulconbridge, Inc</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8"/>
              </w:rPr>
              <w:t>2006</w:t>
            </w:r>
          </w:p>
        </w:tc>
      </w:tr>
      <w:tr>
        <w:trPr>
          <w:trHeight w:val="50"/>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213"/>
        </w:trPr>
        <w:tc>
          <w:tcPr>
            <w:tcW w:w="2760" w:type="dxa"/>
            <w:vAlign w:val="bottom"/>
            <w:tcBorders>
              <w:left w:val="single" w:sz="8" w:color="auto"/>
              <w:right w:val="single" w:sz="8" w:color="auto"/>
            </w:tcBorders>
          </w:tcPr>
          <w:p>
            <w:pPr>
              <w:ind w:left="40"/>
              <w:spacing w:after="0" w:line="213" w:lineRule="exact"/>
              <w:rPr>
                <w:sz w:val="20"/>
                <w:szCs w:val="20"/>
                <w:color w:val="auto"/>
              </w:rPr>
            </w:pPr>
            <w:r>
              <w:rPr>
                <w:rFonts w:ascii="Calibri" w:cs="Calibri" w:eastAsia="Calibri" w:hAnsi="Calibri"/>
                <w:sz w:val="18"/>
                <w:szCs w:val="18"/>
                <w:color w:val="auto"/>
              </w:rPr>
              <w:t>Patrick H. Hawkins</w:t>
            </w:r>
          </w:p>
        </w:tc>
        <w:tc>
          <w:tcPr>
            <w:tcW w:w="80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8"/>
              </w:rPr>
              <w:t>53</w:t>
            </w:r>
          </w:p>
        </w:tc>
        <w:tc>
          <w:tcPr>
            <w:tcW w:w="6480" w:type="dxa"/>
            <w:vAlign w:val="bottom"/>
            <w:tcBorders>
              <w:right w:val="single" w:sz="8" w:color="auto"/>
            </w:tcBorders>
          </w:tcPr>
          <w:p>
            <w:pPr>
              <w:spacing w:after="0" w:line="213" w:lineRule="exact"/>
              <w:rPr>
                <w:sz w:val="20"/>
                <w:szCs w:val="20"/>
                <w:color w:val="auto"/>
              </w:rPr>
            </w:pPr>
            <w:r>
              <w:rPr>
                <w:rFonts w:ascii="Calibri" w:cs="Calibri" w:eastAsia="Calibri" w:hAnsi="Calibri"/>
                <w:sz w:val="18"/>
                <w:szCs w:val="18"/>
                <w:color w:val="auto"/>
              </w:rPr>
              <w:t>President and Chief Executve Ofcer, Hawkins, Inc.</w:t>
            </w:r>
          </w:p>
        </w:tc>
        <w:tc>
          <w:tcPr>
            <w:tcW w:w="118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8"/>
              </w:rPr>
              <w:t>2011</w:t>
            </w:r>
          </w:p>
        </w:tc>
      </w:tr>
      <w:tr>
        <w:trPr>
          <w:trHeight w:val="50"/>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213"/>
        </w:trPr>
        <w:tc>
          <w:tcPr>
            <w:tcW w:w="2760" w:type="dxa"/>
            <w:vAlign w:val="bottom"/>
            <w:tcBorders>
              <w:left w:val="single" w:sz="8" w:color="auto"/>
              <w:right w:val="single" w:sz="8" w:color="auto"/>
            </w:tcBorders>
          </w:tcPr>
          <w:p>
            <w:pPr>
              <w:ind w:left="40"/>
              <w:spacing w:after="0" w:line="213" w:lineRule="exact"/>
              <w:rPr>
                <w:sz w:val="20"/>
                <w:szCs w:val="20"/>
                <w:color w:val="auto"/>
              </w:rPr>
            </w:pPr>
            <w:r>
              <w:rPr>
                <w:rFonts w:ascii="Calibri" w:cs="Calibri" w:eastAsia="Calibri" w:hAnsi="Calibri"/>
                <w:sz w:val="18"/>
                <w:szCs w:val="18"/>
                <w:color w:val="auto"/>
              </w:rPr>
              <w:t>Mary J. Schumacher</w:t>
            </w:r>
          </w:p>
        </w:tc>
        <w:tc>
          <w:tcPr>
            <w:tcW w:w="80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8"/>
              </w:rPr>
              <w:t>67</w:t>
            </w:r>
          </w:p>
        </w:tc>
        <w:tc>
          <w:tcPr>
            <w:tcW w:w="6480" w:type="dxa"/>
            <w:vAlign w:val="bottom"/>
            <w:tcBorders>
              <w:right w:val="single" w:sz="8" w:color="auto"/>
            </w:tcBorders>
          </w:tcPr>
          <w:p>
            <w:pPr>
              <w:spacing w:after="0" w:line="213" w:lineRule="exact"/>
              <w:rPr>
                <w:sz w:val="20"/>
                <w:szCs w:val="20"/>
                <w:color w:val="auto"/>
              </w:rPr>
            </w:pPr>
            <w:r>
              <w:rPr>
                <w:rFonts w:ascii="Calibri" w:cs="Calibri" w:eastAsia="Calibri" w:hAnsi="Calibri"/>
                <w:sz w:val="18"/>
                <w:szCs w:val="18"/>
                <w:color w:val="auto"/>
              </w:rPr>
              <w:t>Retred Executve</w:t>
            </w:r>
          </w:p>
        </w:tc>
        <w:tc>
          <w:tcPr>
            <w:tcW w:w="118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8"/>
              </w:rPr>
              <w:t>2012</w:t>
            </w:r>
          </w:p>
        </w:tc>
      </w:tr>
      <w:tr>
        <w:trPr>
          <w:trHeight w:val="50"/>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213"/>
        </w:trPr>
        <w:tc>
          <w:tcPr>
            <w:tcW w:w="2760" w:type="dxa"/>
            <w:vAlign w:val="bottom"/>
            <w:tcBorders>
              <w:left w:val="single" w:sz="8" w:color="auto"/>
              <w:right w:val="single" w:sz="8" w:color="auto"/>
            </w:tcBorders>
          </w:tcPr>
          <w:p>
            <w:pPr>
              <w:ind w:left="40"/>
              <w:spacing w:after="0" w:line="213" w:lineRule="exact"/>
              <w:rPr>
                <w:sz w:val="20"/>
                <w:szCs w:val="20"/>
                <w:color w:val="auto"/>
              </w:rPr>
            </w:pPr>
            <w:r>
              <w:rPr>
                <w:rFonts w:ascii="Calibri" w:cs="Calibri" w:eastAsia="Calibri" w:hAnsi="Calibri"/>
                <w:sz w:val="18"/>
                <w:szCs w:val="18"/>
                <w:color w:val="auto"/>
              </w:rPr>
              <w:t>Jefrey E. Spethmann</w:t>
            </w:r>
          </w:p>
        </w:tc>
        <w:tc>
          <w:tcPr>
            <w:tcW w:w="80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8"/>
              </w:rPr>
              <w:t>59</w:t>
            </w:r>
          </w:p>
        </w:tc>
        <w:tc>
          <w:tcPr>
            <w:tcW w:w="6480" w:type="dxa"/>
            <w:vAlign w:val="bottom"/>
            <w:tcBorders>
              <w:right w:val="single" w:sz="8" w:color="auto"/>
            </w:tcBorders>
          </w:tcPr>
          <w:p>
            <w:pPr>
              <w:spacing w:after="0" w:line="213" w:lineRule="exact"/>
              <w:rPr>
                <w:sz w:val="20"/>
                <w:szCs w:val="20"/>
                <w:color w:val="auto"/>
              </w:rPr>
            </w:pPr>
            <w:r>
              <w:rPr>
                <w:rFonts w:ascii="Calibri" w:cs="Calibri" w:eastAsia="Calibri" w:hAnsi="Calibri"/>
                <w:sz w:val="18"/>
                <w:szCs w:val="18"/>
                <w:color w:val="auto"/>
              </w:rPr>
              <w:t>CEO, HydrogenPro, Inc.</w:t>
            </w:r>
          </w:p>
        </w:tc>
        <w:tc>
          <w:tcPr>
            <w:tcW w:w="118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8"/>
              </w:rPr>
              <w:t>2021</w:t>
            </w:r>
          </w:p>
        </w:tc>
      </w:tr>
      <w:tr>
        <w:trPr>
          <w:trHeight w:val="50"/>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213"/>
        </w:trPr>
        <w:tc>
          <w:tcPr>
            <w:tcW w:w="2760" w:type="dxa"/>
            <w:vAlign w:val="bottom"/>
            <w:tcBorders>
              <w:left w:val="single" w:sz="8" w:color="auto"/>
              <w:right w:val="single" w:sz="8" w:color="auto"/>
            </w:tcBorders>
          </w:tcPr>
          <w:p>
            <w:pPr>
              <w:ind w:left="40"/>
              <w:spacing w:after="0" w:line="213" w:lineRule="exact"/>
              <w:rPr>
                <w:sz w:val="20"/>
                <w:szCs w:val="20"/>
                <w:color w:val="auto"/>
              </w:rPr>
            </w:pPr>
            <w:r>
              <w:rPr>
                <w:rFonts w:ascii="Calibri" w:cs="Calibri" w:eastAsia="Calibri" w:hAnsi="Calibri"/>
                <w:sz w:val="18"/>
                <w:szCs w:val="18"/>
                <w:color w:val="auto"/>
              </w:rPr>
              <w:t>Daniel J. Stauber</w:t>
            </w:r>
          </w:p>
        </w:tc>
        <w:tc>
          <w:tcPr>
            <w:tcW w:w="80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8"/>
              </w:rPr>
              <w:t>62</w:t>
            </w:r>
          </w:p>
        </w:tc>
        <w:tc>
          <w:tcPr>
            <w:tcW w:w="6480" w:type="dxa"/>
            <w:vAlign w:val="bottom"/>
            <w:tcBorders>
              <w:right w:val="single" w:sz="8" w:color="auto"/>
            </w:tcBorders>
          </w:tcPr>
          <w:p>
            <w:pPr>
              <w:spacing w:after="0" w:line="213" w:lineRule="exact"/>
              <w:rPr>
                <w:sz w:val="20"/>
                <w:szCs w:val="20"/>
                <w:color w:val="auto"/>
              </w:rPr>
            </w:pPr>
            <w:r>
              <w:rPr>
                <w:rFonts w:ascii="Calibri" w:cs="Calibri" w:eastAsia="Calibri" w:hAnsi="Calibri"/>
                <w:sz w:val="18"/>
                <w:szCs w:val="18"/>
                <w:color w:val="auto"/>
              </w:rPr>
              <w:t>Chief Brand Ofcer, Stauber Performance Ingredients, Inc.</w:t>
            </w:r>
          </w:p>
        </w:tc>
        <w:tc>
          <w:tcPr>
            <w:tcW w:w="118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8"/>
              </w:rPr>
              <w:t>2016</w:t>
            </w:r>
          </w:p>
        </w:tc>
      </w:tr>
      <w:tr>
        <w:trPr>
          <w:trHeight w:val="50"/>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213"/>
        </w:trPr>
        <w:tc>
          <w:tcPr>
            <w:tcW w:w="2760" w:type="dxa"/>
            <w:vAlign w:val="bottom"/>
            <w:tcBorders>
              <w:left w:val="single" w:sz="8" w:color="auto"/>
              <w:right w:val="single" w:sz="8" w:color="auto"/>
            </w:tcBorders>
          </w:tcPr>
          <w:p>
            <w:pPr>
              <w:ind w:left="40"/>
              <w:spacing w:after="0" w:line="213" w:lineRule="exact"/>
              <w:rPr>
                <w:sz w:val="20"/>
                <w:szCs w:val="20"/>
                <w:color w:val="auto"/>
              </w:rPr>
            </w:pPr>
            <w:r>
              <w:rPr>
                <w:rFonts w:ascii="Calibri" w:cs="Calibri" w:eastAsia="Calibri" w:hAnsi="Calibri"/>
                <w:sz w:val="18"/>
                <w:szCs w:val="18"/>
                <w:color w:val="auto"/>
              </w:rPr>
              <w:t>Yi "Faith" Tang</w:t>
            </w:r>
          </w:p>
        </w:tc>
        <w:tc>
          <w:tcPr>
            <w:tcW w:w="80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8"/>
              </w:rPr>
              <w:t>48</w:t>
            </w:r>
          </w:p>
        </w:tc>
        <w:tc>
          <w:tcPr>
            <w:tcW w:w="6480" w:type="dxa"/>
            <w:vAlign w:val="bottom"/>
            <w:tcBorders>
              <w:right w:val="single" w:sz="8" w:color="auto"/>
            </w:tcBorders>
          </w:tcPr>
          <w:p>
            <w:pPr>
              <w:spacing w:after="0" w:line="213" w:lineRule="exact"/>
              <w:rPr>
                <w:sz w:val="20"/>
                <w:szCs w:val="20"/>
                <w:color w:val="auto"/>
              </w:rPr>
            </w:pPr>
            <w:r>
              <w:rPr>
                <w:rFonts w:ascii="Calibri" w:cs="Calibri" w:eastAsia="Calibri" w:hAnsi="Calibri"/>
                <w:sz w:val="18"/>
                <w:szCs w:val="18"/>
                <w:color w:val="auto"/>
              </w:rPr>
              <w:t>Chief Informaton Ofcer, Mortenson Constructon</w:t>
            </w:r>
          </w:p>
        </w:tc>
        <w:tc>
          <w:tcPr>
            <w:tcW w:w="118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8"/>
              </w:rPr>
              <w:t>2020</w:t>
            </w:r>
          </w:p>
        </w:tc>
      </w:tr>
      <w:tr>
        <w:trPr>
          <w:trHeight w:val="50"/>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213"/>
        </w:trPr>
        <w:tc>
          <w:tcPr>
            <w:tcW w:w="2760" w:type="dxa"/>
            <w:vAlign w:val="bottom"/>
            <w:tcBorders>
              <w:left w:val="single" w:sz="8" w:color="auto"/>
              <w:right w:val="single" w:sz="8" w:color="auto"/>
            </w:tcBorders>
          </w:tcPr>
          <w:p>
            <w:pPr>
              <w:ind w:left="40"/>
              <w:spacing w:after="0" w:line="213" w:lineRule="exact"/>
              <w:rPr>
                <w:sz w:val="20"/>
                <w:szCs w:val="20"/>
                <w:color w:val="auto"/>
              </w:rPr>
            </w:pPr>
            <w:r>
              <w:rPr>
                <w:rFonts w:ascii="Calibri" w:cs="Calibri" w:eastAsia="Calibri" w:hAnsi="Calibri"/>
                <w:sz w:val="18"/>
                <w:szCs w:val="18"/>
                <w:color w:val="auto"/>
              </w:rPr>
              <w:t>James T. Thompson</w:t>
            </w:r>
          </w:p>
        </w:tc>
        <w:tc>
          <w:tcPr>
            <w:tcW w:w="80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8"/>
              </w:rPr>
              <w:t>73</w:t>
            </w:r>
          </w:p>
        </w:tc>
        <w:tc>
          <w:tcPr>
            <w:tcW w:w="6480" w:type="dxa"/>
            <w:vAlign w:val="bottom"/>
            <w:tcBorders>
              <w:right w:val="single" w:sz="8" w:color="auto"/>
            </w:tcBorders>
          </w:tcPr>
          <w:p>
            <w:pPr>
              <w:spacing w:after="0" w:line="213" w:lineRule="exact"/>
              <w:rPr>
                <w:sz w:val="20"/>
                <w:szCs w:val="20"/>
                <w:color w:val="auto"/>
              </w:rPr>
            </w:pPr>
            <w:r>
              <w:rPr>
                <w:rFonts w:ascii="Calibri" w:cs="Calibri" w:eastAsia="Calibri" w:hAnsi="Calibri"/>
                <w:sz w:val="18"/>
                <w:szCs w:val="18"/>
                <w:color w:val="auto"/>
              </w:rPr>
              <w:t>Retred Executve</w:t>
            </w:r>
          </w:p>
        </w:tc>
        <w:tc>
          <w:tcPr>
            <w:tcW w:w="118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8"/>
              </w:rPr>
              <w:t>2009</w:t>
            </w:r>
          </w:p>
        </w:tc>
      </w:tr>
      <w:tr>
        <w:trPr>
          <w:trHeight w:val="50"/>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213"/>
        </w:trPr>
        <w:tc>
          <w:tcPr>
            <w:tcW w:w="2760" w:type="dxa"/>
            <w:vAlign w:val="bottom"/>
            <w:tcBorders>
              <w:left w:val="single" w:sz="8" w:color="auto"/>
              <w:right w:val="single" w:sz="8" w:color="auto"/>
            </w:tcBorders>
          </w:tcPr>
          <w:p>
            <w:pPr>
              <w:ind w:left="40"/>
              <w:spacing w:after="0" w:line="213" w:lineRule="exact"/>
              <w:rPr>
                <w:sz w:val="20"/>
                <w:szCs w:val="20"/>
                <w:color w:val="auto"/>
              </w:rPr>
            </w:pPr>
            <w:r>
              <w:rPr>
                <w:rFonts w:ascii="Calibri" w:cs="Calibri" w:eastAsia="Calibri" w:hAnsi="Calibri"/>
                <w:sz w:val="18"/>
                <w:szCs w:val="18"/>
                <w:color w:val="auto"/>
              </w:rPr>
              <w:t>Jefrey L. Wright</w:t>
            </w:r>
          </w:p>
        </w:tc>
        <w:tc>
          <w:tcPr>
            <w:tcW w:w="80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8"/>
              </w:rPr>
              <w:t>61</w:t>
            </w:r>
          </w:p>
        </w:tc>
        <w:tc>
          <w:tcPr>
            <w:tcW w:w="6480" w:type="dxa"/>
            <w:vAlign w:val="bottom"/>
            <w:tcBorders>
              <w:right w:val="single" w:sz="8" w:color="auto"/>
            </w:tcBorders>
          </w:tcPr>
          <w:p>
            <w:pPr>
              <w:spacing w:after="0" w:line="213" w:lineRule="exact"/>
              <w:rPr>
                <w:sz w:val="20"/>
                <w:szCs w:val="20"/>
                <w:color w:val="auto"/>
              </w:rPr>
            </w:pPr>
            <w:r>
              <w:rPr>
                <w:rFonts w:ascii="Calibri" w:cs="Calibri" w:eastAsia="Calibri" w:hAnsi="Calibri"/>
                <w:sz w:val="18"/>
                <w:szCs w:val="18"/>
                <w:color w:val="auto"/>
              </w:rPr>
              <w:t>Retred Executve</w:t>
            </w:r>
          </w:p>
        </w:tc>
        <w:tc>
          <w:tcPr>
            <w:tcW w:w="118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8"/>
              </w:rPr>
              <w:t>2009</w:t>
            </w:r>
          </w:p>
        </w:tc>
      </w:tr>
      <w:tr>
        <w:trPr>
          <w:trHeight w:val="50"/>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48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bl>
    <w:p>
      <w:pPr>
        <w:spacing w:after="0" w:line="310"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provides certain additonal informaton regarding each director nominee.</w:t>
      </w:r>
    </w:p>
    <w:p>
      <w:pPr>
        <w:spacing w:after="0" w:line="244" w:lineRule="exact"/>
        <w:rPr>
          <w:sz w:val="20"/>
          <w:szCs w:val="20"/>
          <w:color w:val="auto"/>
        </w:rPr>
      </w:pPr>
    </w:p>
    <w:p>
      <w:pPr>
        <w:ind w:left="340" w:right="60"/>
        <w:spacing w:after="0" w:line="235" w:lineRule="auto"/>
        <w:rPr>
          <w:sz w:val="20"/>
          <w:szCs w:val="20"/>
          <w:color w:val="auto"/>
        </w:rPr>
      </w:pPr>
      <w:r>
        <w:rPr>
          <w:rFonts w:ascii="Calibri" w:cs="Calibri" w:eastAsia="Calibri" w:hAnsi="Calibri"/>
          <w:sz w:val="18"/>
          <w:szCs w:val="18"/>
          <w:b w:val="1"/>
          <w:bCs w:val="1"/>
          <w:i w:val="1"/>
          <w:iCs w:val="1"/>
          <w:color w:val="auto"/>
        </w:rPr>
        <w:t xml:space="preserve">James A. Faulconbridge </w:t>
      </w:r>
      <w:r>
        <w:rPr>
          <w:rFonts w:ascii="Calibri" w:cs="Calibri" w:eastAsia="Calibri" w:hAnsi="Calibri"/>
          <w:sz w:val="18"/>
          <w:szCs w:val="18"/>
          <w:color w:val="auto"/>
        </w:rPr>
        <w:t>has served as President of Karges-Faulconbridge, Inc., an engineering and technical services frm that services a broad variety of</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industries, including the ethanol industry, since 2006. His background provides the company with technical expertse and insight into various industries we serve, and in capital planning and carbon footprint techniques.</w:t>
      </w:r>
    </w:p>
    <w:p>
      <w:pPr>
        <w:spacing w:after="0" w:line="246" w:lineRule="exact"/>
        <w:rPr>
          <w:sz w:val="20"/>
          <w:szCs w:val="20"/>
          <w:color w:val="auto"/>
        </w:rPr>
      </w:pPr>
    </w:p>
    <w:p>
      <w:pPr>
        <w:ind w:left="340" w:right="140"/>
        <w:spacing w:after="0" w:line="235" w:lineRule="auto"/>
        <w:rPr>
          <w:sz w:val="20"/>
          <w:szCs w:val="20"/>
          <w:color w:val="auto"/>
        </w:rPr>
      </w:pPr>
      <w:r>
        <w:rPr>
          <w:rFonts w:ascii="Calibri" w:cs="Calibri" w:eastAsia="Calibri" w:hAnsi="Calibri"/>
          <w:sz w:val="18"/>
          <w:szCs w:val="18"/>
          <w:b w:val="1"/>
          <w:bCs w:val="1"/>
          <w:i w:val="1"/>
          <w:iCs w:val="1"/>
          <w:color w:val="auto"/>
        </w:rPr>
        <w:t xml:space="preserve">Patrick H. Hawkins </w:t>
      </w:r>
      <w:r>
        <w:rPr>
          <w:rFonts w:ascii="Calibri" w:cs="Calibri" w:eastAsia="Calibri" w:hAnsi="Calibri"/>
          <w:sz w:val="18"/>
          <w:szCs w:val="18"/>
          <w:color w:val="auto"/>
        </w:rPr>
        <w:t>has been with the company since 1992, having served as President since 2010; Business Director - Food and Pharmaceutcals from</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2009 to 2010; Business Manager - Food and Co-Extrusion Products from 2007 to 2009; Sales Representatve - Food Ingredients from 2002 to 2009; and, various other positons with the company from 1992 to 2002. Mr. Hawkins holds a bachelor's degree in chemistry from the University of Saint Thomas. His vast experience with our company has given him an intmate knowledge of our company and its business and a deep passion for our contnued success.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7" w:name="page8"/>
    <w:bookmarkEnd w:id="7"/>
    <w:p>
      <w:pPr>
        <w:ind w:right="420"/>
        <w:spacing w:after="0" w:line="235" w:lineRule="auto"/>
        <w:rPr>
          <w:sz w:val="20"/>
          <w:szCs w:val="20"/>
          <w:color w:val="auto"/>
        </w:rPr>
      </w:pPr>
      <w:r>
        <w:rPr>
          <w:rFonts w:ascii="Calibri" w:cs="Calibri" w:eastAsia="Calibri" w:hAnsi="Calibri"/>
          <w:sz w:val="18"/>
          <w:szCs w:val="18"/>
          <w:b w:val="1"/>
          <w:bCs w:val="1"/>
          <w:i w:val="1"/>
          <w:iCs w:val="1"/>
          <w:color w:val="auto"/>
        </w:rPr>
        <w:t xml:space="preserve">Mary J. Schumacher </w:t>
      </w:r>
      <w:r>
        <w:rPr>
          <w:rFonts w:ascii="Calibri" w:cs="Calibri" w:eastAsia="Calibri" w:hAnsi="Calibri"/>
          <w:sz w:val="18"/>
          <w:szCs w:val="18"/>
          <w:color w:val="auto"/>
        </w:rPr>
        <w:t>served as Chief Operatng Ofcer of Twin Cites Habitat for Humanity from 2010 to 2016; Senior Vice President and General</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Manager at Andersen Corporaton from 2008 to 2010 and Senior Vice President, Research, Technology, Quality and Engineering from 2003 to 2008; various positons at Ecolab Inc. from 1992 to 2003; and, various positons at The Pillsbury Company from 1979 to 1992. Ms. Schumacher holds a bachelor’s degree in chemical engineering from the University of Minnesota, and has extensive knowledge of the chemical industry and valuable experience in research and development, quality and business development.</w:t>
      </w:r>
    </w:p>
    <w:p>
      <w:pPr>
        <w:spacing w:after="0" w:line="247" w:lineRule="exact"/>
        <w:rPr>
          <w:sz w:val="20"/>
          <w:szCs w:val="20"/>
          <w:color w:val="auto"/>
        </w:rPr>
      </w:pPr>
    </w:p>
    <w:p>
      <w:pPr>
        <w:spacing w:after="0" w:line="251" w:lineRule="auto"/>
        <w:rPr>
          <w:sz w:val="20"/>
          <w:szCs w:val="20"/>
          <w:color w:val="auto"/>
        </w:rPr>
      </w:pPr>
      <w:r>
        <w:rPr>
          <w:rFonts w:ascii="Calibri" w:cs="Calibri" w:eastAsia="Calibri" w:hAnsi="Calibri"/>
          <w:sz w:val="17"/>
          <w:szCs w:val="17"/>
          <w:b w:val="1"/>
          <w:bCs w:val="1"/>
          <w:i w:val="1"/>
          <w:iCs w:val="1"/>
          <w:color w:val="auto"/>
        </w:rPr>
        <w:t xml:space="preserve">Jefrey E. Spethmann </w:t>
      </w:r>
      <w:r>
        <w:rPr>
          <w:rFonts w:ascii="Calibri" w:cs="Calibri" w:eastAsia="Calibri" w:hAnsi="Calibri"/>
          <w:sz w:val="17"/>
          <w:szCs w:val="17"/>
          <w:color w:val="auto"/>
        </w:rPr>
        <w:t>has served as CEO of HydrogenPro, Inc., a U.S. subsidiary of Norway based HydrogenPro ASA, since January 2024. Prior to joining</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HydrogenPro, Mr. Spethmann served as Senior Vice President of Industrial Products of Donaldson Company, Inc. from April 2016 through October 2023, and held various positons at Donaldson Company since joining the company in 2013, including Vice President, Exhaust and Emissions and Vice President, Global Industrial Air Filtraton. Prior to joining Donaldson, Mr. Spethmann held the positons of General Manager and President of Blow Molded Specialtes, Inc., from 1999 to 2012. Mr. Spethmann has a bachelor’s degree in mechanical engineering and an M.B.A. from the University of Minnesota. His experience and knowledge in sales and manufacturing processes at a large corporaton adds valuable insight to our Board.</w:t>
      </w:r>
    </w:p>
    <w:p>
      <w:pPr>
        <w:spacing w:after="0" w:line="23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i w:val="1"/>
          <w:iCs w:val="1"/>
          <w:color w:val="auto"/>
        </w:rPr>
        <w:t xml:space="preserve">Daniel J. Stauber </w:t>
      </w:r>
      <w:r>
        <w:rPr>
          <w:rFonts w:ascii="Calibri" w:cs="Calibri" w:eastAsia="Calibri" w:hAnsi="Calibri"/>
          <w:sz w:val="18"/>
          <w:szCs w:val="18"/>
          <w:color w:val="auto"/>
        </w:rPr>
        <w:t>has served as Chief Brand Ofcer of Stauber Performance Ingredients, Inc, (“Stauber”), a wholly owned subsidiary of the company,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since March 2019. Mr. Stauber served as Vice President - Health and Nutriton and as President of Stauber, from February 2018 through March 2019 and as Chief Brand Ofcer for Stauber since our acquisiton of Stauber in 2015 through January 2018; Chief Executve Ofcer of Stauber from 1998 untl its acquisiton in 2015; President from 1994 to 1998 and various other positons with Stauber from 1984 to 1994. His extensive knowledge of the health and nutriton industry is valuable in formulatng and executng our business plans and growth strategies for this segment of our business.</w:t>
      </w:r>
    </w:p>
    <w:p>
      <w:pPr>
        <w:spacing w:after="0" w:line="247" w:lineRule="exact"/>
        <w:rPr>
          <w:sz w:val="20"/>
          <w:szCs w:val="20"/>
          <w:color w:val="auto"/>
        </w:rPr>
      </w:pPr>
    </w:p>
    <w:p>
      <w:pPr>
        <w:spacing w:after="0" w:line="251" w:lineRule="auto"/>
        <w:rPr>
          <w:sz w:val="20"/>
          <w:szCs w:val="20"/>
          <w:color w:val="auto"/>
        </w:rPr>
      </w:pPr>
      <w:r>
        <w:rPr>
          <w:rFonts w:ascii="Calibri" w:cs="Calibri" w:eastAsia="Calibri" w:hAnsi="Calibri"/>
          <w:sz w:val="17"/>
          <w:szCs w:val="17"/>
          <w:b w:val="1"/>
          <w:bCs w:val="1"/>
          <w:i w:val="1"/>
          <w:iCs w:val="1"/>
          <w:color w:val="auto"/>
        </w:rPr>
        <w:t xml:space="preserve">Yi "Faith" Tang </w:t>
      </w:r>
      <w:r>
        <w:rPr>
          <w:rFonts w:ascii="Calibri" w:cs="Calibri" w:eastAsia="Calibri" w:hAnsi="Calibri"/>
          <w:sz w:val="17"/>
          <w:szCs w:val="17"/>
          <w:color w:val="auto"/>
        </w:rPr>
        <w:t>has served as Chief Informaton Ofcer of Mortenson Constructon since October 2023, and previously served as Global Chief Informaton</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Ofcer and Chief Digital Ofcer of MiTek, Inc. (a Berkshire Hathaway company) from September 2021 to September 2023, and held various positons at H.B. Fuller Company from 2010 to September 2021, most recently as Global Chief Informaton Ofcer. Prior to that, Ms. Tang held various positons at Baxter, Johnson &amp; Johnson and Eli Lilly. Ms. Tang holds a bachelor’s degree in Computer Sofware from Shanghai University of China and an M.B.A. from Renmin University of China. Her experience in informaton technology at a large industrial manufacturing company adds valuable insight to our Board.</w:t>
      </w:r>
    </w:p>
    <w:p>
      <w:pPr>
        <w:spacing w:after="0" w:line="238"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b w:val="1"/>
          <w:bCs w:val="1"/>
          <w:i w:val="1"/>
          <w:iCs w:val="1"/>
          <w:color w:val="auto"/>
        </w:rPr>
        <w:t xml:space="preserve">James T. Thompson </w:t>
      </w:r>
      <w:r>
        <w:rPr>
          <w:rFonts w:ascii="Calibri" w:cs="Calibri" w:eastAsia="Calibri" w:hAnsi="Calibri"/>
          <w:sz w:val="18"/>
          <w:szCs w:val="18"/>
          <w:color w:val="auto"/>
        </w:rPr>
        <w:t>served as Executve Vice President - Commercial of The Mosaic Company from 2004 to 2007, and held various positons at Cargill,</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Inc. from 1974 to 2004, most recently as President of Cargill Steel from 1996 to 2004. His experience with major manufacturing and commodity companies is valuable to us in our commodity chemicals business.</w:t>
      </w:r>
    </w:p>
    <w:p>
      <w:pPr>
        <w:spacing w:after="0" w:line="246"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b w:val="1"/>
          <w:bCs w:val="1"/>
          <w:i w:val="1"/>
          <w:iCs w:val="1"/>
          <w:color w:val="auto"/>
        </w:rPr>
        <w:t xml:space="preserve">Jefrey L. Wright </w:t>
      </w:r>
      <w:r>
        <w:rPr>
          <w:rFonts w:ascii="Calibri" w:cs="Calibri" w:eastAsia="Calibri" w:hAnsi="Calibri"/>
          <w:sz w:val="18"/>
          <w:szCs w:val="18"/>
          <w:color w:val="auto"/>
        </w:rPr>
        <w:t>served as Chief Financial Ofcer of G&amp;K Services, Inc. from 1999 to 2014, Executve Vice President and Director from 2009 to 2014,</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Senior Vice President from 2004 to 2009, and Treasurer and Secretary from 1999 to 2003; Treasurer at BMC Industries, Inc. from 1998 to 1999 and Controller from 1996 to 1998; various positons at Employee Beneft Plans, Inc. from 1993 to 1996; and was employed by Arthur Andersen &amp; Co. from 1984 to 1993. His extensive public company fnance and audit experience provides us with valuable fnancial and accountng experience as well as public company board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00"/>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130" w:right="359" w:bottom="1440" w:gutter="0" w:footer="0" w:header="0"/>
        </w:sectPr>
      </w:pPr>
    </w:p>
    <w:bookmarkStart w:id="8" w:name="page9"/>
    <w:bookmarkEnd w:id="8"/>
    <w:p>
      <w:pPr>
        <w:spacing w:after="0"/>
        <w:rPr>
          <w:sz w:val="20"/>
          <w:szCs w:val="20"/>
          <w:color w:val="auto"/>
        </w:rPr>
      </w:pPr>
      <w:r>
        <w:rPr>
          <w:rFonts w:ascii="Calibri" w:cs="Calibri" w:eastAsia="Calibri" w:hAnsi="Calibri"/>
          <w:sz w:val="22"/>
          <w:szCs w:val="22"/>
          <w:b w:val="1"/>
          <w:bCs w:val="1"/>
          <w:color w:val="auto"/>
        </w:rPr>
        <w:t>Board Diversity Matrix (as of June 5, 2024)</w:t>
      </w:r>
    </w:p>
    <w:p>
      <w:pPr>
        <w:spacing w:after="0" w:line="99"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following chart summarizes certain self-identfed personal characteristcs of our directors, in accordance with Nasdaq Listng Rule 5605(f). Each term used in the table has the meaning given to it in the rule and related instructons</w:t>
      </w:r>
      <w:r>
        <w:rPr>
          <w:rFonts w:ascii="Calibri" w:cs="Calibri" w:eastAsia="Calibri" w:hAnsi="Calibri"/>
          <w:sz w:val="21"/>
          <w:szCs w:val="21"/>
          <w:color w:val="auto"/>
        </w:rPr>
        <w:t>.</w:t>
      </w: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4220" w:type="dxa"/>
            <w:vAlign w:val="bottom"/>
            <w:tcBorders>
              <w:top w:val="single" w:sz="8" w:color="auto"/>
              <w:left w:val="single" w:sz="8" w:color="auto"/>
              <w:bottom w:val="single" w:sz="8" w:color="DBDBDB"/>
              <w:right w:val="single" w:sz="8" w:color="auto"/>
            </w:tcBorders>
            <w:shd w:val="clear" w:color="auto" w:fill="DBDBDB"/>
          </w:tcPr>
          <w:p>
            <w:pPr>
              <w:ind w:left="40"/>
              <w:spacing w:after="0"/>
              <w:rPr>
                <w:sz w:val="20"/>
                <w:szCs w:val="20"/>
                <w:color w:val="auto"/>
              </w:rPr>
            </w:pPr>
            <w:r>
              <w:rPr>
                <w:rFonts w:ascii="Calibri" w:cs="Calibri" w:eastAsia="Calibri" w:hAnsi="Calibri"/>
                <w:sz w:val="22"/>
                <w:szCs w:val="22"/>
                <w:b w:val="1"/>
                <w:bCs w:val="1"/>
                <w:color w:val="auto"/>
              </w:rPr>
              <w:t>Total Number of Directors</w:t>
            </w:r>
          </w:p>
        </w:tc>
        <w:tc>
          <w:tcPr>
            <w:tcW w:w="1340" w:type="dxa"/>
            <w:vAlign w:val="bottom"/>
            <w:tcBorders>
              <w:top w:val="single" w:sz="8" w:color="auto"/>
              <w:bottom w:val="single" w:sz="8" w:color="DBDBDB"/>
            </w:tcBorders>
            <w:shd w:val="clear" w:color="auto" w:fill="DBDBDB"/>
          </w:tcPr>
          <w:p>
            <w:pPr>
              <w:spacing w:after="0"/>
              <w:rPr>
                <w:sz w:val="24"/>
                <w:szCs w:val="24"/>
                <w:color w:val="auto"/>
              </w:rPr>
            </w:pPr>
          </w:p>
        </w:tc>
        <w:tc>
          <w:tcPr>
            <w:tcW w:w="1940" w:type="dxa"/>
            <w:vAlign w:val="bottom"/>
            <w:tcBorders>
              <w:top w:val="single" w:sz="8" w:color="auto"/>
              <w:bottom w:val="single" w:sz="8" w:color="DBDBDB"/>
              <w:right w:val="single" w:sz="8" w:color="auto"/>
            </w:tcBorders>
            <w:gridSpan w:val="2"/>
            <w:shd w:val="clear" w:color="auto" w:fill="DBDBDB"/>
          </w:tcPr>
          <w:p>
            <w:pPr>
              <w:jc w:val="right"/>
              <w:ind w:right="1507"/>
              <w:spacing w:after="0"/>
              <w:rPr>
                <w:sz w:val="20"/>
                <w:szCs w:val="20"/>
                <w:color w:val="auto"/>
              </w:rPr>
            </w:pPr>
            <w:r>
              <w:rPr>
                <w:rFonts w:ascii="Calibri" w:cs="Calibri" w:eastAsia="Calibri" w:hAnsi="Calibri"/>
                <w:sz w:val="22"/>
                <w:szCs w:val="22"/>
                <w:b w:val="1"/>
                <w:bCs w:val="1"/>
                <w:color w:val="auto"/>
              </w:rPr>
              <w:t>8</w:t>
            </w:r>
          </w:p>
        </w:tc>
      </w:tr>
      <w:tr>
        <w:trPr>
          <w:trHeight w:val="231"/>
        </w:trPr>
        <w:tc>
          <w:tcPr>
            <w:tcW w:w="4220" w:type="dxa"/>
            <w:vAlign w:val="bottom"/>
            <w:tcBorders>
              <w:top w:val="single" w:sz="8" w:color="auto"/>
              <w:left w:val="single" w:sz="8" w:color="auto"/>
              <w:right w:val="single" w:sz="8" w:color="auto"/>
            </w:tcBorders>
          </w:tcPr>
          <w:p>
            <w:pPr>
              <w:spacing w:after="0"/>
              <w:rPr>
                <w:sz w:val="20"/>
                <w:szCs w:val="20"/>
                <w:color w:val="auto"/>
              </w:rPr>
            </w:pPr>
          </w:p>
        </w:tc>
        <w:tc>
          <w:tcPr>
            <w:tcW w:w="1340" w:type="dxa"/>
            <w:vAlign w:val="bottom"/>
            <w:tcBorders>
              <w:top w:val="single" w:sz="8" w:color="auto"/>
            </w:tcBorders>
          </w:tcPr>
          <w:p>
            <w:pPr>
              <w:jc w:val="center"/>
              <w:ind w:left="168"/>
              <w:spacing w:after="0" w:line="230" w:lineRule="exact"/>
              <w:rPr>
                <w:sz w:val="20"/>
                <w:szCs w:val="20"/>
                <w:color w:val="auto"/>
              </w:rPr>
            </w:pPr>
            <w:r>
              <w:rPr>
                <w:rFonts w:ascii="Calibri" w:cs="Calibri" w:eastAsia="Calibri" w:hAnsi="Calibri"/>
                <w:sz w:val="20"/>
                <w:szCs w:val="20"/>
                <w:b w:val="1"/>
                <w:bCs w:val="1"/>
                <w:color w:val="auto"/>
                <w:w w:val="99"/>
              </w:rPr>
              <w:t>Female</w:t>
            </w:r>
          </w:p>
        </w:tc>
        <w:tc>
          <w:tcPr>
            <w:tcW w:w="300" w:type="dxa"/>
            <w:vAlign w:val="bottom"/>
            <w:tcBorders>
              <w:top w:val="single" w:sz="8" w:color="auto"/>
              <w:right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center"/>
              <w:spacing w:after="0" w:line="230" w:lineRule="exact"/>
              <w:rPr>
                <w:sz w:val="20"/>
                <w:szCs w:val="20"/>
                <w:color w:val="auto"/>
              </w:rPr>
            </w:pPr>
            <w:r>
              <w:rPr>
                <w:rFonts w:ascii="Calibri" w:cs="Calibri" w:eastAsia="Calibri" w:hAnsi="Calibri"/>
                <w:sz w:val="20"/>
                <w:szCs w:val="20"/>
                <w:b w:val="1"/>
                <w:bCs w:val="1"/>
                <w:color w:val="auto"/>
                <w:w w:val="99"/>
              </w:rPr>
              <w:t>Male</w:t>
            </w:r>
          </w:p>
        </w:tc>
      </w:tr>
      <w:tr>
        <w:trPr>
          <w:trHeight w:val="60"/>
        </w:trPr>
        <w:tc>
          <w:tcPr>
            <w:tcW w:w="4220" w:type="dxa"/>
            <w:vAlign w:val="bottom"/>
            <w:tcBorders>
              <w:left w:val="single" w:sz="8" w:color="auto"/>
              <w:bottom w:val="single" w:sz="8" w:color="auto"/>
              <w:right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r>
      <w:tr>
        <w:trPr>
          <w:trHeight w:val="296"/>
        </w:trPr>
        <w:tc>
          <w:tcPr>
            <w:tcW w:w="4220" w:type="dxa"/>
            <w:vAlign w:val="bottom"/>
            <w:tcBorders>
              <w:left w:val="single" w:sz="8" w:color="auto"/>
              <w:bottom w:val="single" w:sz="8" w:color="DBDBDB"/>
              <w:right w:val="single" w:sz="8" w:color="auto"/>
            </w:tcBorders>
            <w:shd w:val="clear" w:color="auto" w:fill="DBDBDB"/>
          </w:tcPr>
          <w:p>
            <w:pPr>
              <w:ind w:left="40"/>
              <w:spacing w:after="0" w:line="230" w:lineRule="exact"/>
              <w:rPr>
                <w:sz w:val="20"/>
                <w:szCs w:val="20"/>
                <w:color w:val="auto"/>
              </w:rPr>
            </w:pPr>
            <w:r>
              <w:rPr>
                <w:rFonts w:ascii="Calibri" w:cs="Calibri" w:eastAsia="Calibri" w:hAnsi="Calibri"/>
                <w:sz w:val="20"/>
                <w:szCs w:val="20"/>
                <w:b w:val="1"/>
                <w:bCs w:val="1"/>
                <w:color w:val="auto"/>
              </w:rPr>
              <w:t>Part I: Gender Identty</w:t>
            </w:r>
          </w:p>
        </w:tc>
        <w:tc>
          <w:tcPr>
            <w:tcW w:w="1340" w:type="dxa"/>
            <w:vAlign w:val="bottom"/>
            <w:tcBorders>
              <w:bottom w:val="single" w:sz="8" w:color="DBDBDB"/>
            </w:tcBorders>
            <w:shd w:val="clear" w:color="auto" w:fill="DBDBDB"/>
          </w:tcPr>
          <w:p>
            <w:pPr>
              <w:spacing w:after="0"/>
              <w:rPr>
                <w:sz w:val="24"/>
                <w:szCs w:val="24"/>
                <w:color w:val="auto"/>
              </w:rPr>
            </w:pPr>
          </w:p>
        </w:tc>
        <w:tc>
          <w:tcPr>
            <w:tcW w:w="300" w:type="dxa"/>
            <w:vAlign w:val="bottom"/>
            <w:tcBorders>
              <w:bottom w:val="single" w:sz="8" w:color="DBDBDB"/>
              <w:right w:val="single" w:sz="8" w:color="auto"/>
            </w:tcBorders>
            <w:shd w:val="clear" w:color="auto" w:fill="DBDBDB"/>
          </w:tcPr>
          <w:p>
            <w:pPr>
              <w:spacing w:after="0"/>
              <w:rPr>
                <w:sz w:val="24"/>
                <w:szCs w:val="24"/>
                <w:color w:val="auto"/>
              </w:rPr>
            </w:pPr>
          </w:p>
        </w:tc>
        <w:tc>
          <w:tcPr>
            <w:tcW w:w="1640" w:type="dxa"/>
            <w:vAlign w:val="bottom"/>
            <w:tcBorders>
              <w:bottom w:val="single" w:sz="8" w:color="DBDBDB"/>
              <w:right w:val="single" w:sz="8" w:color="auto"/>
            </w:tcBorders>
            <w:shd w:val="clear" w:color="auto" w:fill="DBDBDB"/>
          </w:tcPr>
          <w:p>
            <w:pPr>
              <w:spacing w:after="0"/>
              <w:rPr>
                <w:sz w:val="24"/>
                <w:szCs w:val="24"/>
                <w:color w:val="auto"/>
              </w:rPr>
            </w:pPr>
          </w:p>
        </w:tc>
      </w:tr>
      <w:tr>
        <w:trPr>
          <w:trHeight w:val="213"/>
        </w:trPr>
        <w:tc>
          <w:tcPr>
            <w:tcW w:w="4220" w:type="dxa"/>
            <w:vAlign w:val="bottom"/>
            <w:tcBorders>
              <w:top w:val="single" w:sz="8" w:color="auto"/>
              <w:left w:val="single" w:sz="8" w:color="auto"/>
              <w:right w:val="single" w:sz="8" w:color="auto"/>
            </w:tcBorders>
          </w:tcPr>
          <w:p>
            <w:pPr>
              <w:ind w:left="40"/>
              <w:spacing w:after="0" w:line="213" w:lineRule="exact"/>
              <w:rPr>
                <w:sz w:val="20"/>
                <w:szCs w:val="20"/>
                <w:color w:val="auto"/>
              </w:rPr>
            </w:pPr>
            <w:r>
              <w:rPr>
                <w:rFonts w:ascii="Calibri" w:cs="Calibri" w:eastAsia="Calibri" w:hAnsi="Calibri"/>
                <w:sz w:val="18"/>
                <w:szCs w:val="18"/>
                <w:color w:val="auto"/>
              </w:rPr>
              <w:t>Directors</w:t>
            </w:r>
          </w:p>
        </w:tc>
        <w:tc>
          <w:tcPr>
            <w:tcW w:w="1340" w:type="dxa"/>
            <w:vAlign w:val="bottom"/>
            <w:tcBorders>
              <w:top w:val="single" w:sz="8" w:color="auto"/>
            </w:tcBorders>
          </w:tcPr>
          <w:p>
            <w:pPr>
              <w:jc w:val="center"/>
              <w:ind w:left="188"/>
              <w:spacing w:after="0" w:line="213" w:lineRule="exact"/>
              <w:rPr>
                <w:sz w:val="20"/>
                <w:szCs w:val="20"/>
                <w:color w:val="auto"/>
              </w:rPr>
            </w:pPr>
            <w:r>
              <w:rPr>
                <w:rFonts w:ascii="Calibri" w:cs="Calibri" w:eastAsia="Calibri" w:hAnsi="Calibri"/>
                <w:sz w:val="18"/>
                <w:szCs w:val="18"/>
                <w:color w:val="auto"/>
              </w:rPr>
              <w:t>2</w:t>
            </w:r>
          </w:p>
        </w:tc>
        <w:tc>
          <w:tcPr>
            <w:tcW w:w="300" w:type="dxa"/>
            <w:vAlign w:val="bottom"/>
            <w:tcBorders>
              <w:top w:val="single" w:sz="8" w:color="auto"/>
              <w:right w:val="single" w:sz="8" w:color="auto"/>
            </w:tcBorders>
          </w:tcPr>
          <w:p>
            <w:pPr>
              <w:spacing w:after="0"/>
              <w:rPr>
                <w:sz w:val="18"/>
                <w:szCs w:val="18"/>
                <w:color w:val="auto"/>
              </w:rPr>
            </w:pPr>
          </w:p>
        </w:tc>
        <w:tc>
          <w:tcPr>
            <w:tcW w:w="1640" w:type="dxa"/>
            <w:vAlign w:val="bottom"/>
            <w:tcBorders>
              <w:top w:val="single" w:sz="8" w:color="auto"/>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rPr>
              <w:t>6</w:t>
            </w:r>
          </w:p>
        </w:tc>
      </w:tr>
      <w:tr>
        <w:trPr>
          <w:trHeight w:val="50"/>
        </w:trPr>
        <w:tc>
          <w:tcPr>
            <w:tcW w:w="42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r>
      <w:tr>
        <w:trPr>
          <w:trHeight w:val="296"/>
        </w:trPr>
        <w:tc>
          <w:tcPr>
            <w:tcW w:w="4220" w:type="dxa"/>
            <w:vAlign w:val="bottom"/>
            <w:tcBorders>
              <w:left w:val="single" w:sz="8" w:color="auto"/>
              <w:bottom w:val="single" w:sz="8" w:color="DBDBDB"/>
              <w:right w:val="single" w:sz="8" w:color="auto"/>
            </w:tcBorders>
            <w:shd w:val="clear" w:color="auto" w:fill="DBDBDB"/>
          </w:tcPr>
          <w:p>
            <w:pPr>
              <w:ind w:left="40"/>
              <w:spacing w:after="0" w:line="230" w:lineRule="exact"/>
              <w:rPr>
                <w:sz w:val="20"/>
                <w:szCs w:val="20"/>
                <w:color w:val="auto"/>
              </w:rPr>
            </w:pPr>
            <w:r>
              <w:rPr>
                <w:rFonts w:ascii="Calibri" w:cs="Calibri" w:eastAsia="Calibri" w:hAnsi="Calibri"/>
                <w:sz w:val="20"/>
                <w:szCs w:val="20"/>
                <w:b w:val="1"/>
                <w:bCs w:val="1"/>
                <w:color w:val="auto"/>
              </w:rPr>
              <w:t>Part II: Demographic Background</w:t>
            </w:r>
          </w:p>
        </w:tc>
        <w:tc>
          <w:tcPr>
            <w:tcW w:w="1340" w:type="dxa"/>
            <w:vAlign w:val="bottom"/>
            <w:tcBorders>
              <w:bottom w:val="single" w:sz="8" w:color="DBDBDB"/>
            </w:tcBorders>
            <w:shd w:val="clear" w:color="auto" w:fill="DBDBDB"/>
          </w:tcPr>
          <w:p>
            <w:pPr>
              <w:spacing w:after="0"/>
              <w:rPr>
                <w:sz w:val="24"/>
                <w:szCs w:val="24"/>
                <w:color w:val="auto"/>
              </w:rPr>
            </w:pPr>
          </w:p>
        </w:tc>
        <w:tc>
          <w:tcPr>
            <w:tcW w:w="300" w:type="dxa"/>
            <w:vAlign w:val="bottom"/>
            <w:tcBorders>
              <w:bottom w:val="single" w:sz="8" w:color="DBDBDB"/>
              <w:right w:val="single" w:sz="8" w:color="auto"/>
            </w:tcBorders>
            <w:shd w:val="clear" w:color="auto" w:fill="DBDBDB"/>
          </w:tcPr>
          <w:p>
            <w:pPr>
              <w:spacing w:after="0"/>
              <w:rPr>
                <w:sz w:val="24"/>
                <w:szCs w:val="24"/>
                <w:color w:val="auto"/>
              </w:rPr>
            </w:pPr>
          </w:p>
        </w:tc>
        <w:tc>
          <w:tcPr>
            <w:tcW w:w="1640" w:type="dxa"/>
            <w:vAlign w:val="bottom"/>
            <w:tcBorders>
              <w:bottom w:val="single" w:sz="8" w:color="DBDBDB"/>
              <w:right w:val="single" w:sz="8" w:color="auto"/>
            </w:tcBorders>
            <w:shd w:val="clear" w:color="auto" w:fill="DBDBDB"/>
          </w:tcPr>
          <w:p>
            <w:pPr>
              <w:spacing w:after="0"/>
              <w:rPr>
                <w:sz w:val="24"/>
                <w:szCs w:val="24"/>
                <w:color w:val="auto"/>
              </w:rPr>
            </w:pPr>
          </w:p>
        </w:tc>
      </w:tr>
      <w:tr>
        <w:trPr>
          <w:trHeight w:val="213"/>
        </w:trPr>
        <w:tc>
          <w:tcPr>
            <w:tcW w:w="4220" w:type="dxa"/>
            <w:vAlign w:val="bottom"/>
            <w:tcBorders>
              <w:top w:val="single" w:sz="8" w:color="auto"/>
              <w:left w:val="single" w:sz="8" w:color="auto"/>
              <w:right w:val="single" w:sz="8" w:color="auto"/>
            </w:tcBorders>
          </w:tcPr>
          <w:p>
            <w:pPr>
              <w:ind w:left="40"/>
              <w:spacing w:after="0" w:line="213" w:lineRule="exact"/>
              <w:rPr>
                <w:sz w:val="20"/>
                <w:szCs w:val="20"/>
                <w:color w:val="auto"/>
              </w:rPr>
            </w:pPr>
            <w:r>
              <w:rPr>
                <w:rFonts w:ascii="Calibri" w:cs="Calibri" w:eastAsia="Calibri" w:hAnsi="Calibri"/>
                <w:sz w:val="18"/>
                <w:szCs w:val="18"/>
                <w:color w:val="auto"/>
              </w:rPr>
              <w:t>Asian</w:t>
            </w:r>
          </w:p>
        </w:tc>
        <w:tc>
          <w:tcPr>
            <w:tcW w:w="1340" w:type="dxa"/>
            <w:vAlign w:val="bottom"/>
            <w:tcBorders>
              <w:top w:val="single" w:sz="8" w:color="auto"/>
            </w:tcBorders>
          </w:tcPr>
          <w:p>
            <w:pPr>
              <w:jc w:val="center"/>
              <w:ind w:left="188"/>
              <w:spacing w:after="0" w:line="213" w:lineRule="exact"/>
              <w:rPr>
                <w:sz w:val="20"/>
                <w:szCs w:val="20"/>
                <w:color w:val="auto"/>
              </w:rPr>
            </w:pPr>
            <w:r>
              <w:rPr>
                <w:rFonts w:ascii="Calibri" w:cs="Calibri" w:eastAsia="Calibri" w:hAnsi="Calibri"/>
                <w:sz w:val="18"/>
                <w:szCs w:val="18"/>
                <w:color w:val="auto"/>
              </w:rPr>
              <w:t>1</w:t>
            </w:r>
          </w:p>
        </w:tc>
        <w:tc>
          <w:tcPr>
            <w:tcW w:w="300" w:type="dxa"/>
            <w:vAlign w:val="bottom"/>
            <w:tcBorders>
              <w:top w:val="single" w:sz="8" w:color="auto"/>
              <w:right w:val="single" w:sz="8" w:color="auto"/>
            </w:tcBorders>
          </w:tcPr>
          <w:p>
            <w:pPr>
              <w:spacing w:after="0"/>
              <w:rPr>
                <w:sz w:val="18"/>
                <w:szCs w:val="18"/>
                <w:color w:val="auto"/>
              </w:rPr>
            </w:pPr>
          </w:p>
        </w:tc>
        <w:tc>
          <w:tcPr>
            <w:tcW w:w="1640" w:type="dxa"/>
            <w:vAlign w:val="bottom"/>
            <w:tcBorders>
              <w:top w:val="single" w:sz="8" w:color="auto"/>
              <w:right w:val="single" w:sz="8" w:color="auto"/>
            </w:tcBorders>
          </w:tcPr>
          <w:p>
            <w:pPr>
              <w:spacing w:after="0"/>
              <w:rPr>
                <w:sz w:val="18"/>
                <w:szCs w:val="18"/>
                <w:color w:val="auto"/>
              </w:rPr>
            </w:pPr>
          </w:p>
        </w:tc>
      </w:tr>
      <w:tr>
        <w:trPr>
          <w:trHeight w:val="51"/>
        </w:trPr>
        <w:tc>
          <w:tcPr>
            <w:tcW w:w="42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r>
      <w:tr>
        <w:trPr>
          <w:trHeight w:val="213"/>
        </w:trPr>
        <w:tc>
          <w:tcPr>
            <w:tcW w:w="4220" w:type="dxa"/>
            <w:vAlign w:val="bottom"/>
            <w:tcBorders>
              <w:left w:val="single" w:sz="8" w:color="auto"/>
              <w:right w:val="single" w:sz="8" w:color="auto"/>
            </w:tcBorders>
          </w:tcPr>
          <w:p>
            <w:pPr>
              <w:ind w:left="40"/>
              <w:spacing w:after="0" w:line="213" w:lineRule="exact"/>
              <w:rPr>
                <w:sz w:val="20"/>
                <w:szCs w:val="20"/>
                <w:color w:val="auto"/>
              </w:rPr>
            </w:pPr>
            <w:r>
              <w:rPr>
                <w:rFonts w:ascii="Calibri" w:cs="Calibri" w:eastAsia="Calibri" w:hAnsi="Calibri"/>
                <w:sz w:val="18"/>
                <w:szCs w:val="18"/>
                <w:color w:val="auto"/>
              </w:rPr>
              <w:t>White</w:t>
            </w:r>
          </w:p>
        </w:tc>
        <w:tc>
          <w:tcPr>
            <w:tcW w:w="1340" w:type="dxa"/>
            <w:vAlign w:val="bottom"/>
          </w:tcPr>
          <w:p>
            <w:pPr>
              <w:jc w:val="center"/>
              <w:ind w:left="188"/>
              <w:spacing w:after="0" w:line="213" w:lineRule="exact"/>
              <w:rPr>
                <w:sz w:val="20"/>
                <w:szCs w:val="20"/>
                <w:color w:val="auto"/>
              </w:rPr>
            </w:pPr>
            <w:r>
              <w:rPr>
                <w:rFonts w:ascii="Calibri" w:cs="Calibri" w:eastAsia="Calibri" w:hAnsi="Calibri"/>
                <w:sz w:val="18"/>
                <w:szCs w:val="18"/>
                <w:color w:val="auto"/>
              </w:rPr>
              <w:t>1</w:t>
            </w:r>
          </w:p>
        </w:tc>
        <w:tc>
          <w:tcPr>
            <w:tcW w:w="30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rPr>
              <w:t>6</w:t>
            </w:r>
          </w:p>
        </w:tc>
      </w:tr>
      <w:tr>
        <w:trPr>
          <w:trHeight w:val="50"/>
        </w:trPr>
        <w:tc>
          <w:tcPr>
            <w:tcW w:w="42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r>
    </w:tbl>
    <w:p>
      <w:pPr>
        <w:spacing w:after="0" w:line="28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Director Independence</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Board has determined that, of the director nominees, each of Messrs. Faulconbridge, Spethmann, Thompson and Wright, and Mmes. Schumacher and Tang, are “Independent Directors” as that term is defned under the applicable listng standards of The Nasdaq Stock Market LLC (“Nasdaq”). Accordingly, a majority of our Board is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3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70" w:right="579" w:bottom="1440" w:gutter="0" w:footer="0" w:header="0"/>
        </w:sectPr>
      </w:pPr>
    </w:p>
    <w:bookmarkStart w:id="9" w:name="page10"/>
    <w:bookmarkEnd w:id="9"/>
    <w:p>
      <w:pPr>
        <w:spacing w:after="0"/>
        <w:rPr>
          <w:sz w:val="20"/>
          <w:szCs w:val="20"/>
          <w:color w:val="auto"/>
        </w:rPr>
      </w:pPr>
      <w:r>
        <w:rPr>
          <w:rFonts w:ascii="Calibri" w:cs="Calibri" w:eastAsia="Calibri" w:hAnsi="Calibri"/>
          <w:sz w:val="25"/>
          <w:szCs w:val="25"/>
          <w:b w:val="1"/>
          <w:bCs w:val="1"/>
          <w:color w:val="auto"/>
        </w:rPr>
        <w:t>CORPORATE GOVERNANCE</w:t>
      </w:r>
    </w:p>
    <w:p>
      <w:pPr>
        <w:spacing w:after="0" w:line="23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Meetngs of the Board of Directors</w:t>
      </w:r>
    </w:p>
    <w:p>
      <w:pPr>
        <w:spacing w:after="0" w:line="12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Board held fve meetngs during the fscal year ended March 31, 2024 (“fscal 2024”). All directors atended at least 75% of the meetngs of our Board and the commitees on which they served. All directors atended our Annual Meetng of Shareholders virtually in 2023. Our Board encourages, but does not require, director atendance at annual meetngs of shareholders.</w:t>
      </w:r>
    </w:p>
    <w:p>
      <w:pPr>
        <w:spacing w:after="0" w:line="22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Leadership Structure of the Board of Directors</w:t>
      </w:r>
    </w:p>
    <w:p>
      <w:pPr>
        <w:spacing w:after="0" w:line="113"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Our Board does not have a policy regarding the separaton of the roles of Chief Executve Ofcer and Chair of the Board, as the Board believes it is in the best interests of the company to make that determinaton based on the positon and directon of the company and the membership of the Board. The positons of Chief Executve Ofcer and Chair of the Board are not currently held by the same person. This structure allows us to more fully utlize the skills of Mr. Thompson and ensures a greater actve partcipaton of the directors in setng agendas and establishing Board priorites and procedures.</w:t>
      </w:r>
    </w:p>
    <w:p>
      <w:pPr>
        <w:spacing w:after="0" w:line="23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Board Commitees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color w:val="auto"/>
        </w:rPr>
        <w:t>The Board has an Audit Commitee, Compensaton Commitee and Governance and Nominatng Commitee, each of which is described in more detail below.</w:t>
      </w:r>
    </w:p>
    <w:p>
      <w:pPr>
        <w:spacing w:after="0" w:line="235" w:lineRule="auto"/>
        <w:rPr>
          <w:sz w:val="20"/>
          <w:szCs w:val="20"/>
          <w:color w:val="auto"/>
        </w:rPr>
      </w:pPr>
      <w:r>
        <w:rPr>
          <w:rFonts w:ascii="Calibri" w:cs="Calibri" w:eastAsia="Calibri" w:hAnsi="Calibri"/>
          <w:sz w:val="18"/>
          <w:szCs w:val="18"/>
          <w:color w:val="auto"/>
        </w:rPr>
        <w:t>The current members of each of the commitees of the Board are as follows:</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3140" w:type="dxa"/>
            <w:vAlign w:val="bottom"/>
            <w:tcBorders>
              <w:left w:val="single" w:sz="8" w:color="auto"/>
              <w:right w:val="single" w:sz="8" w:color="auto"/>
            </w:tcBorders>
            <w:shd w:val="clear" w:color="auto" w:fill="000000"/>
          </w:tcPr>
          <w:p>
            <w:pPr>
              <w:spacing w:after="0"/>
              <w:rPr>
                <w:sz w:val="23"/>
                <w:szCs w:val="23"/>
                <w:color w:val="auto"/>
              </w:rPr>
            </w:pPr>
          </w:p>
        </w:tc>
        <w:tc>
          <w:tcPr>
            <w:tcW w:w="2480" w:type="dxa"/>
            <w:vAlign w:val="bottom"/>
            <w:tcBorders>
              <w:right w:val="single" w:sz="8" w:color="auto"/>
            </w:tcBorders>
            <w:shd w:val="clear" w:color="auto" w:fill="000000"/>
          </w:tcPr>
          <w:p>
            <w:pPr>
              <w:spacing w:after="0"/>
              <w:rPr>
                <w:sz w:val="23"/>
                <w:szCs w:val="23"/>
                <w:color w:val="auto"/>
              </w:rPr>
            </w:pPr>
          </w:p>
        </w:tc>
        <w:tc>
          <w:tcPr>
            <w:tcW w:w="380" w:type="dxa"/>
            <w:vAlign w:val="bottom"/>
            <w:tcBorders>
              <w:right w:val="single" w:sz="8" w:color="auto"/>
            </w:tcBorders>
            <w:shd w:val="clear" w:color="auto" w:fill="000000"/>
          </w:tcPr>
          <w:p>
            <w:pPr>
              <w:spacing w:after="0"/>
              <w:rPr>
                <w:sz w:val="23"/>
                <w:szCs w:val="23"/>
                <w:color w:val="auto"/>
              </w:rPr>
            </w:pPr>
          </w:p>
        </w:tc>
        <w:tc>
          <w:tcPr>
            <w:tcW w:w="2580" w:type="dxa"/>
            <w:vAlign w:val="bottom"/>
            <w:tcBorders>
              <w:right w:val="single" w:sz="8" w:color="auto"/>
            </w:tcBorders>
            <w:shd w:val="clear" w:color="auto" w:fill="000000"/>
          </w:tcPr>
          <w:p>
            <w:pPr>
              <w:spacing w:after="0"/>
              <w:rPr>
                <w:sz w:val="23"/>
                <w:szCs w:val="23"/>
                <w:color w:val="auto"/>
              </w:rPr>
            </w:pPr>
          </w:p>
        </w:tc>
        <w:tc>
          <w:tcPr>
            <w:tcW w:w="26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22"/>
                <w:szCs w:val="22"/>
                <w:b w:val="1"/>
                <w:bCs w:val="1"/>
                <w:color w:val="FFFFFF"/>
                <w:w w:val="99"/>
              </w:rPr>
              <w:t>Governance and Nominatng</w:t>
            </w:r>
          </w:p>
        </w:tc>
        <w:tc>
          <w:tcPr>
            <w:tcW w:w="0" w:type="dxa"/>
            <w:vAlign w:val="bottom"/>
          </w:tcPr>
          <w:p>
            <w:pPr>
              <w:spacing w:after="0"/>
              <w:rPr>
                <w:sz w:val="1"/>
                <w:szCs w:val="1"/>
                <w:color w:val="auto"/>
              </w:rPr>
            </w:pPr>
          </w:p>
        </w:tc>
      </w:tr>
      <w:tr>
        <w:trPr>
          <w:trHeight w:val="312"/>
        </w:trPr>
        <w:tc>
          <w:tcPr>
            <w:tcW w:w="3140" w:type="dxa"/>
            <w:vAlign w:val="bottom"/>
            <w:tcBorders>
              <w:left w:val="single" w:sz="8" w:color="auto"/>
              <w:bottom w:val="single" w:sz="8" w:color="auto"/>
              <w:right w:val="single" w:sz="8" w:color="auto"/>
            </w:tcBorders>
            <w:shd w:val="clear" w:color="auto" w:fill="000000"/>
          </w:tcPr>
          <w:p>
            <w:pPr>
              <w:ind w:left="40"/>
              <w:spacing w:after="0"/>
              <w:rPr>
                <w:sz w:val="20"/>
                <w:szCs w:val="20"/>
                <w:color w:val="auto"/>
              </w:rPr>
            </w:pPr>
            <w:r>
              <w:rPr>
                <w:rFonts w:ascii="Calibri" w:cs="Calibri" w:eastAsia="Calibri" w:hAnsi="Calibri"/>
                <w:sz w:val="22"/>
                <w:szCs w:val="22"/>
                <w:b w:val="1"/>
                <w:bCs w:val="1"/>
                <w:color w:val="FFFFFF"/>
              </w:rPr>
              <w:t>Board Member</w:t>
            </w:r>
          </w:p>
        </w:tc>
        <w:tc>
          <w:tcPr>
            <w:tcW w:w="2480" w:type="dxa"/>
            <w:vAlign w:val="bottom"/>
            <w:tcBorders>
              <w:bottom w:val="single" w:sz="8" w:color="auto"/>
              <w:right w:val="single" w:sz="8" w:color="auto"/>
            </w:tcBorders>
            <w:shd w:val="clear" w:color="auto" w:fill="000000"/>
          </w:tcPr>
          <w:p>
            <w:pPr>
              <w:jc w:val="center"/>
              <w:ind w:left="266"/>
              <w:spacing w:after="0" w:line="258" w:lineRule="exact"/>
              <w:rPr>
                <w:sz w:val="20"/>
                <w:szCs w:val="20"/>
                <w:color w:val="auto"/>
              </w:rPr>
            </w:pPr>
            <w:r>
              <w:rPr>
                <w:rFonts w:ascii="Calibri" w:cs="Calibri" w:eastAsia="Calibri" w:hAnsi="Calibri"/>
                <w:sz w:val="22"/>
                <w:szCs w:val="22"/>
                <w:b w:val="1"/>
                <w:bCs w:val="1"/>
                <w:color w:val="FFFFFF"/>
              </w:rPr>
              <w:t>Audit Commitee</w:t>
            </w:r>
          </w:p>
        </w:tc>
        <w:tc>
          <w:tcPr>
            <w:tcW w:w="380" w:type="dxa"/>
            <w:vAlign w:val="bottom"/>
            <w:tcBorders>
              <w:bottom w:val="single" w:sz="8" w:color="auto"/>
              <w:right w:val="single" w:sz="8" w:color="auto"/>
            </w:tcBorders>
            <w:shd w:val="clear" w:color="auto" w:fill="000000"/>
          </w:tcPr>
          <w:p>
            <w:pPr>
              <w:spacing w:after="0"/>
              <w:rPr>
                <w:sz w:val="24"/>
                <w:szCs w:val="24"/>
                <w:color w:val="auto"/>
              </w:rPr>
            </w:pPr>
          </w:p>
        </w:tc>
        <w:tc>
          <w:tcPr>
            <w:tcW w:w="2580" w:type="dxa"/>
            <w:vAlign w:val="bottom"/>
            <w:tcBorders>
              <w:bottom w:val="single" w:sz="8" w:color="auto"/>
              <w:right w:val="single" w:sz="8" w:color="auto"/>
            </w:tcBorders>
            <w:shd w:val="clear" w:color="auto" w:fill="000000"/>
          </w:tcPr>
          <w:p>
            <w:pPr>
              <w:jc w:val="center"/>
              <w:spacing w:after="0" w:line="258" w:lineRule="exact"/>
              <w:rPr>
                <w:sz w:val="20"/>
                <w:szCs w:val="20"/>
                <w:color w:val="auto"/>
              </w:rPr>
            </w:pPr>
            <w:r>
              <w:rPr>
                <w:rFonts w:ascii="Calibri" w:cs="Calibri" w:eastAsia="Calibri" w:hAnsi="Calibri"/>
                <w:sz w:val="22"/>
                <w:szCs w:val="22"/>
                <w:b w:val="1"/>
                <w:bCs w:val="1"/>
                <w:color w:val="FFFFFF"/>
              </w:rPr>
              <w:t>Compensaton Commitee</w:t>
            </w:r>
          </w:p>
        </w:tc>
        <w:tc>
          <w:tcPr>
            <w:tcW w:w="2640" w:type="dxa"/>
            <w:vAlign w:val="bottom"/>
            <w:tcBorders>
              <w:bottom w:val="single" w:sz="8" w:color="auto"/>
              <w:right w:val="single" w:sz="8" w:color="auto"/>
            </w:tcBorders>
            <w:shd w:val="clear" w:color="auto" w:fill="000000"/>
          </w:tcPr>
          <w:p>
            <w:pPr>
              <w:jc w:val="center"/>
              <w:spacing w:after="0" w:line="258" w:lineRule="exact"/>
              <w:rPr>
                <w:sz w:val="20"/>
                <w:szCs w:val="20"/>
                <w:color w:val="auto"/>
              </w:rPr>
            </w:pPr>
            <w:r>
              <w:rPr>
                <w:rFonts w:ascii="Calibri" w:cs="Calibri" w:eastAsia="Calibri" w:hAnsi="Calibri"/>
                <w:sz w:val="22"/>
                <w:szCs w:val="22"/>
                <w:b w:val="1"/>
                <w:bCs w:val="1"/>
                <w:color w:val="FFFFFF"/>
              </w:rPr>
              <w:t>Commitee</w:t>
            </w:r>
          </w:p>
        </w:tc>
        <w:tc>
          <w:tcPr>
            <w:tcW w:w="0" w:type="dxa"/>
            <w:vAlign w:val="bottom"/>
          </w:tcPr>
          <w:p>
            <w:pPr>
              <w:spacing w:after="0"/>
              <w:rPr>
                <w:sz w:val="1"/>
                <w:szCs w:val="1"/>
                <w:color w:val="auto"/>
              </w:rPr>
            </w:pPr>
          </w:p>
        </w:tc>
      </w:tr>
      <w:tr>
        <w:trPr>
          <w:trHeight w:val="250"/>
        </w:trPr>
        <w:tc>
          <w:tcPr>
            <w:tcW w:w="3140" w:type="dxa"/>
            <w:vAlign w:val="bottom"/>
            <w:tcBorders>
              <w:top w:val="single" w:sz="8" w:color="CBCBCB"/>
              <w:left w:val="single" w:sz="8" w:color="auto"/>
              <w:bottom w:val="single" w:sz="8" w:color="CBCBCB"/>
              <w:right w:val="single" w:sz="8" w:color="auto"/>
            </w:tcBorders>
            <w:shd w:val="clear" w:color="auto" w:fill="CBCBCB"/>
          </w:tcPr>
          <w:p>
            <w:pPr>
              <w:ind w:left="40"/>
              <w:spacing w:after="0" w:line="199" w:lineRule="exact"/>
              <w:rPr>
                <w:sz w:val="20"/>
                <w:szCs w:val="20"/>
                <w:color w:val="auto"/>
              </w:rPr>
            </w:pPr>
            <w:r>
              <w:rPr>
                <w:rFonts w:ascii="Calibri" w:cs="Calibri" w:eastAsia="Calibri" w:hAnsi="Calibri"/>
                <w:sz w:val="18"/>
                <w:szCs w:val="18"/>
                <w:color w:val="auto"/>
              </w:rPr>
              <w:t>Patrick H. Hawkins</w:t>
            </w:r>
          </w:p>
        </w:tc>
        <w:tc>
          <w:tcPr>
            <w:tcW w:w="2480" w:type="dxa"/>
            <w:vAlign w:val="bottom"/>
            <w:tcBorders>
              <w:top w:val="single" w:sz="8" w:color="auto"/>
            </w:tcBorders>
          </w:tcPr>
          <w:p>
            <w:pPr>
              <w:spacing w:after="0"/>
              <w:rPr>
                <w:sz w:val="21"/>
                <w:szCs w:val="21"/>
                <w:color w:val="auto"/>
              </w:rPr>
            </w:pPr>
          </w:p>
        </w:tc>
        <w:tc>
          <w:tcPr>
            <w:tcW w:w="380" w:type="dxa"/>
            <w:vAlign w:val="bottom"/>
            <w:tcBorders>
              <w:top w:val="single" w:sz="8" w:color="auto"/>
              <w:right w:val="single" w:sz="8" w:color="auto"/>
            </w:tcBorders>
          </w:tcPr>
          <w:p>
            <w:pPr>
              <w:spacing w:after="0"/>
              <w:rPr>
                <w:sz w:val="21"/>
                <w:szCs w:val="21"/>
                <w:color w:val="auto"/>
              </w:rPr>
            </w:pPr>
          </w:p>
        </w:tc>
        <w:tc>
          <w:tcPr>
            <w:tcW w:w="2580" w:type="dxa"/>
            <w:vAlign w:val="bottom"/>
            <w:tcBorders>
              <w:right w:val="single" w:sz="8" w:color="auto"/>
            </w:tcBorders>
          </w:tcPr>
          <w:p>
            <w:pPr>
              <w:spacing w:after="0"/>
              <w:rPr>
                <w:sz w:val="21"/>
                <w:szCs w:val="21"/>
                <w:color w:val="auto"/>
              </w:rPr>
            </w:pPr>
          </w:p>
        </w:tc>
        <w:tc>
          <w:tcPr>
            <w:tcW w:w="26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line="213" w:lineRule="exact"/>
              <w:rPr>
                <w:sz w:val="20"/>
                <w:szCs w:val="20"/>
                <w:color w:val="auto"/>
              </w:rPr>
            </w:pPr>
            <w:r>
              <w:rPr>
                <w:rFonts w:ascii="Calibri" w:cs="Calibri" w:eastAsia="Calibri" w:hAnsi="Calibri"/>
                <w:sz w:val="18"/>
                <w:szCs w:val="18"/>
                <w:color w:val="auto"/>
              </w:rPr>
              <w:t>James A. Faulconbridge (I)</w:t>
            </w:r>
          </w:p>
        </w:tc>
        <w:tc>
          <w:tcPr>
            <w:tcW w:w="2480" w:type="dxa"/>
            <w:vAlign w:val="bottom"/>
            <w:tcBorders>
              <w:top w:val="single" w:sz="8" w:color="auto"/>
            </w:tcBorders>
          </w:tcPr>
          <w:p>
            <w:pPr>
              <w:jc w:val="center"/>
              <w:ind w:left="266"/>
              <w:spacing w:after="0" w:line="213" w:lineRule="exact"/>
              <w:rPr>
                <w:sz w:val="20"/>
                <w:szCs w:val="20"/>
                <w:color w:val="auto"/>
              </w:rPr>
            </w:pPr>
            <w:r>
              <w:rPr>
                <w:rFonts w:ascii="Calibri" w:cs="Calibri" w:eastAsia="Calibri" w:hAnsi="Calibri"/>
                <w:sz w:val="18"/>
                <w:szCs w:val="18"/>
                <w:color w:val="auto"/>
              </w:rPr>
              <w:t>M</w:t>
            </w: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spacing w:after="0"/>
              <w:rPr>
                <w:sz w:val="22"/>
                <w:szCs w:val="22"/>
                <w:color w:val="auto"/>
              </w:rPr>
            </w:pPr>
          </w:p>
        </w:tc>
        <w:tc>
          <w:tcPr>
            <w:tcW w:w="2640" w:type="dxa"/>
            <w:vAlign w:val="bottom"/>
            <w:tcBorders>
              <w:top w:val="single" w:sz="8" w:color="auto"/>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rPr>
              <w:t>C</w:t>
            </w:r>
          </w:p>
        </w:tc>
        <w:tc>
          <w:tcPr>
            <w:tcW w:w="0" w:type="dxa"/>
            <w:vAlign w:val="bottom"/>
          </w:tcPr>
          <w:p>
            <w:pPr>
              <w:spacing w:after="0"/>
              <w:rPr>
                <w:sz w:val="1"/>
                <w:szCs w:val="1"/>
                <w:color w:val="auto"/>
              </w:rPr>
            </w:pPr>
          </w:p>
        </w:tc>
      </w:tr>
      <w:tr>
        <w:trPr>
          <w:trHeight w:val="263"/>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line="213" w:lineRule="exact"/>
              <w:rPr>
                <w:sz w:val="20"/>
                <w:szCs w:val="20"/>
                <w:color w:val="auto"/>
              </w:rPr>
            </w:pPr>
            <w:r>
              <w:rPr>
                <w:rFonts w:ascii="Calibri" w:cs="Calibri" w:eastAsia="Calibri" w:hAnsi="Calibri"/>
                <w:sz w:val="18"/>
                <w:szCs w:val="18"/>
                <w:color w:val="auto"/>
              </w:rPr>
              <w:t>Mary J. Schumacher (I)</w:t>
            </w:r>
          </w:p>
        </w:tc>
        <w:tc>
          <w:tcPr>
            <w:tcW w:w="2480" w:type="dxa"/>
            <w:vAlign w:val="bottom"/>
            <w:tcBorders>
              <w:top w:val="single" w:sz="8" w:color="auto"/>
            </w:tcBorders>
          </w:tcPr>
          <w:p>
            <w:pPr>
              <w:jc w:val="center"/>
              <w:ind w:left="266"/>
              <w:spacing w:after="0" w:line="213" w:lineRule="exact"/>
              <w:rPr>
                <w:sz w:val="20"/>
                <w:szCs w:val="20"/>
                <w:color w:val="auto"/>
              </w:rPr>
            </w:pPr>
            <w:r>
              <w:rPr>
                <w:rFonts w:ascii="Calibri" w:cs="Calibri" w:eastAsia="Calibri" w:hAnsi="Calibri"/>
                <w:sz w:val="18"/>
                <w:szCs w:val="18"/>
                <w:color w:val="auto"/>
              </w:rPr>
              <w:t>M</w:t>
            </w: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82"/>
              </w:rPr>
              <w:t>C</w:t>
            </w:r>
          </w:p>
        </w:tc>
        <w:tc>
          <w:tcPr>
            <w:tcW w:w="2640" w:type="dxa"/>
            <w:vAlign w:val="bottom"/>
            <w:tcBorders>
              <w:top w:val="single" w:sz="8" w:color="auto"/>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rPr>
              <w:t>M</w:t>
            </w:r>
          </w:p>
        </w:tc>
        <w:tc>
          <w:tcPr>
            <w:tcW w:w="0" w:type="dxa"/>
            <w:vAlign w:val="bottom"/>
          </w:tcPr>
          <w:p>
            <w:pPr>
              <w:spacing w:after="0"/>
              <w:rPr>
                <w:sz w:val="1"/>
                <w:szCs w:val="1"/>
                <w:color w:val="auto"/>
              </w:rPr>
            </w:pPr>
          </w:p>
        </w:tc>
      </w:tr>
      <w:tr>
        <w:trPr>
          <w:trHeight w:val="263"/>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line="213" w:lineRule="exact"/>
              <w:rPr>
                <w:sz w:val="20"/>
                <w:szCs w:val="20"/>
                <w:color w:val="auto"/>
              </w:rPr>
            </w:pPr>
            <w:r>
              <w:rPr>
                <w:rFonts w:ascii="Calibri" w:cs="Calibri" w:eastAsia="Calibri" w:hAnsi="Calibri"/>
                <w:sz w:val="18"/>
                <w:szCs w:val="18"/>
                <w:color w:val="auto"/>
              </w:rPr>
              <w:t>Jefrey E. Spethmann (I)</w:t>
            </w:r>
          </w:p>
        </w:tc>
        <w:tc>
          <w:tcPr>
            <w:tcW w:w="2480" w:type="dxa"/>
            <w:vAlign w:val="bottom"/>
            <w:tcBorders>
              <w:top w:val="single" w:sz="8" w:color="auto"/>
            </w:tcBorders>
          </w:tcPr>
          <w:p>
            <w:pPr>
              <w:jc w:val="center"/>
              <w:ind w:left="266"/>
              <w:spacing w:after="0" w:line="213" w:lineRule="exact"/>
              <w:rPr>
                <w:sz w:val="20"/>
                <w:szCs w:val="20"/>
                <w:color w:val="auto"/>
              </w:rPr>
            </w:pPr>
            <w:r>
              <w:rPr>
                <w:rFonts w:ascii="Calibri" w:cs="Calibri" w:eastAsia="Calibri" w:hAnsi="Calibri"/>
                <w:sz w:val="18"/>
                <w:szCs w:val="18"/>
                <w:color w:val="auto"/>
              </w:rPr>
              <w:t>M</w:t>
            </w: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spacing w:after="0"/>
              <w:rPr>
                <w:sz w:val="22"/>
                <w:szCs w:val="22"/>
                <w:color w:val="auto"/>
              </w:rPr>
            </w:pPr>
          </w:p>
        </w:tc>
        <w:tc>
          <w:tcPr>
            <w:tcW w:w="26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line="213" w:lineRule="exact"/>
              <w:rPr>
                <w:sz w:val="20"/>
                <w:szCs w:val="20"/>
                <w:color w:val="auto"/>
              </w:rPr>
            </w:pPr>
            <w:r>
              <w:rPr>
                <w:rFonts w:ascii="Calibri" w:cs="Calibri" w:eastAsia="Calibri" w:hAnsi="Calibri"/>
                <w:sz w:val="18"/>
                <w:szCs w:val="18"/>
                <w:color w:val="auto"/>
              </w:rPr>
              <w:t>Daniel J. Stauber</w:t>
            </w:r>
          </w:p>
        </w:tc>
        <w:tc>
          <w:tcPr>
            <w:tcW w:w="2480" w:type="dxa"/>
            <w:vAlign w:val="bottom"/>
            <w:tcBorders>
              <w:top w:val="single" w:sz="8" w:color="auto"/>
            </w:tcBorders>
          </w:tcPr>
          <w:p>
            <w:pPr>
              <w:spacing w:after="0"/>
              <w:rPr>
                <w:sz w:val="22"/>
                <w:szCs w:val="22"/>
                <w:color w:val="auto"/>
              </w:rPr>
            </w:pP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spacing w:after="0"/>
              <w:rPr>
                <w:sz w:val="22"/>
                <w:szCs w:val="22"/>
                <w:color w:val="auto"/>
              </w:rPr>
            </w:pPr>
          </w:p>
        </w:tc>
        <w:tc>
          <w:tcPr>
            <w:tcW w:w="26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line="213" w:lineRule="exact"/>
              <w:rPr>
                <w:sz w:val="20"/>
                <w:szCs w:val="20"/>
                <w:color w:val="auto"/>
              </w:rPr>
            </w:pPr>
            <w:r>
              <w:rPr>
                <w:rFonts w:ascii="Calibri" w:cs="Calibri" w:eastAsia="Calibri" w:hAnsi="Calibri"/>
                <w:sz w:val="18"/>
                <w:szCs w:val="18"/>
                <w:color w:val="auto"/>
              </w:rPr>
              <w:t>Yi "Faith" Tang (I)</w:t>
            </w:r>
          </w:p>
        </w:tc>
        <w:tc>
          <w:tcPr>
            <w:tcW w:w="2480" w:type="dxa"/>
            <w:vAlign w:val="bottom"/>
            <w:tcBorders>
              <w:top w:val="single" w:sz="8" w:color="auto"/>
            </w:tcBorders>
          </w:tcPr>
          <w:p>
            <w:pPr>
              <w:spacing w:after="0"/>
              <w:rPr>
                <w:sz w:val="22"/>
                <w:szCs w:val="22"/>
                <w:color w:val="auto"/>
              </w:rPr>
            </w:pP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rPr>
              <w:t>M</w:t>
            </w:r>
          </w:p>
        </w:tc>
        <w:tc>
          <w:tcPr>
            <w:tcW w:w="26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line="213" w:lineRule="exact"/>
              <w:rPr>
                <w:sz w:val="20"/>
                <w:szCs w:val="20"/>
                <w:color w:val="auto"/>
              </w:rPr>
            </w:pPr>
            <w:r>
              <w:rPr>
                <w:rFonts w:ascii="Calibri" w:cs="Calibri" w:eastAsia="Calibri" w:hAnsi="Calibri"/>
                <w:sz w:val="18"/>
                <w:szCs w:val="18"/>
                <w:color w:val="auto"/>
              </w:rPr>
              <w:t>James T. Thompson, Chair (I)</w:t>
            </w:r>
          </w:p>
        </w:tc>
        <w:tc>
          <w:tcPr>
            <w:tcW w:w="2480" w:type="dxa"/>
            <w:vAlign w:val="bottom"/>
            <w:tcBorders>
              <w:top w:val="single" w:sz="8" w:color="auto"/>
            </w:tcBorders>
          </w:tcPr>
          <w:p>
            <w:pPr>
              <w:spacing w:after="0"/>
              <w:rPr>
                <w:sz w:val="22"/>
                <w:szCs w:val="22"/>
                <w:color w:val="auto"/>
              </w:rPr>
            </w:pP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rPr>
              <w:t>M</w:t>
            </w:r>
          </w:p>
        </w:tc>
        <w:tc>
          <w:tcPr>
            <w:tcW w:w="2640" w:type="dxa"/>
            <w:vAlign w:val="bottom"/>
            <w:tcBorders>
              <w:top w:val="single" w:sz="8" w:color="auto"/>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rPr>
              <w:t>M</w:t>
            </w:r>
          </w:p>
        </w:tc>
        <w:tc>
          <w:tcPr>
            <w:tcW w:w="0" w:type="dxa"/>
            <w:vAlign w:val="bottom"/>
          </w:tcPr>
          <w:p>
            <w:pPr>
              <w:spacing w:after="0"/>
              <w:rPr>
                <w:sz w:val="1"/>
                <w:szCs w:val="1"/>
                <w:color w:val="auto"/>
              </w:rPr>
            </w:pPr>
          </w:p>
        </w:tc>
      </w:tr>
      <w:tr>
        <w:trPr>
          <w:trHeight w:val="264"/>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line="213" w:lineRule="exact"/>
              <w:rPr>
                <w:sz w:val="20"/>
                <w:szCs w:val="20"/>
                <w:color w:val="auto"/>
              </w:rPr>
            </w:pPr>
            <w:r>
              <w:rPr>
                <w:rFonts w:ascii="Calibri" w:cs="Calibri" w:eastAsia="Calibri" w:hAnsi="Calibri"/>
                <w:sz w:val="18"/>
                <w:szCs w:val="18"/>
                <w:color w:val="auto"/>
              </w:rPr>
              <w:t>Jefrey L. Wright (I)</w:t>
            </w:r>
          </w:p>
        </w:tc>
        <w:tc>
          <w:tcPr>
            <w:tcW w:w="2480" w:type="dxa"/>
            <w:vAlign w:val="bottom"/>
            <w:tcBorders>
              <w:top w:val="single" w:sz="8" w:color="auto"/>
            </w:tcBorders>
          </w:tcPr>
          <w:p>
            <w:pPr>
              <w:jc w:val="center"/>
              <w:ind w:left="286"/>
              <w:spacing w:after="0" w:line="213" w:lineRule="exact"/>
              <w:rPr>
                <w:sz w:val="20"/>
                <w:szCs w:val="20"/>
                <w:color w:val="auto"/>
              </w:rPr>
            </w:pPr>
            <w:r>
              <w:rPr>
                <w:rFonts w:ascii="Calibri" w:cs="Calibri" w:eastAsia="Calibri" w:hAnsi="Calibri"/>
                <w:sz w:val="18"/>
                <w:szCs w:val="18"/>
                <w:color w:val="auto"/>
              </w:rPr>
              <w:t>C</w:t>
            </w: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rPr>
              <w:t>M</w:t>
            </w:r>
          </w:p>
        </w:tc>
        <w:tc>
          <w:tcPr>
            <w:tcW w:w="2640" w:type="dxa"/>
            <w:vAlign w:val="bottom"/>
            <w:tcBorders>
              <w:top w:val="single" w:sz="8" w:color="auto"/>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rPr>
              <w:t>M</w:t>
            </w:r>
          </w:p>
        </w:tc>
        <w:tc>
          <w:tcPr>
            <w:tcW w:w="0" w:type="dxa"/>
            <w:vAlign w:val="bottom"/>
          </w:tcPr>
          <w:p>
            <w:pPr>
              <w:spacing w:after="0"/>
              <w:rPr>
                <w:sz w:val="1"/>
                <w:szCs w:val="1"/>
                <w:color w:val="auto"/>
              </w:rPr>
            </w:pPr>
          </w:p>
        </w:tc>
      </w:tr>
      <w:tr>
        <w:trPr>
          <w:trHeight w:val="523"/>
        </w:trPr>
        <w:tc>
          <w:tcPr>
            <w:tcW w:w="3140" w:type="dxa"/>
            <w:vAlign w:val="bottom"/>
            <w:tcBorders>
              <w:top w:val="single" w:sz="8" w:color="auto"/>
            </w:tcBorders>
          </w:tcPr>
          <w:p>
            <w:pPr>
              <w:spacing w:after="0"/>
              <w:rPr>
                <w:sz w:val="20"/>
                <w:szCs w:val="20"/>
                <w:color w:val="auto"/>
              </w:rPr>
            </w:pPr>
            <w:r>
              <w:rPr>
                <w:rFonts w:ascii="Calibri" w:cs="Calibri" w:eastAsia="Calibri" w:hAnsi="Calibri"/>
                <w:sz w:val="18"/>
                <w:szCs w:val="18"/>
                <w:color w:val="auto"/>
              </w:rPr>
              <w:t>I: Independent Director</w:t>
            </w:r>
          </w:p>
        </w:tc>
        <w:tc>
          <w:tcPr>
            <w:tcW w:w="24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line="216" w:lineRule="exact"/>
              <w:rPr>
                <w:sz w:val="20"/>
                <w:szCs w:val="20"/>
                <w:color w:val="auto"/>
              </w:rPr>
            </w:pPr>
            <w:r>
              <w:rPr>
                <w:rFonts w:ascii="Calibri" w:cs="Calibri" w:eastAsia="Calibri" w:hAnsi="Calibri"/>
                <w:sz w:val="18"/>
                <w:szCs w:val="18"/>
                <w:color w:val="auto"/>
              </w:rPr>
              <w:t>C: Chair</w:t>
            </w:r>
          </w:p>
        </w:tc>
        <w:tc>
          <w:tcPr>
            <w:tcW w:w="2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line="216" w:lineRule="exact"/>
              <w:rPr>
                <w:sz w:val="20"/>
                <w:szCs w:val="20"/>
                <w:color w:val="auto"/>
              </w:rPr>
            </w:pPr>
            <w:r>
              <w:rPr>
                <w:rFonts w:ascii="Calibri" w:cs="Calibri" w:eastAsia="Calibri" w:hAnsi="Calibri"/>
                <w:sz w:val="18"/>
                <w:szCs w:val="18"/>
                <w:color w:val="auto"/>
              </w:rPr>
              <w:t>M: Member</w:t>
            </w:r>
          </w:p>
        </w:tc>
        <w:tc>
          <w:tcPr>
            <w:tcW w:w="2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3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140" w:type="dxa"/>
            <w:vAlign w:val="bottom"/>
            <w:tcBorders>
              <w:left w:val="single" w:sz="8" w:color="auto"/>
              <w:bottom w:val="single" w:sz="8" w:color="auto"/>
              <w:right w:val="single" w:sz="8" w:color="auto"/>
            </w:tcBorders>
            <w:shd w:val="clear" w:color="auto" w:fill="000000"/>
          </w:tcPr>
          <w:p>
            <w:pPr>
              <w:ind w:left="40"/>
              <w:spacing w:after="0"/>
              <w:rPr>
                <w:sz w:val="20"/>
                <w:szCs w:val="20"/>
                <w:color w:val="auto"/>
              </w:rPr>
            </w:pPr>
            <w:r>
              <w:rPr>
                <w:rFonts w:ascii="Calibri" w:cs="Calibri" w:eastAsia="Calibri" w:hAnsi="Calibri"/>
                <w:sz w:val="22"/>
                <w:szCs w:val="22"/>
                <w:b w:val="1"/>
                <w:bCs w:val="1"/>
                <w:color w:val="FFFFFF"/>
              </w:rPr>
              <w:t>AUDIT COMMITTEE</w:t>
            </w:r>
          </w:p>
        </w:tc>
        <w:tc>
          <w:tcPr>
            <w:tcW w:w="2480" w:type="dxa"/>
            <w:vAlign w:val="bottom"/>
            <w:tcBorders>
              <w:bottom w:val="single" w:sz="8" w:color="auto"/>
              <w:right w:val="single" w:sz="8" w:color="auto"/>
            </w:tcBorders>
            <w:shd w:val="clear" w:color="auto" w:fill="000000"/>
          </w:tcPr>
          <w:p>
            <w:pPr>
              <w:spacing w:after="0"/>
              <w:rPr>
                <w:sz w:val="24"/>
                <w:szCs w:val="24"/>
                <w:color w:val="auto"/>
              </w:rPr>
            </w:pPr>
          </w:p>
        </w:tc>
        <w:tc>
          <w:tcPr>
            <w:tcW w:w="380" w:type="dxa"/>
            <w:vAlign w:val="bottom"/>
            <w:tcBorders>
              <w:bottom w:val="single" w:sz="8" w:color="auto"/>
              <w:right w:val="single" w:sz="8" w:color="auto"/>
            </w:tcBorders>
            <w:shd w:val="clear" w:color="auto" w:fill="000000"/>
          </w:tcPr>
          <w:p>
            <w:pPr>
              <w:spacing w:after="0"/>
              <w:rPr>
                <w:sz w:val="24"/>
                <w:szCs w:val="24"/>
                <w:color w:val="auto"/>
              </w:rPr>
            </w:pPr>
          </w:p>
        </w:tc>
        <w:tc>
          <w:tcPr>
            <w:tcW w:w="2580" w:type="dxa"/>
            <w:vAlign w:val="bottom"/>
            <w:tcBorders>
              <w:bottom w:val="single" w:sz="8" w:color="auto"/>
              <w:right w:val="single" w:sz="8" w:color="auto"/>
            </w:tcBorders>
            <w:shd w:val="clear" w:color="auto" w:fill="000000"/>
          </w:tcPr>
          <w:p>
            <w:pPr>
              <w:spacing w:after="0"/>
              <w:rPr>
                <w:sz w:val="24"/>
                <w:szCs w:val="24"/>
                <w:color w:val="auto"/>
              </w:rPr>
            </w:pPr>
          </w:p>
        </w:tc>
        <w:tc>
          <w:tcPr>
            <w:tcW w:w="2640" w:type="dxa"/>
            <w:vAlign w:val="bottom"/>
            <w:tcBorders>
              <w:bottom w:val="single" w:sz="8" w:color="auto"/>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140" w:type="dxa"/>
            <w:vAlign w:val="bottom"/>
            <w:tcBorders>
              <w:left w:val="single" w:sz="8" w:color="auto"/>
              <w:bottom w:val="single" w:sz="8" w:color="DBDBDB"/>
              <w:right w:val="single" w:sz="8" w:color="DBDBDB"/>
            </w:tcBorders>
            <w:shd w:val="clear" w:color="auto" w:fill="DBDBDB"/>
          </w:tcPr>
          <w:p>
            <w:pPr>
              <w:ind w:left="40"/>
              <w:spacing w:after="0" w:line="256" w:lineRule="exact"/>
              <w:rPr>
                <w:sz w:val="20"/>
                <w:szCs w:val="20"/>
                <w:color w:val="auto"/>
              </w:rPr>
            </w:pPr>
            <w:r>
              <w:rPr>
                <w:rFonts w:ascii="Calibri" w:cs="Calibri" w:eastAsia="Calibri" w:hAnsi="Calibri"/>
                <w:sz w:val="22"/>
                <w:szCs w:val="22"/>
                <w:b w:val="1"/>
                <w:bCs w:val="1"/>
                <w:color w:val="auto"/>
              </w:rPr>
              <w:t>Audit Commitee Members</w:t>
            </w:r>
          </w:p>
        </w:tc>
        <w:tc>
          <w:tcPr>
            <w:tcW w:w="2480" w:type="dxa"/>
            <w:vAlign w:val="bottom"/>
            <w:tcBorders>
              <w:bottom w:val="single" w:sz="8" w:color="DBDBDB"/>
              <w:right w:val="single" w:sz="8" w:color="auto"/>
            </w:tcBorders>
            <w:shd w:val="clear" w:color="auto" w:fill="DBDBDB"/>
          </w:tcPr>
          <w:p>
            <w:pPr>
              <w:spacing w:after="0"/>
              <w:rPr>
                <w:sz w:val="24"/>
                <w:szCs w:val="24"/>
                <w:color w:val="auto"/>
              </w:rPr>
            </w:pPr>
          </w:p>
        </w:tc>
        <w:tc>
          <w:tcPr>
            <w:tcW w:w="5600" w:type="dxa"/>
            <w:vAlign w:val="bottom"/>
            <w:tcBorders>
              <w:bottom w:val="single" w:sz="8" w:color="DBDBDB"/>
              <w:right w:val="single" w:sz="8" w:color="auto"/>
            </w:tcBorders>
            <w:gridSpan w:val="3"/>
            <w:shd w:val="clear" w:color="auto" w:fill="DBDBDB"/>
          </w:tcPr>
          <w:p>
            <w:pPr>
              <w:spacing w:after="0" w:line="256" w:lineRule="exact"/>
              <w:rPr>
                <w:sz w:val="20"/>
                <w:szCs w:val="20"/>
                <w:color w:val="auto"/>
              </w:rPr>
            </w:pPr>
            <w:r>
              <w:rPr>
                <w:rFonts w:ascii="Calibri" w:cs="Calibri" w:eastAsia="Calibri" w:hAnsi="Calibri"/>
                <w:sz w:val="22"/>
                <w:szCs w:val="22"/>
                <w:b w:val="1"/>
                <w:bCs w:val="1"/>
                <w:color w:val="auto"/>
              </w:rPr>
              <w:t>Representatve Functons of the Audit Commitee</w:t>
            </w:r>
          </w:p>
        </w:tc>
        <w:tc>
          <w:tcPr>
            <w:tcW w:w="0" w:type="dxa"/>
            <w:vAlign w:val="bottom"/>
          </w:tcPr>
          <w:p>
            <w:pPr>
              <w:spacing w:after="0"/>
              <w:rPr>
                <w:sz w:val="1"/>
                <w:szCs w:val="1"/>
                <w:color w:val="auto"/>
              </w:rPr>
            </w:pPr>
          </w:p>
        </w:tc>
      </w:tr>
      <w:tr>
        <w:trPr>
          <w:trHeight w:val="201"/>
        </w:trPr>
        <w:tc>
          <w:tcPr>
            <w:tcW w:w="3140" w:type="dxa"/>
            <w:vAlign w:val="bottom"/>
            <w:tcBorders>
              <w:top w:val="single" w:sz="8" w:color="auto"/>
              <w:left w:val="single" w:sz="8" w:color="auto"/>
            </w:tcBorders>
          </w:tcPr>
          <w:p>
            <w:pPr>
              <w:ind w:left="40"/>
              <w:spacing w:after="0" w:line="201" w:lineRule="exact"/>
              <w:rPr>
                <w:sz w:val="20"/>
                <w:szCs w:val="20"/>
                <w:color w:val="auto"/>
              </w:rPr>
            </w:pPr>
            <w:r>
              <w:rPr>
                <w:rFonts w:ascii="Calibri" w:cs="Calibri" w:eastAsia="Calibri" w:hAnsi="Calibri"/>
                <w:sz w:val="18"/>
                <w:szCs w:val="18"/>
                <w:color w:val="auto"/>
              </w:rPr>
              <w:t>James A. Faulconbridge</w:t>
            </w:r>
          </w:p>
        </w:tc>
        <w:tc>
          <w:tcPr>
            <w:tcW w:w="2480" w:type="dxa"/>
            <w:vAlign w:val="bottom"/>
            <w:tcBorders>
              <w:top w:val="single" w:sz="8" w:color="auto"/>
              <w:right w:val="single" w:sz="8" w:color="auto"/>
            </w:tcBorders>
          </w:tcPr>
          <w:p>
            <w:pPr>
              <w:spacing w:after="0"/>
              <w:rPr>
                <w:sz w:val="17"/>
                <w:szCs w:val="17"/>
                <w:color w:val="auto"/>
              </w:rPr>
            </w:pPr>
          </w:p>
        </w:tc>
        <w:tc>
          <w:tcPr>
            <w:tcW w:w="5600" w:type="dxa"/>
            <w:vAlign w:val="bottom"/>
            <w:tcBorders>
              <w:top w:val="single" w:sz="8" w:color="auto"/>
              <w:right w:val="single" w:sz="8" w:color="auto"/>
            </w:tcBorders>
            <w:gridSpan w:val="3"/>
          </w:tcPr>
          <w:p>
            <w:pPr>
              <w:ind w:left="340"/>
              <w:spacing w:after="0" w:line="201" w:lineRule="exact"/>
              <w:rPr>
                <w:sz w:val="20"/>
                <w:szCs w:val="20"/>
                <w:color w:val="auto"/>
              </w:rPr>
            </w:pPr>
            <w:r>
              <w:rPr>
                <w:rFonts w:ascii="Calibri" w:cs="Calibri" w:eastAsia="Calibri" w:hAnsi="Calibri"/>
                <w:sz w:val="18"/>
                <w:szCs w:val="18"/>
                <w:color w:val="auto"/>
              </w:rPr>
              <w:t>•   Select and appoint our independent auditors and meet with the</w:t>
            </w:r>
          </w:p>
        </w:tc>
        <w:tc>
          <w:tcPr>
            <w:tcW w:w="0" w:type="dxa"/>
            <w:vAlign w:val="bottom"/>
          </w:tcPr>
          <w:p>
            <w:pPr>
              <w:spacing w:after="0"/>
              <w:rPr>
                <w:sz w:val="1"/>
                <w:szCs w:val="1"/>
                <w:color w:val="auto"/>
              </w:rPr>
            </w:pPr>
          </w:p>
        </w:tc>
      </w:tr>
      <w:tr>
        <w:trPr>
          <w:trHeight w:val="203"/>
        </w:trPr>
        <w:tc>
          <w:tcPr>
            <w:tcW w:w="3140" w:type="dxa"/>
            <w:vAlign w:val="bottom"/>
            <w:tcBorders>
              <w:left w:val="single" w:sz="8" w:color="auto"/>
            </w:tcBorders>
          </w:tcPr>
          <w:p>
            <w:pPr>
              <w:ind w:left="40"/>
              <w:spacing w:after="0" w:line="203" w:lineRule="exact"/>
              <w:rPr>
                <w:sz w:val="20"/>
                <w:szCs w:val="20"/>
                <w:color w:val="auto"/>
              </w:rPr>
            </w:pPr>
            <w:r>
              <w:rPr>
                <w:rFonts w:ascii="Calibri" w:cs="Calibri" w:eastAsia="Calibri" w:hAnsi="Calibri"/>
                <w:sz w:val="18"/>
                <w:szCs w:val="18"/>
                <w:color w:val="auto"/>
              </w:rPr>
              <w:t>Mary J. Schumacher</w:t>
            </w:r>
          </w:p>
        </w:tc>
        <w:tc>
          <w:tcPr>
            <w:tcW w:w="248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right w:val="single" w:sz="8" w:color="auto"/>
            </w:tcBorders>
            <w:gridSpan w:val="2"/>
          </w:tcPr>
          <w:p>
            <w:pPr>
              <w:ind w:left="280"/>
              <w:spacing w:after="0" w:line="203" w:lineRule="exact"/>
              <w:rPr>
                <w:sz w:val="20"/>
                <w:szCs w:val="20"/>
                <w:color w:val="auto"/>
              </w:rPr>
            </w:pPr>
            <w:r>
              <w:rPr>
                <w:rFonts w:ascii="Calibri" w:cs="Calibri" w:eastAsia="Calibri" w:hAnsi="Calibri"/>
                <w:sz w:val="18"/>
                <w:szCs w:val="18"/>
                <w:color w:val="auto"/>
              </w:rPr>
              <w:t>independent auditors and fnancial management to review the</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Jefrey E. Spethmann</w:t>
            </w:r>
          </w:p>
        </w:tc>
        <w:tc>
          <w:tcPr>
            <w:tcW w:w="24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220" w:type="dxa"/>
            <w:vAlign w:val="bottom"/>
            <w:tcBorders>
              <w:right w:val="single" w:sz="8" w:color="auto"/>
            </w:tcBorders>
            <w:gridSpan w:val="2"/>
          </w:tcPr>
          <w:p>
            <w:pPr>
              <w:ind w:left="280"/>
              <w:spacing w:after="0" w:line="215" w:lineRule="exact"/>
              <w:rPr>
                <w:sz w:val="20"/>
                <w:szCs w:val="20"/>
                <w:color w:val="auto"/>
              </w:rPr>
            </w:pPr>
            <w:r>
              <w:rPr>
                <w:rFonts w:ascii="Calibri" w:cs="Calibri" w:eastAsia="Calibri" w:hAnsi="Calibri"/>
                <w:sz w:val="18"/>
                <w:szCs w:val="18"/>
                <w:color w:val="auto"/>
              </w:rPr>
              <w:t>scope of the audit and the audit procedures.</w:t>
            </w:r>
          </w:p>
        </w:tc>
        <w:tc>
          <w:tcPr>
            <w:tcW w:w="0" w:type="dxa"/>
            <w:vAlign w:val="bottom"/>
          </w:tcPr>
          <w:p>
            <w:pPr>
              <w:spacing w:after="0"/>
              <w:rPr>
                <w:sz w:val="1"/>
                <w:szCs w:val="1"/>
                <w:color w:val="auto"/>
              </w:rPr>
            </w:pPr>
          </w:p>
        </w:tc>
      </w:tr>
      <w:tr>
        <w:trPr>
          <w:trHeight w:val="204"/>
        </w:trPr>
        <w:tc>
          <w:tcPr>
            <w:tcW w:w="3140" w:type="dxa"/>
            <w:vAlign w:val="bottom"/>
            <w:tcBorders>
              <w:left w:val="single" w:sz="8" w:color="auto"/>
            </w:tcBorders>
          </w:tcPr>
          <w:p>
            <w:pPr>
              <w:ind w:left="40"/>
              <w:spacing w:after="0" w:line="204" w:lineRule="exact"/>
              <w:rPr>
                <w:sz w:val="20"/>
                <w:szCs w:val="20"/>
                <w:color w:val="auto"/>
              </w:rPr>
            </w:pPr>
            <w:r>
              <w:rPr>
                <w:rFonts w:ascii="Calibri" w:cs="Calibri" w:eastAsia="Calibri" w:hAnsi="Calibri"/>
                <w:sz w:val="18"/>
                <w:szCs w:val="18"/>
                <w:color w:val="auto"/>
              </w:rPr>
              <w:t>Jefrey L. Wright, Chair</w:t>
            </w:r>
          </w:p>
        </w:tc>
        <w:tc>
          <w:tcPr>
            <w:tcW w:w="248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3"/>
          </w:tcPr>
          <w:p>
            <w:pPr>
              <w:ind w:left="340"/>
              <w:spacing w:after="0" w:line="204" w:lineRule="exact"/>
              <w:rPr>
                <w:sz w:val="20"/>
                <w:szCs w:val="20"/>
                <w:color w:val="auto"/>
              </w:rPr>
            </w:pPr>
            <w:r>
              <w:rPr>
                <w:rFonts w:ascii="Calibri" w:cs="Calibri" w:eastAsia="Calibri" w:hAnsi="Calibri"/>
                <w:sz w:val="18"/>
                <w:szCs w:val="18"/>
                <w:color w:val="auto"/>
              </w:rPr>
              <w:t>•   Provide independent, objectve oversight with respect to our</w:t>
            </w:r>
          </w:p>
        </w:tc>
        <w:tc>
          <w:tcPr>
            <w:tcW w:w="0" w:type="dxa"/>
            <w:vAlign w:val="bottom"/>
          </w:tcPr>
          <w:p>
            <w:pPr>
              <w:spacing w:after="0"/>
              <w:rPr>
                <w:sz w:val="1"/>
                <w:szCs w:val="1"/>
                <w:color w:val="auto"/>
              </w:rPr>
            </w:pPr>
          </w:p>
        </w:tc>
      </w:tr>
      <w:tr>
        <w:trPr>
          <w:trHeight w:val="203"/>
        </w:trPr>
        <w:tc>
          <w:tcPr>
            <w:tcW w:w="3140" w:type="dxa"/>
            <w:vAlign w:val="bottom"/>
            <w:tcBorders>
              <w:lef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right w:val="single" w:sz="8" w:color="auto"/>
            </w:tcBorders>
            <w:gridSpan w:val="2"/>
          </w:tcPr>
          <w:p>
            <w:pPr>
              <w:ind w:left="280"/>
              <w:spacing w:after="0" w:line="203" w:lineRule="exact"/>
              <w:rPr>
                <w:sz w:val="20"/>
                <w:szCs w:val="20"/>
                <w:color w:val="auto"/>
              </w:rPr>
            </w:pPr>
            <w:r>
              <w:rPr>
                <w:rFonts w:ascii="Calibri" w:cs="Calibri" w:eastAsia="Calibri" w:hAnsi="Calibri"/>
                <w:sz w:val="18"/>
                <w:szCs w:val="18"/>
                <w:color w:val="auto"/>
              </w:rPr>
              <w:t>company’s accountng and fnancial reportng functons, internal and</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220" w:type="dxa"/>
            <w:vAlign w:val="bottom"/>
            <w:tcBorders>
              <w:right w:val="single" w:sz="8" w:color="auto"/>
            </w:tcBorders>
            <w:gridSpan w:val="2"/>
          </w:tcPr>
          <w:p>
            <w:pPr>
              <w:ind w:left="280"/>
              <w:spacing w:after="0" w:line="215" w:lineRule="exact"/>
              <w:rPr>
                <w:sz w:val="20"/>
                <w:szCs w:val="20"/>
                <w:color w:val="auto"/>
              </w:rPr>
            </w:pPr>
            <w:r>
              <w:rPr>
                <w:rFonts w:ascii="Calibri" w:cs="Calibri" w:eastAsia="Calibri" w:hAnsi="Calibri"/>
                <w:sz w:val="18"/>
                <w:szCs w:val="18"/>
                <w:color w:val="auto"/>
              </w:rPr>
              <w:t>external audit functons, systems of internal controls regarding</w:t>
            </w: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vMerge w:val="restart"/>
          </w:tcPr>
          <w:p>
            <w:pPr>
              <w:ind w:left="40"/>
              <w:spacing w:after="0"/>
              <w:rPr>
                <w:sz w:val="20"/>
                <w:szCs w:val="20"/>
                <w:color w:val="auto"/>
              </w:rPr>
            </w:pPr>
            <w:r>
              <w:rPr>
                <w:rFonts w:ascii="Calibri" w:cs="Calibri" w:eastAsia="Calibri" w:hAnsi="Calibri"/>
                <w:sz w:val="18"/>
                <w:szCs w:val="18"/>
                <w:color w:val="auto"/>
              </w:rPr>
              <w:t>Number of meetngs during fscal 2024: 4</w:t>
            </w:r>
          </w:p>
        </w:tc>
        <w:tc>
          <w:tcPr>
            <w:tcW w:w="24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220" w:type="dxa"/>
            <w:vAlign w:val="bottom"/>
            <w:tcBorders>
              <w:right w:val="single" w:sz="8" w:color="auto"/>
            </w:tcBorders>
            <w:gridSpan w:val="2"/>
          </w:tcPr>
          <w:p>
            <w:pPr>
              <w:ind w:left="280"/>
              <w:spacing w:after="0" w:line="216" w:lineRule="exact"/>
              <w:rPr>
                <w:sz w:val="20"/>
                <w:szCs w:val="20"/>
                <w:color w:val="auto"/>
              </w:rPr>
            </w:pPr>
            <w:r>
              <w:rPr>
                <w:rFonts w:ascii="Calibri" w:cs="Calibri" w:eastAsia="Calibri" w:hAnsi="Calibri"/>
                <w:sz w:val="18"/>
                <w:szCs w:val="18"/>
                <w:color w:val="auto"/>
              </w:rPr>
              <w:t>fnancial maters, and compliance.</w:t>
            </w:r>
          </w:p>
        </w:tc>
        <w:tc>
          <w:tcPr>
            <w:tcW w:w="0" w:type="dxa"/>
            <w:vAlign w:val="bottom"/>
          </w:tcPr>
          <w:p>
            <w:pPr>
              <w:spacing w:after="0"/>
              <w:rPr>
                <w:sz w:val="1"/>
                <w:szCs w:val="1"/>
                <w:color w:val="auto"/>
              </w:rPr>
            </w:pPr>
          </w:p>
        </w:tc>
      </w:tr>
      <w:tr>
        <w:trPr>
          <w:trHeight w:val="68"/>
        </w:trPr>
        <w:tc>
          <w:tcPr>
            <w:tcW w:w="3140" w:type="dxa"/>
            <w:vAlign w:val="bottom"/>
            <w:tcBorders>
              <w:left w:val="single" w:sz="8" w:color="auto"/>
            </w:tcBorders>
            <w:vMerge w:val="continue"/>
          </w:tcPr>
          <w:p>
            <w:pPr>
              <w:spacing w:after="0"/>
              <w:rPr>
                <w:sz w:val="5"/>
                <w:szCs w:val="5"/>
                <w:color w:val="auto"/>
              </w:rPr>
            </w:pPr>
          </w:p>
        </w:tc>
        <w:tc>
          <w:tcPr>
            <w:tcW w:w="2480" w:type="dxa"/>
            <w:vAlign w:val="bottom"/>
            <w:tcBorders>
              <w:right w:val="single" w:sz="8" w:color="auto"/>
            </w:tcBorders>
          </w:tcPr>
          <w:p>
            <w:pPr>
              <w:spacing w:after="0"/>
              <w:rPr>
                <w:sz w:val="5"/>
                <w:szCs w:val="5"/>
                <w:color w:val="auto"/>
              </w:rPr>
            </w:pPr>
          </w:p>
        </w:tc>
        <w:tc>
          <w:tcPr>
            <w:tcW w:w="5600" w:type="dxa"/>
            <w:vAlign w:val="bottom"/>
            <w:tcBorders>
              <w:right w:val="single" w:sz="8" w:color="auto"/>
            </w:tcBorders>
            <w:gridSpan w:val="3"/>
            <w:vMerge w:val="restart"/>
          </w:tcPr>
          <w:p>
            <w:pPr>
              <w:ind w:left="340"/>
              <w:spacing w:after="0" w:line="190" w:lineRule="exact"/>
              <w:rPr>
                <w:sz w:val="20"/>
                <w:szCs w:val="20"/>
                <w:color w:val="auto"/>
              </w:rPr>
            </w:pPr>
            <w:r>
              <w:rPr>
                <w:rFonts w:ascii="Calibri" w:cs="Calibri" w:eastAsia="Calibri" w:hAnsi="Calibri"/>
                <w:sz w:val="18"/>
                <w:szCs w:val="18"/>
                <w:color w:val="auto"/>
              </w:rPr>
              <w:t>•   Provide oversight with respect to maters of cybersecurity impactng</w:t>
            </w:r>
          </w:p>
        </w:tc>
        <w:tc>
          <w:tcPr>
            <w:tcW w:w="0" w:type="dxa"/>
            <w:vAlign w:val="bottom"/>
          </w:tcPr>
          <w:p>
            <w:pPr>
              <w:spacing w:after="0"/>
              <w:rPr>
                <w:sz w:val="1"/>
                <w:szCs w:val="1"/>
                <w:color w:val="auto"/>
              </w:rPr>
            </w:pPr>
          </w:p>
        </w:tc>
      </w:tr>
      <w:tr>
        <w:trPr>
          <w:trHeight w:val="123"/>
        </w:trPr>
        <w:tc>
          <w:tcPr>
            <w:tcW w:w="3140" w:type="dxa"/>
            <w:vAlign w:val="bottom"/>
            <w:tcBorders>
              <w:left w:val="single" w:sz="8" w:color="auto"/>
            </w:tcBorders>
          </w:tcPr>
          <w:p>
            <w:pPr>
              <w:spacing w:after="0"/>
              <w:rPr>
                <w:sz w:val="10"/>
                <w:szCs w:val="10"/>
                <w:color w:val="auto"/>
              </w:rPr>
            </w:pPr>
          </w:p>
        </w:tc>
        <w:tc>
          <w:tcPr>
            <w:tcW w:w="2480" w:type="dxa"/>
            <w:vAlign w:val="bottom"/>
            <w:tcBorders>
              <w:right w:val="single" w:sz="8" w:color="auto"/>
            </w:tcBorders>
          </w:tcPr>
          <w:p>
            <w:pPr>
              <w:spacing w:after="0"/>
              <w:rPr>
                <w:sz w:val="10"/>
                <w:szCs w:val="10"/>
                <w:color w:val="auto"/>
              </w:rPr>
            </w:pPr>
          </w:p>
        </w:tc>
        <w:tc>
          <w:tcPr>
            <w:tcW w:w="56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580" w:type="dxa"/>
            <w:vAlign w:val="bottom"/>
          </w:tcPr>
          <w:p>
            <w:pPr>
              <w:ind w:left="280"/>
              <w:spacing w:after="0" w:line="215" w:lineRule="exact"/>
              <w:rPr>
                <w:sz w:val="20"/>
                <w:szCs w:val="20"/>
                <w:color w:val="auto"/>
              </w:rPr>
            </w:pPr>
            <w:r>
              <w:rPr>
                <w:rFonts w:ascii="Calibri" w:cs="Calibri" w:eastAsia="Calibri" w:hAnsi="Calibri"/>
                <w:sz w:val="18"/>
                <w:szCs w:val="18"/>
                <w:color w:val="auto"/>
              </w:rPr>
              <w:t>the company.</w:t>
            </w:r>
          </w:p>
        </w:tc>
        <w:tc>
          <w:tcPr>
            <w:tcW w:w="2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3140" w:type="dxa"/>
            <w:vAlign w:val="bottom"/>
            <w:tcBorders>
              <w:left w:val="single" w:sz="8" w:color="auto"/>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10" w:name="page11"/>
    <w:bookmarkEnd w:id="10"/>
    <w:p>
      <w:pPr>
        <w:ind w:left="660" w:right="100" w:hanging="328"/>
        <w:spacing w:after="0" w:line="235" w:lineRule="auto"/>
        <w:tabs>
          <w:tab w:leader="none" w:pos="653"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Our Board has determined that all members of the Audit Commitee are “independent” as that term is used in Secton 10A(m) of the Securites Exchange Act of 1934, as amended (the "Exchange Act"), and “Independent Directors” as that term is defned under the applicable listng standards of Nasdaq. Our Board has determined that Messrs. Faulconbridge, Spethmann and Wright, and Ms. Schumacher, are “audit commitee fnancial experts,” as the term is defned by regulatons promulgated by the Securites and Exchange Commission ("SEC").</w:t>
      </w:r>
    </w:p>
    <w:p>
      <w:pPr>
        <w:spacing w:after="0" w:line="246" w:lineRule="exact"/>
        <w:rPr>
          <w:rFonts w:ascii="Calibri" w:cs="Calibri" w:eastAsia="Calibri" w:hAnsi="Calibri"/>
          <w:sz w:val="18"/>
          <w:szCs w:val="18"/>
          <w:color w:val="auto"/>
        </w:rPr>
      </w:pPr>
    </w:p>
    <w:p>
      <w:pPr>
        <w:ind w:left="660" w:right="240" w:hanging="328"/>
        <w:spacing w:after="0" w:line="235" w:lineRule="auto"/>
        <w:tabs>
          <w:tab w:leader="none" w:pos="653"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The responsibilites of the Audit Commitee are set forth in the Audit Commitee Charter. A current copy of the charter is available on our website (www.hawkinsinc.com).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15175" cy="1414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1478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Calibri" w:cs="Calibri" w:eastAsia="Calibri" w:hAnsi="Calibri"/>
          <w:sz w:val="22"/>
          <w:szCs w:val="22"/>
          <w:b w:val="1"/>
          <w:bCs w:val="1"/>
          <w:color w:val="FFFFFF"/>
        </w:rPr>
        <w:t>COMPENSATION COMMITTEE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5620" w:type="dxa"/>
            <w:vAlign w:val="bottom"/>
            <w:tcBorders>
              <w:top w:val="single" w:sz="8" w:color="auto"/>
              <w:bottom w:val="single" w:sz="8" w:color="DBDBDB"/>
              <w:right w:val="single" w:sz="8" w:color="auto"/>
            </w:tcBorders>
            <w:shd w:val="clear" w:color="auto" w:fill="DBDBDB"/>
          </w:tcPr>
          <w:p>
            <w:pPr>
              <w:ind w:left="40"/>
              <w:spacing w:after="0"/>
              <w:rPr>
                <w:sz w:val="20"/>
                <w:szCs w:val="20"/>
                <w:color w:val="auto"/>
              </w:rPr>
            </w:pPr>
            <w:r>
              <w:rPr>
                <w:rFonts w:ascii="Calibri" w:cs="Calibri" w:eastAsia="Calibri" w:hAnsi="Calibri"/>
                <w:sz w:val="22"/>
                <w:szCs w:val="22"/>
                <w:b w:val="1"/>
                <w:bCs w:val="1"/>
                <w:color w:val="auto"/>
              </w:rPr>
              <w:t>Compensaton Commitee Members</w:t>
            </w:r>
          </w:p>
        </w:tc>
        <w:tc>
          <w:tcPr>
            <w:tcW w:w="5580" w:type="dxa"/>
            <w:vAlign w:val="bottom"/>
            <w:tcBorders>
              <w:top w:val="single" w:sz="8" w:color="auto"/>
              <w:bottom w:val="single" w:sz="8" w:color="DBDBDB"/>
            </w:tcBorders>
            <w:shd w:val="clear" w:color="auto" w:fill="DBDBDB"/>
          </w:tcPr>
          <w:p>
            <w:pPr>
              <w:spacing w:after="0"/>
              <w:rPr>
                <w:sz w:val="20"/>
                <w:szCs w:val="20"/>
                <w:color w:val="auto"/>
              </w:rPr>
            </w:pPr>
            <w:r>
              <w:rPr>
                <w:rFonts w:ascii="Calibri" w:cs="Calibri" w:eastAsia="Calibri" w:hAnsi="Calibri"/>
                <w:sz w:val="22"/>
                <w:szCs w:val="22"/>
                <w:b w:val="1"/>
                <w:bCs w:val="1"/>
                <w:color w:val="auto"/>
              </w:rPr>
              <w:t>Representatve Functons of the Compensaton Commitee</w:t>
            </w:r>
          </w:p>
        </w:tc>
        <w:tc>
          <w:tcPr>
            <w:tcW w:w="20" w:type="dxa"/>
            <w:vAlign w:val="bottom"/>
            <w:tcBorders>
              <w:top w:val="single" w:sz="8" w:color="auto"/>
            </w:tcBorders>
          </w:tcPr>
          <w:p>
            <w:pPr>
              <w:spacing w:after="0"/>
              <w:rPr>
                <w:sz w:val="24"/>
                <w:szCs w:val="24"/>
                <w:color w:val="auto"/>
              </w:rPr>
            </w:pPr>
          </w:p>
        </w:tc>
      </w:tr>
      <w:tr>
        <w:trPr>
          <w:trHeight w:val="201"/>
        </w:trPr>
        <w:tc>
          <w:tcPr>
            <w:tcW w:w="5620" w:type="dxa"/>
            <w:vAlign w:val="bottom"/>
            <w:tcBorders>
              <w:top w:val="single" w:sz="8" w:color="auto"/>
              <w:right w:val="single" w:sz="8" w:color="auto"/>
            </w:tcBorders>
          </w:tcPr>
          <w:p>
            <w:pPr>
              <w:ind w:left="40"/>
              <w:spacing w:after="0" w:line="201" w:lineRule="exact"/>
              <w:rPr>
                <w:sz w:val="20"/>
                <w:szCs w:val="20"/>
                <w:color w:val="auto"/>
              </w:rPr>
            </w:pPr>
            <w:r>
              <w:rPr>
                <w:rFonts w:ascii="Calibri" w:cs="Calibri" w:eastAsia="Calibri" w:hAnsi="Calibri"/>
                <w:sz w:val="18"/>
                <w:szCs w:val="18"/>
                <w:color w:val="auto"/>
              </w:rPr>
              <w:t>Mary J. Schumacher, Chair</w:t>
            </w:r>
          </w:p>
        </w:tc>
        <w:tc>
          <w:tcPr>
            <w:tcW w:w="5580" w:type="dxa"/>
            <w:vAlign w:val="bottom"/>
            <w:tcBorders>
              <w:top w:val="single" w:sz="8" w:color="auto"/>
            </w:tcBorders>
          </w:tcPr>
          <w:p>
            <w:pPr>
              <w:ind w:left="340"/>
              <w:spacing w:after="0" w:line="201" w:lineRule="exact"/>
              <w:rPr>
                <w:sz w:val="20"/>
                <w:szCs w:val="20"/>
                <w:color w:val="auto"/>
              </w:rPr>
            </w:pPr>
            <w:r>
              <w:rPr>
                <w:rFonts w:ascii="Calibri" w:cs="Calibri" w:eastAsia="Calibri" w:hAnsi="Calibri"/>
                <w:sz w:val="18"/>
                <w:szCs w:val="18"/>
                <w:color w:val="auto"/>
              </w:rPr>
              <w:t>•   Review compensaton policies and beneft plans for our company.</w:t>
            </w:r>
          </w:p>
        </w:tc>
        <w:tc>
          <w:tcPr>
            <w:tcW w:w="20" w:type="dxa"/>
            <w:vAlign w:val="bottom"/>
            <w:tcBorders>
              <w:top w:val="single" w:sz="8" w:color="auto"/>
            </w:tcBorders>
          </w:tcPr>
          <w:p>
            <w:pPr>
              <w:spacing w:after="0"/>
              <w:rPr>
                <w:sz w:val="17"/>
                <w:szCs w:val="17"/>
                <w:color w:val="auto"/>
              </w:rPr>
            </w:pPr>
          </w:p>
        </w:tc>
      </w:tr>
      <w:tr>
        <w:trPr>
          <w:trHeight w:val="215"/>
        </w:trPr>
        <w:tc>
          <w:tcPr>
            <w:tcW w:w="5620" w:type="dxa"/>
            <w:vAlign w:val="bottom"/>
            <w:tcBorders>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Yi "Faith" Tang</w:t>
            </w:r>
          </w:p>
        </w:tc>
        <w:tc>
          <w:tcPr>
            <w:tcW w:w="5580" w:type="dxa"/>
            <w:vAlign w:val="bottom"/>
          </w:tcPr>
          <w:p>
            <w:pPr>
              <w:ind w:left="340"/>
              <w:spacing w:after="0" w:line="215" w:lineRule="exact"/>
              <w:rPr>
                <w:sz w:val="20"/>
                <w:szCs w:val="20"/>
                <w:color w:val="auto"/>
              </w:rPr>
            </w:pPr>
            <w:r>
              <w:rPr>
                <w:rFonts w:ascii="Calibri" w:cs="Calibri" w:eastAsia="Calibri" w:hAnsi="Calibri"/>
                <w:sz w:val="18"/>
                <w:szCs w:val="18"/>
                <w:color w:val="auto"/>
              </w:rPr>
              <w:t>•   Review and set compensaton for our executve ofcers.</w:t>
            </w:r>
          </w:p>
        </w:tc>
        <w:tc>
          <w:tcPr>
            <w:tcW w:w="20" w:type="dxa"/>
            <w:vAlign w:val="bottom"/>
          </w:tcPr>
          <w:p>
            <w:pPr>
              <w:spacing w:after="0"/>
              <w:rPr>
                <w:sz w:val="18"/>
                <w:szCs w:val="18"/>
                <w:color w:val="auto"/>
              </w:rPr>
            </w:pPr>
          </w:p>
        </w:tc>
      </w:tr>
      <w:tr>
        <w:trPr>
          <w:trHeight w:val="204"/>
        </w:trPr>
        <w:tc>
          <w:tcPr>
            <w:tcW w:w="5620" w:type="dxa"/>
            <w:vAlign w:val="bottom"/>
            <w:tcBorders>
              <w:right w:val="single" w:sz="8" w:color="auto"/>
            </w:tcBorders>
          </w:tcPr>
          <w:p>
            <w:pPr>
              <w:ind w:left="40"/>
              <w:spacing w:after="0" w:line="204" w:lineRule="exact"/>
              <w:rPr>
                <w:sz w:val="20"/>
                <w:szCs w:val="20"/>
                <w:color w:val="auto"/>
              </w:rPr>
            </w:pPr>
            <w:r>
              <w:rPr>
                <w:rFonts w:ascii="Calibri" w:cs="Calibri" w:eastAsia="Calibri" w:hAnsi="Calibri"/>
                <w:sz w:val="18"/>
                <w:szCs w:val="18"/>
                <w:color w:val="auto"/>
              </w:rPr>
              <w:t>James T. Thompson</w:t>
            </w:r>
          </w:p>
        </w:tc>
        <w:tc>
          <w:tcPr>
            <w:tcW w:w="5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5620" w:type="dxa"/>
            <w:vAlign w:val="bottom"/>
            <w:tcBorders>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Jefrey L. Wright</w:t>
            </w: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6"/>
        </w:trPr>
        <w:tc>
          <w:tcPr>
            <w:tcW w:w="5620" w:type="dxa"/>
            <w:vAlign w:val="bottom"/>
            <w:tcBorders>
              <w:right w:val="single" w:sz="8" w:color="auto"/>
            </w:tcBorders>
          </w:tcPr>
          <w:p>
            <w:pPr>
              <w:ind w:left="40"/>
              <w:spacing w:after="0"/>
              <w:rPr>
                <w:sz w:val="20"/>
                <w:szCs w:val="20"/>
                <w:color w:val="auto"/>
              </w:rPr>
            </w:pPr>
            <w:r>
              <w:rPr>
                <w:rFonts w:ascii="Calibri" w:cs="Calibri" w:eastAsia="Calibri" w:hAnsi="Calibri"/>
                <w:sz w:val="18"/>
                <w:szCs w:val="18"/>
                <w:color w:val="auto"/>
              </w:rPr>
              <w:t>Number of meetngs during fscal 2024: 4</w:t>
            </w: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3"/>
        </w:trPr>
        <w:tc>
          <w:tcPr>
            <w:tcW w:w="5620" w:type="dxa"/>
            <w:vAlign w:val="bottom"/>
            <w:tcBorders>
              <w:bottom w:val="single" w:sz="8" w:color="auto"/>
              <w:right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315" w:lineRule="exact"/>
        <w:rPr>
          <w:sz w:val="20"/>
          <w:szCs w:val="20"/>
          <w:color w:val="auto"/>
        </w:rPr>
      </w:pPr>
    </w:p>
    <w:p>
      <w:pPr>
        <w:ind w:left="660" w:right="340" w:hanging="328"/>
        <w:spacing w:after="0" w:line="258" w:lineRule="auto"/>
        <w:tabs>
          <w:tab w:leader="none" w:pos="653" w:val="left"/>
        </w:tabs>
        <w:numPr>
          <w:ilvl w:val="0"/>
          <w:numId w:val="10"/>
        </w:numPr>
        <w:rPr>
          <w:rFonts w:ascii="Calibri" w:cs="Calibri" w:eastAsia="Calibri" w:hAnsi="Calibri"/>
          <w:sz w:val="17"/>
          <w:szCs w:val="17"/>
          <w:color w:val="auto"/>
        </w:rPr>
      </w:pPr>
      <w:r>
        <w:rPr>
          <w:rFonts w:ascii="Calibri" w:cs="Calibri" w:eastAsia="Calibri" w:hAnsi="Calibri"/>
          <w:sz w:val="17"/>
          <w:szCs w:val="17"/>
          <w:color w:val="auto"/>
        </w:rPr>
        <w:t>Our Board has determined that all members of the Compensaton Commitee are “Independent Directors” as that term is defned under the applicable listng standards of Nasdaq and “non-employee directors” as that term is defned in Rule 16b-3 promulgated under the Exchange Act.</w:t>
      </w:r>
    </w:p>
    <w:p>
      <w:pPr>
        <w:spacing w:after="0" w:line="228" w:lineRule="exact"/>
        <w:rPr>
          <w:rFonts w:ascii="Calibri" w:cs="Calibri" w:eastAsia="Calibri" w:hAnsi="Calibri"/>
          <w:sz w:val="17"/>
          <w:szCs w:val="17"/>
          <w:color w:val="auto"/>
        </w:rPr>
      </w:pPr>
    </w:p>
    <w:p>
      <w:pPr>
        <w:ind w:left="660" w:right="20" w:hanging="328"/>
        <w:spacing w:after="0" w:line="235" w:lineRule="auto"/>
        <w:tabs>
          <w:tab w:leader="none" w:pos="653"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The Compensaton Commitee retained independent compensaton consultant McLagan Data &amp; Analytcs ("McLagan"), which is part of Aon plc ("AON"), to provide the Compensaton Commitee with independent advice regarding industry practces for fscal 2024. No member of the Board or any executve ofcer has any afliaton with McLagan. McLagan provides no other services to the company, and reports to the chair of the Compensaton Commitee. The Compensaton Commitee has assessed the independence of McLagan in accordance with SEC and Nasdaq rules and regulatons and has concluded that no confict of interest exists that will prevent them from being independent consultants to the Compensaton Commitee. McLagan advised the Compensaton Commitee on the principal aspects of our executve compensaton components and best practces in executve compensaton and provided market informaton and analysis regarding the compettveness of levels and components of total compensaton for the company’s named executve ofcers for fscal 2024. In determining the compettveness of such compensaton, the Compensaton Commitee reviewed survey data. The company does not benchmark its compensaton. The Compensaton Commitee reviews and considers the informaton provided by McLagan to understand current compensaton practces, levels and structures and to inform its compensaton decisions, but not to establish specifc compensaton parameters based on such data.</w:t>
      </w:r>
    </w:p>
    <w:p>
      <w:pPr>
        <w:spacing w:after="0" w:line="252" w:lineRule="exact"/>
        <w:rPr>
          <w:rFonts w:ascii="Calibri" w:cs="Calibri" w:eastAsia="Calibri" w:hAnsi="Calibri"/>
          <w:sz w:val="18"/>
          <w:szCs w:val="18"/>
          <w:color w:val="auto"/>
        </w:rPr>
      </w:pPr>
    </w:p>
    <w:p>
      <w:pPr>
        <w:ind w:left="660" w:right="100" w:hanging="328"/>
        <w:spacing w:after="0" w:line="235" w:lineRule="auto"/>
        <w:tabs>
          <w:tab w:leader="none" w:pos="693"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The Compensaton Commitee also regularly consults with our Chief Executve Ofcer, who makes recommendatons to the Compensaton Commitee regarding compensaton of our executve ofcers other than the Chief Executve Ofcer. Our Chief Executve Ofcer partcipates in some of the Compensaton Commitee’s deliberatons regarding compensaton for our other executve ofcers, although all determinatons are made by the Compensaton Commitee. Our Chief Executve Ofcer is not present during votng or deliberatons relatng to his own compensaton.</w:t>
      </w:r>
    </w:p>
    <w:p>
      <w:pPr>
        <w:spacing w:after="0" w:line="246" w:lineRule="exact"/>
        <w:rPr>
          <w:rFonts w:ascii="Calibri" w:cs="Calibri" w:eastAsia="Calibri" w:hAnsi="Calibri"/>
          <w:sz w:val="18"/>
          <w:szCs w:val="18"/>
          <w:color w:val="auto"/>
        </w:rPr>
      </w:pPr>
    </w:p>
    <w:p>
      <w:pPr>
        <w:ind w:left="660" w:right="40" w:hanging="328"/>
        <w:spacing w:after="0" w:line="235" w:lineRule="auto"/>
        <w:tabs>
          <w:tab w:leader="none" w:pos="653"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The responsibilites of the Compensaton Commitee are set forth in the Compensaton Commitee Charter. A current copy of the charter is available on our website (www.hawkinsinc.com).</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1" w:name="page12"/>
    <w:bookmarkEnd w:id="11"/>
    <w:p>
      <w:pPr>
        <w:ind w:left="40"/>
        <w:spacing w:after="0"/>
        <w:rPr>
          <w:sz w:val="20"/>
          <w:szCs w:val="20"/>
          <w:color w:val="auto"/>
        </w:rPr>
      </w:pPr>
      <w:r>
        <w:rPr>
          <w:rFonts w:ascii="Calibri" w:cs="Calibri" w:eastAsia="Calibri" w:hAnsi="Calibri"/>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594995</wp:posOffset>
            </wp:positionV>
            <wp:extent cx="7115175" cy="1920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920240"/>
                    </a:xfrm>
                    <a:prstGeom prst="rect">
                      <a:avLst/>
                    </a:prstGeom>
                    <a:noFill/>
                  </pic:spPr>
                </pic:pic>
              </a:graphicData>
            </a:graphic>
          </wp:anchor>
        </w:drawing>
        <w:t>GOVERNANCE AND NOMINATING COMMITTEE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20" w:type="dxa"/>
            <w:vAlign w:val="bottom"/>
            <w:tcBorders>
              <w:top w:val="single" w:sz="8" w:color="auto"/>
              <w:right w:val="single" w:sz="8" w:color="auto"/>
            </w:tcBorders>
            <w:shd w:val="clear" w:color="auto" w:fill="DBDBDB"/>
          </w:tcPr>
          <w:p>
            <w:pPr>
              <w:ind w:left="40"/>
              <w:spacing w:after="0" w:line="255" w:lineRule="exact"/>
              <w:rPr>
                <w:sz w:val="20"/>
                <w:szCs w:val="20"/>
                <w:color w:val="auto"/>
              </w:rPr>
            </w:pPr>
            <w:r>
              <w:rPr>
                <w:rFonts w:ascii="Calibri" w:cs="Calibri" w:eastAsia="Calibri" w:hAnsi="Calibri"/>
                <w:sz w:val="22"/>
                <w:szCs w:val="22"/>
                <w:b w:val="1"/>
                <w:bCs w:val="1"/>
                <w:color w:val="auto"/>
              </w:rPr>
              <w:t>Governance and Nominatng Commitee Members</w:t>
            </w:r>
          </w:p>
        </w:tc>
        <w:tc>
          <w:tcPr>
            <w:tcW w:w="5580" w:type="dxa"/>
            <w:vAlign w:val="bottom"/>
            <w:tcBorders>
              <w:top w:val="single" w:sz="8" w:color="auto"/>
            </w:tcBorders>
            <w:shd w:val="clear" w:color="auto" w:fill="DBDBDB"/>
          </w:tcPr>
          <w:p>
            <w:pPr>
              <w:spacing w:after="0" w:line="255" w:lineRule="exact"/>
              <w:rPr>
                <w:sz w:val="20"/>
                <w:szCs w:val="20"/>
                <w:color w:val="auto"/>
              </w:rPr>
            </w:pPr>
            <w:r>
              <w:rPr>
                <w:rFonts w:ascii="Calibri" w:cs="Calibri" w:eastAsia="Calibri" w:hAnsi="Calibri"/>
                <w:sz w:val="22"/>
                <w:szCs w:val="22"/>
                <w:b w:val="1"/>
                <w:bCs w:val="1"/>
                <w:color w:val="auto"/>
              </w:rPr>
              <w:t>Representatve Functons of the Governance and Nominatng</w:t>
            </w: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12"/>
        </w:trPr>
        <w:tc>
          <w:tcPr>
            <w:tcW w:w="5620" w:type="dxa"/>
            <w:vAlign w:val="bottom"/>
            <w:tcBorders>
              <w:bottom w:val="single" w:sz="8" w:color="DBDBDB"/>
              <w:right w:val="single" w:sz="8" w:color="auto"/>
            </w:tcBorders>
            <w:shd w:val="clear" w:color="auto" w:fill="DBDBDB"/>
          </w:tcPr>
          <w:p>
            <w:pPr>
              <w:spacing w:after="0"/>
              <w:rPr>
                <w:sz w:val="24"/>
                <w:szCs w:val="24"/>
                <w:color w:val="auto"/>
              </w:rPr>
            </w:pPr>
          </w:p>
        </w:tc>
        <w:tc>
          <w:tcPr>
            <w:tcW w:w="5580" w:type="dxa"/>
            <w:vAlign w:val="bottom"/>
            <w:tcBorders>
              <w:bottom w:val="single" w:sz="8" w:color="DBDBDB"/>
            </w:tcBorders>
            <w:shd w:val="clear" w:color="auto" w:fill="DBDBDB"/>
          </w:tcPr>
          <w:p>
            <w:pPr>
              <w:spacing w:after="0" w:line="258" w:lineRule="exact"/>
              <w:rPr>
                <w:sz w:val="20"/>
                <w:szCs w:val="20"/>
                <w:color w:val="auto"/>
              </w:rPr>
            </w:pPr>
            <w:r>
              <w:rPr>
                <w:rFonts w:ascii="Calibri" w:cs="Calibri" w:eastAsia="Calibri" w:hAnsi="Calibri"/>
                <w:sz w:val="22"/>
                <w:szCs w:val="22"/>
                <w:b w:val="1"/>
                <w:bCs w:val="1"/>
                <w:color w:val="auto"/>
              </w:rPr>
              <w:t>Commitee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620" w:type="dxa"/>
            <w:vAlign w:val="bottom"/>
            <w:tcBorders>
              <w:top w:val="single" w:sz="8" w:color="auto"/>
              <w:right w:val="single" w:sz="8" w:color="auto"/>
            </w:tcBorders>
          </w:tcPr>
          <w:p>
            <w:pPr>
              <w:ind w:left="40"/>
              <w:spacing w:after="0" w:line="201" w:lineRule="exact"/>
              <w:rPr>
                <w:sz w:val="20"/>
                <w:szCs w:val="20"/>
                <w:color w:val="auto"/>
              </w:rPr>
            </w:pPr>
            <w:r>
              <w:rPr>
                <w:rFonts w:ascii="Calibri" w:cs="Calibri" w:eastAsia="Calibri" w:hAnsi="Calibri"/>
                <w:sz w:val="18"/>
                <w:szCs w:val="18"/>
                <w:color w:val="auto"/>
              </w:rPr>
              <w:t>James A. Faulconbridge, Chair</w:t>
            </w:r>
          </w:p>
        </w:tc>
        <w:tc>
          <w:tcPr>
            <w:tcW w:w="5580" w:type="dxa"/>
            <w:vAlign w:val="bottom"/>
            <w:tcBorders>
              <w:top w:val="single" w:sz="8" w:color="auto"/>
            </w:tcBorders>
          </w:tcPr>
          <w:p>
            <w:pPr>
              <w:ind w:left="340"/>
              <w:spacing w:after="0" w:line="201" w:lineRule="exact"/>
              <w:rPr>
                <w:sz w:val="20"/>
                <w:szCs w:val="20"/>
                <w:color w:val="auto"/>
              </w:rPr>
            </w:pPr>
            <w:r>
              <w:rPr>
                <w:rFonts w:ascii="Calibri" w:cs="Calibri" w:eastAsia="Calibri" w:hAnsi="Calibri"/>
                <w:sz w:val="18"/>
                <w:szCs w:val="18"/>
                <w:color w:val="auto"/>
              </w:rPr>
              <w:t>•   Identfy individuals qualifed to become directors and recommend</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20" w:type="dxa"/>
            <w:vAlign w:val="bottom"/>
            <w:tcBorders>
              <w:righ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Mary J. Schumacher</w:t>
            </w:r>
          </w:p>
        </w:tc>
        <w:tc>
          <w:tcPr>
            <w:tcW w:w="5580" w:type="dxa"/>
            <w:vAlign w:val="bottom"/>
          </w:tcPr>
          <w:p>
            <w:pPr>
              <w:ind w:left="660"/>
              <w:spacing w:after="0" w:line="215" w:lineRule="exact"/>
              <w:rPr>
                <w:sz w:val="20"/>
                <w:szCs w:val="20"/>
                <w:color w:val="auto"/>
              </w:rPr>
            </w:pPr>
            <w:r>
              <w:rPr>
                <w:rFonts w:ascii="Calibri" w:cs="Calibri" w:eastAsia="Calibri" w:hAnsi="Calibri"/>
                <w:sz w:val="18"/>
                <w:szCs w:val="18"/>
                <w:color w:val="auto"/>
              </w:rPr>
              <w:t>nominees to our Board for electon at annual meetngs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620" w:type="dxa"/>
            <w:vAlign w:val="bottom"/>
            <w:tcBorders>
              <w:right w:val="single" w:sz="8" w:color="auto"/>
            </w:tcBorders>
          </w:tcPr>
          <w:p>
            <w:pPr>
              <w:ind w:left="40"/>
              <w:spacing w:after="0" w:line="204" w:lineRule="exact"/>
              <w:rPr>
                <w:sz w:val="20"/>
                <w:szCs w:val="20"/>
                <w:color w:val="auto"/>
              </w:rPr>
            </w:pPr>
            <w:r>
              <w:rPr>
                <w:rFonts w:ascii="Calibri" w:cs="Calibri" w:eastAsia="Calibri" w:hAnsi="Calibri"/>
                <w:sz w:val="18"/>
                <w:szCs w:val="18"/>
                <w:color w:val="auto"/>
              </w:rPr>
              <w:t>James T. Thompson</w:t>
            </w:r>
          </w:p>
        </w:tc>
        <w:tc>
          <w:tcPr>
            <w:tcW w:w="5580" w:type="dxa"/>
            <w:vAlign w:val="bottom"/>
          </w:tcPr>
          <w:p>
            <w:pPr>
              <w:ind w:left="660"/>
              <w:spacing w:after="0" w:line="204" w:lineRule="exact"/>
              <w:rPr>
                <w:sz w:val="20"/>
                <w:szCs w:val="20"/>
                <w:color w:val="auto"/>
              </w:rPr>
            </w:pPr>
            <w:r>
              <w:rPr>
                <w:rFonts w:ascii="Calibri" w:cs="Calibri" w:eastAsia="Calibri" w:hAnsi="Calibri"/>
                <w:sz w:val="18"/>
                <w:szCs w:val="18"/>
                <w:color w:val="auto"/>
              </w:rPr>
              <w:t>shareholders and to fll vacancies.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Borders>
              <w:right w:val="single" w:sz="8" w:color="auto"/>
            </w:tcBorders>
          </w:tcPr>
          <w:p>
            <w:pPr>
              <w:ind w:left="40"/>
              <w:spacing w:after="0" w:line="203" w:lineRule="exact"/>
              <w:rPr>
                <w:sz w:val="20"/>
                <w:szCs w:val="20"/>
                <w:color w:val="auto"/>
              </w:rPr>
            </w:pPr>
            <w:r>
              <w:rPr>
                <w:rFonts w:ascii="Calibri" w:cs="Calibri" w:eastAsia="Calibri" w:hAnsi="Calibri"/>
                <w:sz w:val="18"/>
                <w:szCs w:val="18"/>
                <w:color w:val="auto"/>
              </w:rPr>
              <w:t>Jefrey L. Wright</w:t>
            </w:r>
          </w:p>
        </w:tc>
        <w:tc>
          <w:tcPr>
            <w:tcW w:w="5580" w:type="dxa"/>
            <w:vAlign w:val="bottom"/>
          </w:tcPr>
          <w:p>
            <w:pPr>
              <w:ind w:left="340"/>
              <w:spacing w:after="0" w:line="203" w:lineRule="exact"/>
              <w:rPr>
                <w:sz w:val="20"/>
                <w:szCs w:val="20"/>
                <w:color w:val="auto"/>
              </w:rPr>
            </w:pPr>
            <w:r>
              <w:rPr>
                <w:rFonts w:ascii="Calibri" w:cs="Calibri" w:eastAsia="Calibri" w:hAnsi="Calibri"/>
                <w:sz w:val="18"/>
                <w:szCs w:val="18"/>
                <w:color w:val="auto"/>
              </w:rPr>
              <w:t>•   Monitor developments in director compensaton.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20" w:type="dxa"/>
            <w:vAlign w:val="bottom"/>
            <w:tcBorders>
              <w:right w:val="single" w:sz="8" w:color="auto"/>
            </w:tcBorders>
          </w:tcPr>
          <w:p>
            <w:pPr>
              <w:spacing w:after="0"/>
              <w:rPr>
                <w:sz w:val="18"/>
                <w:szCs w:val="18"/>
                <w:color w:val="auto"/>
              </w:rPr>
            </w:pPr>
          </w:p>
        </w:tc>
        <w:tc>
          <w:tcPr>
            <w:tcW w:w="5580" w:type="dxa"/>
            <w:vAlign w:val="bottom"/>
          </w:tcPr>
          <w:p>
            <w:pPr>
              <w:ind w:left="340"/>
              <w:spacing w:after="0" w:line="215" w:lineRule="exact"/>
              <w:rPr>
                <w:sz w:val="20"/>
                <w:szCs w:val="20"/>
                <w:color w:val="auto"/>
              </w:rPr>
            </w:pPr>
            <w:r>
              <w:rPr>
                <w:rFonts w:ascii="Calibri" w:cs="Calibri" w:eastAsia="Calibri" w:hAnsi="Calibri"/>
                <w:sz w:val="18"/>
                <w:szCs w:val="18"/>
                <w:color w:val="auto"/>
              </w:rPr>
              <w:t>•   Develop and recommend to our Board corporate governance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620" w:type="dxa"/>
            <w:vAlign w:val="bottom"/>
            <w:tcBorders>
              <w:right w:val="single" w:sz="8" w:color="auto"/>
            </w:tcBorders>
          </w:tcPr>
          <w:p>
            <w:pPr>
              <w:spacing w:after="0"/>
              <w:rPr>
                <w:sz w:val="17"/>
                <w:szCs w:val="17"/>
                <w:color w:val="auto"/>
              </w:rPr>
            </w:pPr>
          </w:p>
        </w:tc>
        <w:tc>
          <w:tcPr>
            <w:tcW w:w="5580" w:type="dxa"/>
            <w:vAlign w:val="bottom"/>
          </w:tcPr>
          <w:p>
            <w:pPr>
              <w:ind w:left="660"/>
              <w:spacing w:after="0" w:line="204" w:lineRule="exact"/>
              <w:rPr>
                <w:sz w:val="20"/>
                <w:szCs w:val="20"/>
                <w:color w:val="auto"/>
              </w:rPr>
            </w:pPr>
            <w:r>
              <w:rPr>
                <w:rFonts w:ascii="Calibri" w:cs="Calibri" w:eastAsia="Calibri" w:hAnsi="Calibri"/>
                <w:sz w:val="18"/>
                <w:szCs w:val="18"/>
                <w:color w:val="auto"/>
              </w:rPr>
              <w:t>principles applicable to us.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20" w:type="dxa"/>
            <w:vAlign w:val="bottom"/>
            <w:tcBorders>
              <w:right w:val="single" w:sz="8" w:color="auto"/>
            </w:tcBorders>
            <w:vMerge w:val="restart"/>
          </w:tcPr>
          <w:p>
            <w:pPr>
              <w:ind w:left="40"/>
              <w:spacing w:after="0"/>
              <w:rPr>
                <w:sz w:val="20"/>
                <w:szCs w:val="20"/>
                <w:color w:val="auto"/>
              </w:rPr>
            </w:pPr>
            <w:r>
              <w:rPr>
                <w:rFonts w:ascii="Calibri" w:cs="Calibri" w:eastAsia="Calibri" w:hAnsi="Calibri"/>
                <w:sz w:val="18"/>
                <w:szCs w:val="18"/>
                <w:color w:val="auto"/>
              </w:rPr>
              <w:t>Number of meetngs during fscal 2024: 4</w:t>
            </w:r>
          </w:p>
        </w:tc>
        <w:tc>
          <w:tcPr>
            <w:tcW w:w="5580" w:type="dxa"/>
            <w:vAlign w:val="bottom"/>
          </w:tcPr>
          <w:p>
            <w:pPr>
              <w:ind w:left="340"/>
              <w:spacing w:after="0" w:line="215" w:lineRule="exact"/>
              <w:rPr>
                <w:sz w:val="20"/>
                <w:szCs w:val="20"/>
                <w:color w:val="auto"/>
              </w:rPr>
            </w:pPr>
            <w:r>
              <w:rPr>
                <w:rFonts w:ascii="Calibri" w:cs="Calibri" w:eastAsia="Calibri" w:hAnsi="Calibri"/>
                <w:sz w:val="18"/>
                <w:szCs w:val="18"/>
                <w:color w:val="auto"/>
              </w:rPr>
              <w:t>•   Review the Company's environmental, social and governance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5620" w:type="dxa"/>
            <w:vAlign w:val="bottom"/>
            <w:tcBorders>
              <w:right w:val="single" w:sz="8" w:color="auto"/>
            </w:tcBorders>
            <w:vMerge w:val="continue"/>
          </w:tcPr>
          <w:p>
            <w:pPr>
              <w:spacing w:after="0"/>
              <w:rPr>
                <w:sz w:val="5"/>
                <w:szCs w:val="5"/>
                <w:color w:val="auto"/>
              </w:rPr>
            </w:pPr>
          </w:p>
        </w:tc>
        <w:tc>
          <w:tcPr>
            <w:tcW w:w="5580" w:type="dxa"/>
            <w:vAlign w:val="bottom"/>
            <w:vMerge w:val="restart"/>
          </w:tcPr>
          <w:p>
            <w:pPr>
              <w:ind w:left="660"/>
              <w:spacing w:after="0" w:line="204" w:lineRule="exact"/>
              <w:rPr>
                <w:sz w:val="20"/>
                <w:szCs w:val="20"/>
                <w:color w:val="auto"/>
              </w:rPr>
            </w:pPr>
            <w:r>
              <w:rPr>
                <w:rFonts w:ascii="Calibri" w:cs="Calibri" w:eastAsia="Calibri" w:hAnsi="Calibri"/>
                <w:sz w:val="18"/>
                <w:szCs w:val="18"/>
                <w:color w:val="auto"/>
              </w:rPr>
              <w:t>strategy and policies.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5620" w:type="dxa"/>
            <w:vAlign w:val="bottom"/>
            <w:tcBorders>
              <w:right w:val="single" w:sz="8" w:color="auto"/>
            </w:tcBorders>
          </w:tcPr>
          <w:p>
            <w:pPr>
              <w:spacing w:after="0"/>
              <w:rPr>
                <w:sz w:val="11"/>
                <w:szCs w:val="11"/>
                <w:color w:val="auto"/>
              </w:rPr>
            </w:pPr>
          </w:p>
        </w:tc>
        <w:tc>
          <w:tcPr>
            <w:tcW w:w="55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620" w:type="dxa"/>
            <w:vAlign w:val="bottom"/>
            <w:tcBorders>
              <w:right w:val="single" w:sz="8" w:color="auto"/>
            </w:tcBorders>
          </w:tcPr>
          <w:p>
            <w:pPr>
              <w:spacing w:after="0"/>
              <w:rPr>
                <w:sz w:val="17"/>
                <w:szCs w:val="17"/>
                <w:color w:val="auto"/>
              </w:rPr>
            </w:pPr>
          </w:p>
        </w:tc>
        <w:tc>
          <w:tcPr>
            <w:tcW w:w="5580" w:type="dxa"/>
            <w:vAlign w:val="bottom"/>
          </w:tcPr>
          <w:p>
            <w:pPr>
              <w:ind w:left="340"/>
              <w:spacing w:after="0" w:line="203" w:lineRule="exact"/>
              <w:rPr>
                <w:sz w:val="20"/>
                <w:szCs w:val="20"/>
                <w:color w:val="auto"/>
              </w:rPr>
            </w:pPr>
            <w:r>
              <w:rPr>
                <w:rFonts w:ascii="Calibri" w:cs="Calibri" w:eastAsia="Calibri" w:hAnsi="Calibri"/>
                <w:sz w:val="18"/>
                <w:szCs w:val="18"/>
                <w:color w:val="auto"/>
              </w:rPr>
              <w:t>•   Oversee public policy maters and compliance with our Code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20" w:type="dxa"/>
            <w:vAlign w:val="bottom"/>
            <w:tcBorders>
              <w:right w:val="single" w:sz="8" w:color="auto"/>
            </w:tcBorders>
          </w:tcPr>
          <w:p>
            <w:pPr>
              <w:spacing w:after="0"/>
              <w:rPr>
                <w:sz w:val="18"/>
                <w:szCs w:val="18"/>
                <w:color w:val="auto"/>
              </w:rPr>
            </w:pPr>
          </w:p>
        </w:tc>
        <w:tc>
          <w:tcPr>
            <w:tcW w:w="5580" w:type="dxa"/>
            <w:vAlign w:val="bottom"/>
          </w:tcPr>
          <w:p>
            <w:pPr>
              <w:ind w:left="660"/>
              <w:spacing w:after="0" w:line="215" w:lineRule="exact"/>
              <w:rPr>
                <w:sz w:val="20"/>
                <w:szCs w:val="20"/>
                <w:color w:val="auto"/>
              </w:rPr>
            </w:pPr>
            <w:r>
              <w:rPr>
                <w:rFonts w:ascii="Calibri" w:cs="Calibri" w:eastAsia="Calibri" w:hAnsi="Calibri"/>
                <w:sz w:val="18"/>
                <w:szCs w:val="18"/>
                <w:color w:val="auto"/>
              </w:rPr>
              <w:t>Conduct.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5620" w:type="dxa"/>
            <w:vAlign w:val="bottom"/>
            <w:tcBorders>
              <w:bottom w:val="single" w:sz="8" w:color="auto"/>
              <w:right w:val="single" w:sz="8" w:color="auto"/>
            </w:tcBorders>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660" w:right="360" w:hanging="328"/>
        <w:spacing w:after="0" w:line="235" w:lineRule="auto"/>
        <w:tabs>
          <w:tab w:leader="none" w:pos="653"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Our Board has determined that all members of the Governance and Nominatng Commitee are “Independent Directors” as that term is defned under the applicable listng standards of Nasdaq.</w:t>
      </w:r>
    </w:p>
    <w:p>
      <w:pPr>
        <w:spacing w:after="0" w:line="244" w:lineRule="exact"/>
        <w:rPr>
          <w:rFonts w:ascii="Calibri" w:cs="Calibri" w:eastAsia="Calibri" w:hAnsi="Calibri"/>
          <w:sz w:val="18"/>
          <w:szCs w:val="18"/>
          <w:color w:val="auto"/>
        </w:rPr>
      </w:pPr>
    </w:p>
    <w:p>
      <w:pPr>
        <w:ind w:left="660" w:hanging="328"/>
        <w:spacing w:after="0" w:line="258" w:lineRule="auto"/>
        <w:tabs>
          <w:tab w:leader="none" w:pos="653" w:val="left"/>
        </w:tabs>
        <w:numPr>
          <w:ilvl w:val="0"/>
          <w:numId w:val="11"/>
        </w:numPr>
        <w:rPr>
          <w:rFonts w:ascii="Calibri" w:cs="Calibri" w:eastAsia="Calibri" w:hAnsi="Calibri"/>
          <w:sz w:val="17"/>
          <w:szCs w:val="17"/>
          <w:color w:val="auto"/>
        </w:rPr>
      </w:pPr>
      <w:r>
        <w:rPr>
          <w:rFonts w:ascii="Calibri" w:cs="Calibri" w:eastAsia="Calibri" w:hAnsi="Calibri"/>
          <w:sz w:val="17"/>
          <w:szCs w:val="17"/>
          <w:color w:val="auto"/>
        </w:rPr>
        <w:t>The Governance and Nominatng Commitee evaluated potental candidates for director nominaton on the basis indicated below and recommended to the Board that the director nominees included in this proxy statement be submited to the shareholders for electon at the Annual Meetng.</w:t>
      </w:r>
    </w:p>
    <w:p>
      <w:pPr>
        <w:spacing w:after="0" w:line="228" w:lineRule="exact"/>
        <w:rPr>
          <w:rFonts w:ascii="Calibri" w:cs="Calibri" w:eastAsia="Calibri" w:hAnsi="Calibri"/>
          <w:sz w:val="17"/>
          <w:szCs w:val="17"/>
          <w:color w:val="auto"/>
        </w:rPr>
      </w:pPr>
    </w:p>
    <w:p>
      <w:pPr>
        <w:ind w:left="660" w:right="240" w:hanging="328"/>
        <w:spacing w:after="0" w:line="235" w:lineRule="auto"/>
        <w:tabs>
          <w:tab w:leader="none" w:pos="653"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The responsibilites of the Governance and Nominatng Commitee are set forth in the Governance and Nominatng Commitee Charter. A current copy of the charter is available on our website (www.hawkinsinc.com).</w:t>
      </w:r>
    </w:p>
    <w:p>
      <w:pPr>
        <w:spacing w:after="0" w:line="22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Nominatng Process</w:t>
      </w:r>
    </w:p>
    <w:p>
      <w:pPr>
        <w:spacing w:after="0" w:line="113"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The Governance and Nominatng Commitee considers candidates for our Board in accordance with our By-Laws, Governance and Nominatng Commitee Charter and Principles of Corporate Governance, a copy of which is available at our website (www.hawkinsinc.com). Any shareholder seeking to make a director nominaton should send the director candidate’s name, credentals and contact informaton, a signed statement consentng to his or her nominaton and agreeing, if elected, to serve as a director, a completed director nominee questonnaire (available from our Secretary upon request) and the other informaton required by our By-Laws, to our Secretary no later than 90 days prior to the frst anniversary of the preceding year’s annual meetng. The proposing shareholder should also include his or her contact informaton and evidence that the person submitng the nominaton is a shareholder of the company.</w:t>
      </w:r>
    </w:p>
    <w:p>
      <w:pPr>
        <w:spacing w:after="0" w:line="24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Governance and Nominatng Commitee will evaluate candidates (nominated by shareholders or otherwise) in accordance with the criteria set forth in our By-Laws, Governance and Nominatng Commitee Charter and Principles of Corporate Governance. Under our Principles of Corporate Governance, we maintain minimum qualifcatons that the Board, as a group, must meet, including governance, business and professional experience, industry awareness and knowledge and stakeholder awareness. Each director must also have high standards of personal ethics and a commitment to the mission and integrity of the company and be willing and able to devote the necessary tme and energy to fulflling the Board’s responsibility of oversight of the company and its management. In evaluatng individual candidates, the Governance and Nominatng Commitee will consider fnancial literacy, knowledge of our industry or other background relevant to our needs, status as a stakeholder in our company, “independence” for purposes of compliance with Internal Revenue Service and SEC rules and Nasdaq listng standards, and willingness, ability and availability for service. The Governance and Nominatng Commitee may engage an outside search frm to assist in identfying and screening new director candidates and coordinatng the selecton process. The company does not have a formal policy with regard to the consideraton of diversity in identfying director nominees, but the Governance and Nominatng Commitee strives to nominate directors with a variety of complementary skills so that, as a group, the Board will possess the appropriate talent, skills, and expertse to oversee the company’s businesses.</w:t>
      </w:r>
    </w:p>
    <w:p>
      <w:pPr>
        <w:spacing w:after="0" w:line="23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Risk Oversight</w:t>
      </w:r>
    </w:p>
    <w:p>
      <w:pPr>
        <w:spacing w:after="0" w:line="115"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company’s management is responsible for identfying the various risks facing the company, formulatng risk management policies and procedures, and managing the company’s risk exposures on a day-to-day basis. The Board is responsible for monitoring the company’s risk management processes by informing itself concerning the company’s material risks and evaluatng whether management has reasonable controls in place to address the material risks. The Board is not responsible,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7" w:right="359" w:bottom="1440" w:gutter="0" w:footer="0" w:header="0"/>
        </w:sectPr>
      </w:pPr>
    </w:p>
    <w:bookmarkStart w:id="12" w:name="page13"/>
    <w:bookmarkEnd w:id="12"/>
    <w:p>
      <w:pPr>
        <w:spacing w:after="0" w:line="235" w:lineRule="auto"/>
        <w:rPr>
          <w:sz w:val="20"/>
          <w:szCs w:val="20"/>
          <w:color w:val="auto"/>
        </w:rPr>
      </w:pPr>
      <w:r>
        <w:rPr>
          <w:rFonts w:ascii="Calibri" w:cs="Calibri" w:eastAsia="Calibri" w:hAnsi="Calibri"/>
          <w:sz w:val="18"/>
          <w:szCs w:val="18"/>
          <w:color w:val="auto"/>
        </w:rPr>
        <w:t>however, for identfying or managing the company’s various risks. The Audit Commitee is primarily responsible for monitoring management’s responsibility in the area of fnancial risk oversight, and fnancial risk management is a factor the Board and its Governance and Nominatng Commitee consider when determining which directors serve on the Audit Commitee. Accordingly, management reported to the Board and its Audit Commitee on various risk management maters during fscal 2024. The Audit Commitee, in turn, reports on the maters discussed at the commitee level to the full Board. The Audit Commitee and the Board focus on the material risks facing the company, including operatonal, market, liquidity, legal and regulatory risks, to assess whether management has reasonable controls in place to address these risks. The Board believes this allocaton of responsibility provides an efectve and efcient approach for addressing risk management.</w:t>
      </w:r>
    </w:p>
    <w:p>
      <w:pPr>
        <w:spacing w:after="0" w:line="23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Clawback Policy</w:t>
      </w:r>
    </w:p>
    <w:p>
      <w:pPr>
        <w:spacing w:after="0" w:line="11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Board believes that it is in the best interests of our company and its shareholders to maintain a culture that emphasizes integrity and accountability and that reinforces our pay-for-performance compensaton philosophy. Accordingly, we adopted a clawback policy in compliance with Rule 10D-1 of the Securites and Exchange Act of 1934, as amended, the SEC regulatons promulgated thereunder, and the Nasdaq rules. Under the policy, our company is required to recover from covered executve ofcers on a reasonably prompt basis the amount of any erroneously awarded incentve-based compensaton resultng from an accountng restatement due to the material noncompliance of our company with any fnancial reportng requirement under the securites laws. The policy applies to incentve-based compensaton received by covered executve ofcers on or afer October 2, 2023.</w:t>
      </w:r>
    </w:p>
    <w:p>
      <w:pPr>
        <w:spacing w:after="0" w:line="23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Insider Trading Policy</w:t>
      </w:r>
    </w:p>
    <w:p>
      <w:pPr>
        <w:spacing w:after="0" w:line="113" w:lineRule="exact"/>
        <w:rPr>
          <w:sz w:val="20"/>
          <w:szCs w:val="20"/>
          <w:color w:val="auto"/>
        </w:rPr>
      </w:pPr>
    </w:p>
    <w:p>
      <w:pPr>
        <w:jc w:val="both"/>
        <w:ind w:right="120"/>
        <w:spacing w:after="0" w:line="258" w:lineRule="auto"/>
        <w:rPr>
          <w:sz w:val="20"/>
          <w:szCs w:val="20"/>
          <w:color w:val="auto"/>
        </w:rPr>
      </w:pPr>
      <w:r>
        <w:rPr>
          <w:rFonts w:ascii="Calibri" w:cs="Calibri" w:eastAsia="Calibri" w:hAnsi="Calibri"/>
          <w:sz w:val="17"/>
          <w:szCs w:val="17"/>
          <w:color w:val="auto"/>
        </w:rPr>
        <w:t>We have adopted an insider trading policy that governs the purchase, sale, and other dispositons and transactons in our securites by our directors, ofcers and employees, which is reasonably designed to promote compliance with insider trading laws, rules, and regulatons, as well as applicable listng standards.</w:t>
      </w:r>
    </w:p>
    <w:p>
      <w:pPr>
        <w:spacing w:after="0" w:line="21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Hedging Prohibitons</w:t>
      </w:r>
    </w:p>
    <w:p>
      <w:pPr>
        <w:spacing w:after="0" w:line="12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Each of our directors, ofcers, other employees and their designees are prohibited from (i) purchasing fnancial instruments (including prepaid variable forward contracts, equity swaps, collars and exchange funds) that hedge or ofset, or are designed to hedge or ofset, any decrease in the market value of our equity securites and (ii) otherwise engaging in transactons that hedge or ofset, or are designed to hedge of ofset, any decrease in the market value of our equity securites. Notwithstanding the foregoing, portolio diversifcaton transactons and investments in broad-based index funds is generally permited. The prohibiton applies to securites granted to the covered persons as part of compensaton for their service to the company plus any other Company securites held by them, whether directly or indirectly.</w:t>
      </w:r>
    </w:p>
    <w:p>
      <w:pPr>
        <w:spacing w:after="0" w:line="23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Other Prohibited Transactons</w:t>
      </w:r>
    </w:p>
    <w:p>
      <w:pPr>
        <w:spacing w:after="0" w:line="113"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Our policies also prohibit executve ofcers and directors from holding company securites in a margin account or otherwise pledging company securites as collateral for a loan.</w:t>
      </w:r>
    </w:p>
    <w:p>
      <w:pPr>
        <w:spacing w:after="0" w:line="22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Communicatons with Directors</w:t>
      </w:r>
    </w:p>
    <w:p>
      <w:pPr>
        <w:spacing w:after="0" w:line="113"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Shareholders can contact the full Board, the independent directors as a group or any of the individual directors by writng to our Secretary at 2381 Rosegate, Roseville, Minnesota 55113. All communicatons will be compiled by the Secretary and submited to the addressees on a periodic basis.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spacing w:after="0"/>
        <w:rPr>
          <w:sz w:val="20"/>
          <w:szCs w:val="20"/>
          <w:color w:val="auto"/>
        </w:rPr>
      </w:pPr>
      <w:r>
        <w:rPr>
          <w:rFonts w:ascii="Calibri" w:cs="Calibri" w:eastAsia="Calibri" w:hAnsi="Calibri"/>
          <w:sz w:val="25"/>
          <w:szCs w:val="25"/>
          <w:b w:val="1"/>
          <w:bCs w:val="1"/>
          <w:color w:val="auto"/>
        </w:rPr>
        <w:t>ENVIRONMENTAL, SOCIAL AND GOVERNANCE COMMITMENT</w:t>
      </w:r>
    </w:p>
    <w:p>
      <w:pPr>
        <w:spacing w:after="0" w:line="25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are commited to strong environmental, social and governance ("ESG") principles. We recognize that the way we do business impacts our results. Accordingly, we promote and support business practces that are environmentally sustainable, socially responsible, and aligned with strong corporate governance practces. Our Environmental, Social and Governance Report, available on our website (www.hawkinsinc.com), highlights our commitment to ESG principles.</w:t>
      </w:r>
    </w:p>
    <w:p>
      <w:pPr>
        <w:spacing w:after="0" w:line="246" w:lineRule="exact"/>
        <w:rPr>
          <w:sz w:val="20"/>
          <w:szCs w:val="20"/>
          <w:color w:val="auto"/>
        </w:rPr>
      </w:pPr>
    </w:p>
    <w:p>
      <w:pPr>
        <w:spacing w:after="0"/>
        <w:rPr>
          <w:sz w:val="20"/>
          <w:szCs w:val="20"/>
          <w:color w:val="auto"/>
        </w:rPr>
      </w:pPr>
      <w:r>
        <w:rPr>
          <w:rFonts w:ascii="Calibri" w:cs="Calibri" w:eastAsia="Calibri" w:hAnsi="Calibri"/>
          <w:sz w:val="17"/>
          <w:szCs w:val="17"/>
          <w:color w:val="auto"/>
        </w:rPr>
        <w:t>We work to improve the quality of people's lives--from employees, to customers, to the communites where we operate. Recent initatves have focused on:</w:t>
      </w:r>
    </w:p>
    <w:p>
      <w:pPr>
        <w:spacing w:after="0" w:line="8" w:lineRule="exact"/>
        <w:rPr>
          <w:sz w:val="20"/>
          <w:szCs w:val="20"/>
          <w:color w:val="auto"/>
        </w:rPr>
      </w:pPr>
    </w:p>
    <w:p>
      <w:pPr>
        <w:ind w:left="660" w:right="280" w:hanging="328"/>
        <w:spacing w:after="0" w:line="235" w:lineRule="auto"/>
        <w:tabs>
          <w:tab w:leader="none" w:pos="653" w:val="left"/>
        </w:tabs>
        <w:numPr>
          <w:ilvl w:val="0"/>
          <w:numId w:val="12"/>
        </w:numPr>
        <w:rPr>
          <w:rFonts w:ascii="Calibri" w:cs="Calibri" w:eastAsia="Calibri" w:hAnsi="Calibri"/>
          <w:sz w:val="18"/>
          <w:szCs w:val="18"/>
          <w:color w:val="auto"/>
        </w:rPr>
      </w:pPr>
      <w:r>
        <w:rPr>
          <w:rFonts w:ascii="Calibri" w:cs="Calibri" w:eastAsia="Calibri" w:hAnsi="Calibri"/>
          <w:sz w:val="18"/>
          <w:szCs w:val="18"/>
          <w:i w:val="1"/>
          <w:iCs w:val="1"/>
          <w:color w:val="auto"/>
        </w:rPr>
        <w:t xml:space="preserve">People </w:t>
      </w:r>
      <w:r>
        <w:rPr>
          <w:rFonts w:ascii="Calibri" w:cs="Calibri" w:eastAsia="Calibri" w:hAnsi="Calibri"/>
          <w:sz w:val="18"/>
          <w:szCs w:val="18"/>
          <w:color w:val="auto"/>
        </w:rPr>
        <w:t>- our employees are the heart of our business and our long-term success. Safety is our core value and we work to achieve zero recordable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injuries. We contnue to assess and adopt new processes to improve the safety of our employees. We seek to retain our employees through compettve compensaton and benefts packages and our values-driven culture.</w:t>
      </w:r>
    </w:p>
    <w:p>
      <w:pPr>
        <w:spacing w:after="0" w:line="2" w:lineRule="exact"/>
        <w:rPr>
          <w:rFonts w:ascii="Calibri" w:cs="Calibri" w:eastAsia="Calibri" w:hAnsi="Calibri"/>
          <w:sz w:val="18"/>
          <w:szCs w:val="18"/>
          <w:color w:val="auto"/>
        </w:rPr>
      </w:pPr>
    </w:p>
    <w:p>
      <w:pPr>
        <w:ind w:left="660" w:right="140" w:hanging="328"/>
        <w:spacing w:after="0" w:line="235" w:lineRule="auto"/>
        <w:tabs>
          <w:tab w:leader="none" w:pos="653" w:val="left"/>
        </w:tabs>
        <w:numPr>
          <w:ilvl w:val="0"/>
          <w:numId w:val="12"/>
        </w:numPr>
        <w:rPr>
          <w:rFonts w:ascii="Calibri" w:cs="Calibri" w:eastAsia="Calibri" w:hAnsi="Calibri"/>
          <w:sz w:val="18"/>
          <w:szCs w:val="18"/>
          <w:color w:val="auto"/>
        </w:rPr>
      </w:pPr>
      <w:r>
        <w:rPr>
          <w:rFonts w:ascii="Calibri" w:cs="Calibri" w:eastAsia="Calibri" w:hAnsi="Calibri"/>
          <w:sz w:val="18"/>
          <w:szCs w:val="18"/>
          <w:i w:val="1"/>
          <w:iCs w:val="1"/>
          <w:color w:val="auto"/>
        </w:rPr>
        <w:t xml:space="preserve">Environment </w:t>
      </w:r>
      <w:r>
        <w:rPr>
          <w:rFonts w:ascii="Calibri" w:cs="Calibri" w:eastAsia="Calibri" w:hAnsi="Calibri"/>
          <w:sz w:val="18"/>
          <w:szCs w:val="18"/>
          <w:color w:val="auto"/>
        </w:rPr>
        <w:t>- Many of our products are crucial in assistng our customers in reducing their impact on the environment. Our water treatment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chemistry ensures that millions of Americans have safe drinking water every day and cleans the wastewater before it enters our lakes and streams. Many of our products help our customers meet their own environmental sustainability goals.</w:t>
      </w:r>
    </w:p>
    <w:p>
      <w:pPr>
        <w:spacing w:after="0" w:line="2" w:lineRule="exact"/>
        <w:rPr>
          <w:rFonts w:ascii="Calibri" w:cs="Calibri" w:eastAsia="Calibri" w:hAnsi="Calibri"/>
          <w:sz w:val="18"/>
          <w:szCs w:val="18"/>
          <w:color w:val="auto"/>
        </w:rPr>
      </w:pPr>
    </w:p>
    <w:p>
      <w:pPr>
        <w:ind w:left="660" w:right="20" w:hanging="328"/>
        <w:spacing w:after="0" w:line="235" w:lineRule="auto"/>
        <w:tabs>
          <w:tab w:leader="none" w:pos="653" w:val="left"/>
        </w:tabs>
        <w:numPr>
          <w:ilvl w:val="0"/>
          <w:numId w:val="12"/>
        </w:numPr>
        <w:rPr>
          <w:rFonts w:ascii="Calibri" w:cs="Calibri" w:eastAsia="Calibri" w:hAnsi="Calibri"/>
          <w:sz w:val="18"/>
          <w:szCs w:val="18"/>
          <w:color w:val="auto"/>
        </w:rPr>
      </w:pPr>
      <w:r>
        <w:rPr>
          <w:rFonts w:ascii="Calibri" w:cs="Calibri" w:eastAsia="Calibri" w:hAnsi="Calibri"/>
          <w:sz w:val="18"/>
          <w:szCs w:val="18"/>
          <w:i w:val="1"/>
          <w:iCs w:val="1"/>
          <w:color w:val="auto"/>
        </w:rPr>
        <w:t xml:space="preserve">Community Impact </w:t>
      </w:r>
      <w:r>
        <w:rPr>
          <w:rFonts w:ascii="Calibri" w:cs="Calibri" w:eastAsia="Calibri" w:hAnsi="Calibri"/>
          <w:sz w:val="18"/>
          <w:szCs w:val="18"/>
          <w:color w:val="auto"/>
        </w:rPr>
        <w:t>- With approximately 950 employees, we believe our greatest asset for driving change is the commitment of our employees to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driving positve impact in their communites. We sponsor and support numerous charitable organizatons, contribute to rural water apprentceships, and our employees donate their tme. These contributons help to support the work of nonproft organizatons of all sizes, working in areas such as youth actvites, disaster response, state rural water associatons, and veterans.</w:t>
      </w:r>
    </w:p>
    <w:p>
      <w:pPr>
        <w:spacing w:after="0" w:line="246"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At the Board level, our Governance and Nominatng Commitee oversees sustainability and social responsibility. At the management level, our Executve Vice President and Chief Financial Ofcer and General Counsel, who report directly to our Chief Executve Ofcer, have general oversight responsibility with respect to maters of sustainability and social responsibility.</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5" w:right="379" w:bottom="1440" w:gutter="0" w:footer="0" w:header="0"/>
        </w:sectPr>
      </w:pPr>
    </w:p>
    <w:bookmarkStart w:id="14" w:name="page15"/>
    <w:bookmarkEnd w:id="14"/>
    <w:p>
      <w:pPr>
        <w:ind w:right="180"/>
        <w:spacing w:after="0" w:line="235" w:lineRule="auto"/>
        <w:rPr>
          <w:sz w:val="20"/>
          <w:szCs w:val="20"/>
          <w:color w:val="auto"/>
        </w:rPr>
      </w:pPr>
      <w:r>
        <w:rPr>
          <w:rFonts w:ascii="Calibri" w:cs="Calibri" w:eastAsia="Calibri" w:hAnsi="Calibri"/>
          <w:sz w:val="25"/>
          <w:szCs w:val="25"/>
          <w:b w:val="1"/>
          <w:bCs w:val="1"/>
          <w:color w:val="auto"/>
        </w:rPr>
        <w:t>PROPOSAL TWO - RATIFICATION OF APPOINTMENT OF INDEPENDENT REGISTERED PUBLIC ACCOUNTING FIRM</w:t>
      </w:r>
    </w:p>
    <w:p>
      <w:pPr>
        <w:spacing w:after="0" w:line="267" w:lineRule="exact"/>
        <w:rPr>
          <w:sz w:val="20"/>
          <w:szCs w:val="20"/>
          <w:color w:val="auto"/>
        </w:rPr>
      </w:pPr>
    </w:p>
    <w:p>
      <w:pPr>
        <w:jc w:val="both"/>
        <w:ind w:right="100"/>
        <w:spacing w:after="0" w:line="251" w:lineRule="auto"/>
        <w:rPr>
          <w:sz w:val="20"/>
          <w:szCs w:val="20"/>
          <w:color w:val="auto"/>
        </w:rPr>
      </w:pPr>
      <w:r>
        <w:rPr>
          <w:rFonts w:ascii="Calibri" w:cs="Calibri" w:eastAsia="Calibri" w:hAnsi="Calibri"/>
          <w:sz w:val="17"/>
          <w:szCs w:val="17"/>
          <w:color w:val="auto"/>
        </w:rPr>
        <w:t>The Audit Commitee of the Board has appointed Grant Thornton LLP ("Grant Thornton") as our independent registered public accountng frm for the fscal year ending March 30, 2025. Grant Thornton has served as our independent registered public accountng frm since fscal 2020. Although the ratfcaton of the appointment of an independent registered public accountng frm is not required to be submited to a vote of shareholders, our Board has decided, as a good governance practce, to ask our shareholders to ratfy this appointment. If our shareholders do not ratfy the appointment of Grant Thornton, the Audit Commitee will consider the shareholder vote in the course of selectng an independent registered public accountng frm for the following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4057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6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i w:val="1"/>
          <w:iCs w:val="1"/>
          <w:color w:val="auto"/>
        </w:rPr>
        <w:t>OUR BOARD RECOMMENDS THAT THIS APPOINTMENT BE RATIFIED.</w:t>
      </w:r>
    </w:p>
    <w:p>
      <w:pPr>
        <w:spacing w:after="0" w:line="32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AUDIT COMMITTEE REPORT</w:t>
      </w:r>
    </w:p>
    <w:p>
      <w:pPr>
        <w:spacing w:after="0" w:line="256" w:lineRule="exact"/>
        <w:rPr>
          <w:sz w:val="20"/>
          <w:szCs w:val="20"/>
          <w:color w:val="auto"/>
        </w:rPr>
      </w:pPr>
    </w:p>
    <w:p>
      <w:pPr>
        <w:spacing w:after="0"/>
        <w:rPr>
          <w:sz w:val="20"/>
          <w:szCs w:val="20"/>
          <w:color w:val="auto"/>
        </w:rPr>
      </w:pPr>
      <w:r>
        <w:rPr>
          <w:rFonts w:ascii="Calibri" w:cs="Calibri" w:eastAsia="Calibri" w:hAnsi="Calibri"/>
          <w:sz w:val="18"/>
          <w:szCs w:val="18"/>
          <w:color w:val="auto"/>
        </w:rPr>
        <w:t>The Audit Commitee has (i) reviewed and discussed our audited fnancial statements for fscal 2024 with both our management and Grant Thornton;</w:t>
      </w:r>
    </w:p>
    <w:p>
      <w:pPr>
        <w:spacing w:after="0" w:line="1" w:lineRule="exact"/>
        <w:rPr>
          <w:sz w:val="20"/>
          <w:szCs w:val="20"/>
          <w:color w:val="auto"/>
        </w:rPr>
      </w:pPr>
    </w:p>
    <w:p>
      <w:pPr>
        <w:ind w:right="120" w:firstLine="8"/>
        <w:spacing w:after="0" w:line="235" w:lineRule="auto"/>
        <w:tabs>
          <w:tab w:leader="none" w:pos="227"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discussed with Grant Thornton the maters required to be discussed by the applicable requirements of the Public Company Accountng Oversight Board and the SEC; (iii) received from Grant Thornton the writen disclosures and the leter required by applicable requirements of the Public Company Accountng Oversight Board regarding the independent accountant’s communicatons with the Audit Commitee concerning independence and discussed with Grant Thornton its independence; and (iv) considered whether the non-audit services provided by Grant Thornton are compatble with maintaining the independence of Grant Thornton.</w:t>
      </w:r>
    </w:p>
    <w:p>
      <w:pPr>
        <w:spacing w:after="0" w:line="24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Based on the review and discussions described above, the Audit Commitee recommended to our Board that our audited fnancial statements be included in our Annual Report on Form 10-K for fscal 2024 for fling with the SEC.</w:t>
      </w:r>
    </w:p>
    <w:p>
      <w:pPr>
        <w:spacing w:after="0" w:line="78" w:lineRule="exact"/>
        <w:rPr>
          <w:sz w:val="20"/>
          <w:szCs w:val="20"/>
          <w:color w:val="auto"/>
        </w:rPr>
      </w:pPr>
    </w:p>
    <w:p>
      <w:pPr>
        <w:ind w:left="2100"/>
        <w:spacing w:after="0"/>
        <w:tabs>
          <w:tab w:leader="none" w:pos="4100" w:val="left"/>
          <w:tab w:leader="none" w:pos="6180" w:val="left"/>
        </w:tabs>
        <w:rPr>
          <w:sz w:val="20"/>
          <w:szCs w:val="20"/>
          <w:color w:val="auto"/>
        </w:rPr>
      </w:pPr>
      <w:r>
        <w:rPr>
          <w:rFonts w:ascii="Calibri" w:cs="Calibri" w:eastAsia="Calibri" w:hAnsi="Calibri"/>
          <w:sz w:val="18"/>
          <w:szCs w:val="18"/>
          <w:i w:val="1"/>
          <w:iCs w:val="1"/>
          <w:color w:val="auto"/>
        </w:rPr>
        <w:t>Jefrey L. Wright (Chair)</w:t>
      </w:r>
      <w:r>
        <w:rPr>
          <w:sz w:val="20"/>
          <w:szCs w:val="20"/>
          <w:color w:val="auto"/>
        </w:rPr>
        <w:tab/>
      </w:r>
      <w:r>
        <w:rPr>
          <w:rFonts w:ascii="Calibri" w:cs="Calibri" w:eastAsia="Calibri" w:hAnsi="Calibri"/>
          <w:sz w:val="18"/>
          <w:szCs w:val="18"/>
          <w:i w:val="1"/>
          <w:iCs w:val="1"/>
          <w:color w:val="auto"/>
        </w:rPr>
        <w:t>James A. Faulconbridge</w:t>
      </w:r>
      <w:r>
        <w:rPr>
          <w:sz w:val="20"/>
          <w:szCs w:val="20"/>
          <w:color w:val="auto"/>
        </w:rPr>
        <w:tab/>
      </w:r>
      <w:r>
        <w:rPr>
          <w:rFonts w:ascii="Calibri" w:cs="Calibri" w:eastAsia="Calibri" w:hAnsi="Calibri"/>
          <w:sz w:val="17"/>
          <w:szCs w:val="17"/>
          <w:i w:val="1"/>
          <w:iCs w:val="1"/>
          <w:color w:val="auto"/>
        </w:rPr>
        <w:t>Mary J. Schumacher Jefrey E. Spethmann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1335405</wp:posOffset>
            </wp:positionH>
            <wp:positionV relativeFrom="paragraph">
              <wp:posOffset>-19050</wp:posOffset>
            </wp:positionV>
            <wp:extent cx="44716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71670" cy="8890"/>
                    </a:xfrm>
                    <a:prstGeom prst="rect">
                      <a:avLst/>
                    </a:prstGeom>
                    <a:noFill/>
                  </pic:spPr>
                </pic:pic>
              </a:graphicData>
            </a:graphic>
          </wp:anchor>
        </w:drawing>
      </w:r>
    </w:p>
    <w:p>
      <w:pPr>
        <w:spacing w:after="0" w:line="7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i w:val="1"/>
          <w:iCs w:val="1"/>
          <w:color w:val="auto"/>
        </w:rPr>
        <w:t>Audit Commitee of the Board of Directors</w:t>
      </w:r>
    </w:p>
    <w:p>
      <w:pPr>
        <w:spacing w:after="0" w:line="22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INDEPENDENT REGISTERED PUBLIC ACCOUNTING FIRM’S FEES</w:t>
      </w:r>
    </w:p>
    <w:p>
      <w:pPr>
        <w:spacing w:after="0" w:line="250"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following table shows the aggregate fees charged to us by Grant Thornton for services rendered for fscal 2024 and fscal 2023. The Audit Commitee pre-approved 100% of the services described below.</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40" w:type="dxa"/>
            <w:vAlign w:val="bottom"/>
            <w:tcBorders>
              <w:top w:val="single" w:sz="8" w:color="auto"/>
              <w:left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53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line="180" w:lineRule="exact"/>
              <w:rPr>
                <w:sz w:val="20"/>
                <w:szCs w:val="20"/>
                <w:color w:val="auto"/>
              </w:rPr>
            </w:pPr>
            <w:r>
              <w:rPr>
                <w:rFonts w:ascii="Calibri" w:cs="Calibri" w:eastAsia="Calibri" w:hAnsi="Calibri"/>
                <w:sz w:val="18"/>
                <w:szCs w:val="18"/>
                <w:b w:val="1"/>
                <w:bCs w:val="1"/>
                <w:color w:val="auto"/>
              </w:rPr>
              <w:t>Fiscal 2024</w:t>
            </w: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720" w:type="dxa"/>
            <w:vAlign w:val="bottom"/>
            <w:tcBorders>
              <w:top w:val="single" w:sz="8" w:color="auto"/>
              <w:right w:val="single" w:sz="8" w:color="auto"/>
            </w:tcBorders>
          </w:tcPr>
          <w:p>
            <w:pPr>
              <w:jc w:val="right"/>
              <w:ind w:right="570"/>
              <w:spacing w:after="0" w:line="180" w:lineRule="exact"/>
              <w:rPr>
                <w:sz w:val="20"/>
                <w:szCs w:val="20"/>
                <w:color w:val="auto"/>
              </w:rPr>
            </w:pPr>
            <w:r>
              <w:rPr>
                <w:rFonts w:ascii="Calibri" w:cs="Calibri" w:eastAsia="Calibri" w:hAnsi="Calibri"/>
                <w:sz w:val="18"/>
                <w:szCs w:val="18"/>
                <w:b w:val="1"/>
                <w:bCs w:val="1"/>
                <w:color w:val="auto"/>
              </w:rPr>
              <w:t>Fiscal 2023</w:t>
            </w:r>
          </w:p>
        </w:tc>
      </w:tr>
      <w:tr>
        <w:trPr>
          <w:trHeight w:val="198"/>
        </w:trPr>
        <w:tc>
          <w:tcPr>
            <w:tcW w:w="6740" w:type="dxa"/>
            <w:vAlign w:val="bottom"/>
            <w:tcBorders>
              <w:left w:val="single" w:sz="8" w:color="auto"/>
            </w:tcBorders>
            <w:gridSpan w:val="3"/>
          </w:tcPr>
          <w:p>
            <w:pPr>
              <w:ind w:left="40"/>
              <w:spacing w:after="0" w:line="198" w:lineRule="exact"/>
              <w:rPr>
                <w:sz w:val="20"/>
                <w:szCs w:val="20"/>
                <w:color w:val="auto"/>
              </w:rPr>
            </w:pPr>
            <w:r>
              <w:rPr>
                <w:rFonts w:ascii="Calibri" w:cs="Calibri" w:eastAsia="Calibri" w:hAnsi="Calibri"/>
                <w:sz w:val="18"/>
                <w:szCs w:val="18"/>
                <w:b w:val="1"/>
                <w:bCs w:val="1"/>
                <w:color w:val="auto"/>
              </w:rPr>
              <w:t>Descripton of Fees</w:t>
            </w:r>
          </w:p>
        </w:tc>
        <w:tc>
          <w:tcPr>
            <w:tcW w:w="1440" w:type="dxa"/>
            <w:vAlign w:val="bottom"/>
          </w:tcPr>
          <w:p>
            <w:pPr>
              <w:jc w:val="right"/>
              <w:ind w:right="10"/>
              <w:spacing w:after="0" w:line="198" w:lineRule="exact"/>
              <w:rPr>
                <w:sz w:val="20"/>
                <w:szCs w:val="20"/>
                <w:color w:val="auto"/>
              </w:rPr>
            </w:pPr>
            <w:r>
              <w:rPr>
                <w:rFonts w:ascii="Calibri" w:cs="Calibri" w:eastAsia="Calibri" w:hAnsi="Calibri"/>
                <w:sz w:val="18"/>
                <w:szCs w:val="18"/>
                <w:b w:val="1"/>
                <w:bCs w:val="1"/>
                <w:color w:val="auto"/>
              </w:rPr>
              <w:t>Amount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Borders>
              <w:right w:val="single" w:sz="8" w:color="auto"/>
            </w:tcBorders>
          </w:tcPr>
          <w:p>
            <w:pPr>
              <w:jc w:val="right"/>
              <w:ind w:right="670"/>
              <w:spacing w:after="0" w:line="198" w:lineRule="exact"/>
              <w:rPr>
                <w:sz w:val="20"/>
                <w:szCs w:val="20"/>
                <w:color w:val="auto"/>
              </w:rPr>
            </w:pPr>
            <w:r>
              <w:rPr>
                <w:rFonts w:ascii="Calibri" w:cs="Calibri" w:eastAsia="Calibri" w:hAnsi="Calibri"/>
                <w:sz w:val="18"/>
                <w:szCs w:val="18"/>
                <w:b w:val="1"/>
                <w:bCs w:val="1"/>
                <w:color w:val="auto"/>
              </w:rPr>
              <w:t>Amount</w:t>
            </w:r>
          </w:p>
        </w:tc>
      </w:tr>
      <w:tr>
        <w:trPr>
          <w:trHeight w:val="34"/>
        </w:trPr>
        <w:tc>
          <w:tcPr>
            <w:tcW w:w="40" w:type="dxa"/>
            <w:vAlign w:val="bottom"/>
            <w:tcBorders>
              <w:left w:val="single" w:sz="8" w:color="auto"/>
              <w:bottom w:val="single" w:sz="8" w:color="B3B3B3"/>
            </w:tcBorders>
          </w:tcPr>
          <w:p>
            <w:pPr>
              <w:spacing w:after="0"/>
              <w:rPr>
                <w:sz w:val="2"/>
                <w:szCs w:val="2"/>
                <w:color w:val="auto"/>
              </w:rPr>
            </w:pPr>
          </w:p>
        </w:tc>
        <w:tc>
          <w:tcPr>
            <w:tcW w:w="1380" w:type="dxa"/>
            <w:vAlign w:val="bottom"/>
            <w:tcBorders>
              <w:top w:val="single" w:sz="8" w:color="auto"/>
              <w:bottom w:val="single" w:sz="8" w:color="B3B3B3"/>
            </w:tcBorders>
          </w:tcPr>
          <w:p>
            <w:pPr>
              <w:spacing w:after="0"/>
              <w:rPr>
                <w:sz w:val="2"/>
                <w:szCs w:val="2"/>
                <w:color w:val="auto"/>
              </w:rPr>
            </w:pPr>
          </w:p>
        </w:tc>
        <w:tc>
          <w:tcPr>
            <w:tcW w:w="5320" w:type="dxa"/>
            <w:vAlign w:val="bottom"/>
            <w:tcBorders>
              <w:bottom w:val="single" w:sz="8" w:color="B3B3B3"/>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223"/>
        </w:trPr>
        <w:tc>
          <w:tcPr>
            <w:tcW w:w="6740" w:type="dxa"/>
            <w:vAlign w:val="bottom"/>
            <w:tcBorders>
              <w:left w:val="single" w:sz="8" w:color="auto"/>
            </w:tcBorders>
            <w:gridSpan w:val="3"/>
            <w:shd w:val="clear" w:color="auto" w:fill="B3B3B3"/>
          </w:tcPr>
          <w:p>
            <w:pPr>
              <w:ind w:left="40"/>
              <w:spacing w:after="0" w:line="195" w:lineRule="exact"/>
              <w:rPr>
                <w:sz w:val="20"/>
                <w:szCs w:val="20"/>
                <w:color w:val="auto"/>
              </w:rPr>
            </w:pPr>
            <w:r>
              <w:rPr>
                <w:rFonts w:ascii="Calibri" w:cs="Calibri" w:eastAsia="Calibri" w:hAnsi="Calibri"/>
                <w:sz w:val="18"/>
                <w:szCs w:val="18"/>
                <w:color w:val="auto"/>
              </w:rPr>
              <w:t>Audit fees</w:t>
            </w:r>
          </w:p>
        </w:tc>
        <w:tc>
          <w:tcPr>
            <w:tcW w:w="1440" w:type="dxa"/>
            <w:vAlign w:val="bottom"/>
            <w:shd w:val="clear" w:color="auto" w:fill="B3B3B3"/>
          </w:tcPr>
          <w:p>
            <w:pPr>
              <w:jc w:val="right"/>
              <w:ind w:right="1250"/>
              <w:spacing w:after="0" w:line="215" w:lineRule="exact"/>
              <w:rPr>
                <w:sz w:val="20"/>
                <w:szCs w:val="20"/>
                <w:color w:val="auto"/>
              </w:rPr>
            </w:pPr>
            <w:r>
              <w:rPr>
                <w:rFonts w:ascii="Calibri" w:cs="Calibri" w:eastAsia="Calibri" w:hAnsi="Calibri"/>
                <w:sz w:val="18"/>
                <w:szCs w:val="18"/>
                <w:color w:val="auto"/>
                <w:w w:val="87"/>
              </w:rPr>
              <w:t>$</w:t>
            </w:r>
          </w:p>
        </w:tc>
        <w:tc>
          <w:tcPr>
            <w:tcW w:w="64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w w:val="94"/>
              </w:rPr>
              <w:t>553,000</w:t>
            </w:r>
          </w:p>
        </w:tc>
        <w:tc>
          <w:tcPr>
            <w:tcW w:w="120" w:type="dxa"/>
            <w:vAlign w:val="bottom"/>
            <w:shd w:val="clear" w:color="auto" w:fill="B3B3B3"/>
          </w:tcPr>
          <w:p>
            <w:pPr>
              <w:spacing w:after="0"/>
              <w:rPr>
                <w:sz w:val="19"/>
                <w:szCs w:val="19"/>
                <w:color w:val="auto"/>
              </w:rPr>
            </w:pPr>
          </w:p>
        </w:tc>
        <w:tc>
          <w:tcPr>
            <w:tcW w:w="380" w:type="dxa"/>
            <w:vAlign w:val="bottom"/>
            <w:shd w:val="clear" w:color="auto" w:fill="B3B3B3"/>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720" w:type="dxa"/>
            <w:vAlign w:val="bottom"/>
            <w:tcBorders>
              <w:right w:val="single" w:sz="8" w:color="auto"/>
            </w:tcBorders>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488,000</w:t>
            </w:r>
          </w:p>
        </w:tc>
      </w:tr>
      <w:tr>
        <w:trPr>
          <w:trHeight w:val="222"/>
        </w:trPr>
        <w:tc>
          <w:tcPr>
            <w:tcW w:w="6740" w:type="dxa"/>
            <w:vAlign w:val="bottom"/>
            <w:tcBorders>
              <w:left w:val="single" w:sz="8" w:color="auto"/>
            </w:tcBorders>
            <w:gridSpan w:val="3"/>
          </w:tcPr>
          <w:p>
            <w:pPr>
              <w:ind w:left="40"/>
              <w:spacing w:after="0" w:line="215" w:lineRule="exact"/>
              <w:rPr>
                <w:sz w:val="20"/>
                <w:szCs w:val="20"/>
                <w:color w:val="auto"/>
              </w:rPr>
            </w:pPr>
            <w:r>
              <w:rPr>
                <w:rFonts w:ascii="Calibri" w:cs="Calibri" w:eastAsia="Calibri" w:hAnsi="Calibri"/>
                <w:sz w:val="18"/>
                <w:szCs w:val="18"/>
                <w:color w:val="auto"/>
              </w:rPr>
              <w:t>Audit-related fees</w:t>
            </w:r>
          </w:p>
        </w:tc>
        <w:tc>
          <w:tcPr>
            <w:tcW w:w="1440" w:type="dxa"/>
            <w:vAlign w:val="bottom"/>
          </w:tcPr>
          <w:p>
            <w:pPr>
              <w:spacing w:after="0"/>
              <w:rPr>
                <w:sz w:val="19"/>
                <w:szCs w:val="19"/>
                <w:color w:val="auto"/>
              </w:rPr>
            </w:pPr>
          </w:p>
        </w:tc>
        <w:tc>
          <w:tcPr>
            <w:tcW w:w="7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Pr>
          <w:p>
            <w:pPr>
              <w:spacing w:after="0"/>
              <w:rPr>
                <w:sz w:val="19"/>
                <w:szCs w:val="19"/>
                <w:color w:val="auto"/>
              </w:rPr>
            </w:pPr>
          </w:p>
        </w:tc>
        <w:tc>
          <w:tcPr>
            <w:tcW w:w="172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6740" w:type="dxa"/>
            <w:vAlign w:val="bottom"/>
            <w:tcBorders>
              <w:left w:val="single" w:sz="8" w:color="auto"/>
            </w:tcBorders>
            <w:gridSpan w:val="3"/>
            <w:shd w:val="clear" w:color="auto" w:fill="B3B3B3"/>
          </w:tcPr>
          <w:p>
            <w:pPr>
              <w:ind w:left="40"/>
              <w:spacing w:after="0"/>
              <w:rPr>
                <w:sz w:val="20"/>
                <w:szCs w:val="20"/>
                <w:color w:val="auto"/>
              </w:rPr>
            </w:pPr>
            <w:r>
              <w:rPr>
                <w:rFonts w:ascii="Calibri" w:cs="Calibri" w:eastAsia="Calibri" w:hAnsi="Calibri"/>
                <w:sz w:val="18"/>
                <w:szCs w:val="18"/>
                <w:color w:val="auto"/>
              </w:rPr>
              <w:t>Tax fees</w:t>
            </w:r>
          </w:p>
        </w:tc>
        <w:tc>
          <w:tcPr>
            <w:tcW w:w="1440" w:type="dxa"/>
            <w:vAlign w:val="bottom"/>
            <w:shd w:val="clear" w:color="auto" w:fill="B3B3B3"/>
          </w:tcPr>
          <w:p>
            <w:pPr>
              <w:spacing w:after="0"/>
              <w:rPr>
                <w:sz w:val="20"/>
                <w:szCs w:val="20"/>
                <w:color w:val="auto"/>
              </w:rPr>
            </w:pPr>
          </w:p>
        </w:tc>
        <w:tc>
          <w:tcPr>
            <w:tcW w:w="760" w:type="dxa"/>
            <w:vAlign w:val="bottom"/>
            <w:gridSpan w:val="2"/>
            <w:shd w:val="clear" w:color="auto" w:fill="B3B3B3"/>
          </w:tcPr>
          <w:p>
            <w:pPr>
              <w:jc w:val="right"/>
              <w:ind w:right="180"/>
              <w:spacing w:after="0"/>
              <w:rPr>
                <w:sz w:val="20"/>
                <w:szCs w:val="20"/>
                <w:color w:val="auto"/>
              </w:rPr>
            </w:pPr>
            <w:r>
              <w:rPr>
                <w:rFonts w:ascii="Calibri" w:cs="Calibri" w:eastAsia="Calibri" w:hAnsi="Calibri"/>
                <w:sz w:val="18"/>
                <w:szCs w:val="18"/>
                <w:color w:val="auto"/>
              </w:rPr>
              <w:t>—</w:t>
            </w:r>
          </w:p>
        </w:tc>
        <w:tc>
          <w:tcPr>
            <w:tcW w:w="380" w:type="dxa"/>
            <w:vAlign w:val="bottom"/>
            <w:shd w:val="clear" w:color="auto" w:fill="B3B3B3"/>
          </w:tcPr>
          <w:p>
            <w:pPr>
              <w:spacing w:after="0"/>
              <w:rPr>
                <w:sz w:val="20"/>
                <w:szCs w:val="20"/>
                <w:color w:val="auto"/>
              </w:rPr>
            </w:pPr>
          </w:p>
        </w:tc>
        <w:tc>
          <w:tcPr>
            <w:tcW w:w="1720" w:type="dxa"/>
            <w:vAlign w:val="bottom"/>
            <w:tcBorders>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w:t>
            </w:r>
          </w:p>
        </w:tc>
      </w:tr>
      <w:tr>
        <w:trPr>
          <w:trHeight w:val="230"/>
        </w:trPr>
        <w:tc>
          <w:tcPr>
            <w:tcW w:w="6740" w:type="dxa"/>
            <w:vAlign w:val="bottom"/>
            <w:tcBorders>
              <w:left w:val="single" w:sz="8" w:color="auto"/>
              <w:bottom w:val="single" w:sz="8" w:color="B3B3B3"/>
            </w:tcBorders>
            <w:gridSpan w:val="3"/>
          </w:tcPr>
          <w:p>
            <w:pPr>
              <w:ind w:left="40"/>
              <w:spacing w:after="0" w:line="230" w:lineRule="exact"/>
              <w:rPr>
                <w:sz w:val="20"/>
                <w:szCs w:val="20"/>
                <w:color w:val="auto"/>
              </w:rPr>
            </w:pPr>
            <w:r>
              <w:rPr>
                <w:rFonts w:ascii="Calibri" w:cs="Calibri" w:eastAsia="Calibri" w:hAnsi="Calibri"/>
                <w:sz w:val="18"/>
                <w:szCs w:val="18"/>
                <w:color w:val="auto"/>
              </w:rPr>
              <w:t xml:space="preserve">All other fees </w:t>
            </w:r>
            <w:r>
              <w:rPr>
                <w:rFonts w:ascii="Calibri" w:cs="Calibri" w:eastAsia="Calibri" w:hAnsi="Calibri"/>
                <w:sz w:val="23"/>
                <w:szCs w:val="23"/>
                <w:color w:val="auto"/>
                <w:vertAlign w:val="superscript"/>
              </w:rPr>
              <w:t>(1)</w:t>
            </w:r>
          </w:p>
        </w:tc>
        <w:tc>
          <w:tcPr>
            <w:tcW w:w="1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94"/>
              </w:rPr>
              <w:t>229,675</w:t>
            </w:r>
          </w:p>
        </w:tc>
        <w:tc>
          <w:tcPr>
            <w:tcW w:w="120" w:type="dxa"/>
            <w:vAlign w:val="bottom"/>
            <w:tcBorders>
              <w:bottom w:val="single" w:sz="8" w:color="B3B3B3"/>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31,950</w:t>
            </w:r>
          </w:p>
        </w:tc>
      </w:tr>
      <w:tr>
        <w:trPr>
          <w:trHeight w:val="217"/>
        </w:trPr>
        <w:tc>
          <w:tcPr>
            <w:tcW w:w="40" w:type="dxa"/>
            <w:vAlign w:val="bottom"/>
            <w:tcBorders>
              <w:left w:val="single" w:sz="8" w:color="auto"/>
              <w:bottom w:val="single" w:sz="8" w:color="auto"/>
            </w:tcBorders>
            <w:shd w:val="clear" w:color="auto" w:fill="B3B3B3"/>
          </w:tcPr>
          <w:p>
            <w:pPr>
              <w:spacing w:after="0"/>
              <w:rPr>
                <w:sz w:val="18"/>
                <w:szCs w:val="18"/>
                <w:color w:val="auto"/>
              </w:rPr>
            </w:pPr>
          </w:p>
        </w:tc>
        <w:tc>
          <w:tcPr>
            <w:tcW w:w="6700" w:type="dxa"/>
            <w:vAlign w:val="bottom"/>
            <w:tcBorders>
              <w:bottom w:val="single" w:sz="8" w:color="auto"/>
            </w:tcBorders>
            <w:gridSpan w:val="2"/>
            <w:shd w:val="clear" w:color="auto" w:fill="B3B3B3"/>
          </w:tcPr>
          <w:p>
            <w:pPr>
              <w:ind w:left="320"/>
              <w:spacing w:after="0" w:line="195" w:lineRule="exact"/>
              <w:rPr>
                <w:sz w:val="20"/>
                <w:szCs w:val="20"/>
                <w:color w:val="auto"/>
              </w:rPr>
            </w:pPr>
            <w:r>
              <w:rPr>
                <w:rFonts w:ascii="Calibri" w:cs="Calibri" w:eastAsia="Calibri" w:hAnsi="Calibri"/>
                <w:sz w:val="18"/>
                <w:szCs w:val="18"/>
                <w:color w:val="auto"/>
              </w:rPr>
              <w:t>Total</w:t>
            </w:r>
          </w:p>
        </w:tc>
        <w:tc>
          <w:tcPr>
            <w:tcW w:w="1440" w:type="dxa"/>
            <w:vAlign w:val="bottom"/>
            <w:tcBorders>
              <w:bottom w:val="single" w:sz="8" w:color="auto"/>
            </w:tcBorders>
            <w:shd w:val="clear" w:color="auto" w:fill="B3B3B3"/>
          </w:tcPr>
          <w:p>
            <w:pPr>
              <w:jc w:val="right"/>
              <w:ind w:right="1250"/>
              <w:spacing w:after="0" w:line="215" w:lineRule="exact"/>
              <w:rPr>
                <w:sz w:val="20"/>
                <w:szCs w:val="20"/>
                <w:color w:val="auto"/>
              </w:rPr>
            </w:pPr>
            <w:r>
              <w:rPr>
                <w:rFonts w:ascii="Calibri" w:cs="Calibri" w:eastAsia="Calibri" w:hAnsi="Calibri"/>
                <w:sz w:val="18"/>
                <w:szCs w:val="18"/>
                <w:color w:val="auto"/>
                <w:w w:val="87"/>
              </w:rPr>
              <w:t>$</w:t>
            </w:r>
          </w:p>
        </w:tc>
        <w:tc>
          <w:tcPr>
            <w:tcW w:w="640" w:type="dxa"/>
            <w:vAlign w:val="bottom"/>
            <w:tcBorders>
              <w:bottom w:val="single" w:sz="8" w:color="auto"/>
            </w:tcBorders>
            <w:shd w:val="clear" w:color="auto" w:fill="B3B3B3"/>
          </w:tcPr>
          <w:p>
            <w:pPr>
              <w:jc w:val="right"/>
              <w:spacing w:after="0" w:line="215" w:lineRule="exact"/>
              <w:rPr>
                <w:sz w:val="20"/>
                <w:szCs w:val="20"/>
                <w:color w:val="auto"/>
              </w:rPr>
            </w:pPr>
            <w:r>
              <w:rPr>
                <w:rFonts w:ascii="Calibri" w:cs="Calibri" w:eastAsia="Calibri" w:hAnsi="Calibri"/>
                <w:sz w:val="18"/>
                <w:szCs w:val="18"/>
                <w:color w:val="auto"/>
                <w:w w:val="94"/>
              </w:rPr>
              <w:t>782,675</w:t>
            </w:r>
          </w:p>
        </w:tc>
        <w:tc>
          <w:tcPr>
            <w:tcW w:w="120" w:type="dxa"/>
            <w:vAlign w:val="bottom"/>
            <w:tcBorders>
              <w:bottom w:val="single" w:sz="8" w:color="auto"/>
            </w:tcBorders>
            <w:shd w:val="clear" w:color="auto" w:fill="B3B3B3"/>
          </w:tcPr>
          <w:p>
            <w:pPr>
              <w:spacing w:after="0"/>
              <w:rPr>
                <w:sz w:val="18"/>
                <w:szCs w:val="18"/>
                <w:color w:val="auto"/>
              </w:rPr>
            </w:pPr>
          </w:p>
        </w:tc>
        <w:tc>
          <w:tcPr>
            <w:tcW w:w="380" w:type="dxa"/>
            <w:vAlign w:val="bottom"/>
            <w:tcBorders>
              <w:bottom w:val="single" w:sz="8" w:color="auto"/>
            </w:tcBorders>
            <w:shd w:val="clear" w:color="auto" w:fill="B3B3B3"/>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720" w:type="dxa"/>
            <w:vAlign w:val="bottom"/>
            <w:tcBorders>
              <w:bottom w:val="single" w:sz="8" w:color="auto"/>
              <w:right w:val="single" w:sz="8" w:color="auto"/>
            </w:tcBorders>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519,950</w:t>
            </w:r>
          </w:p>
        </w:tc>
      </w:tr>
    </w:tbl>
    <w:p>
      <w:pPr>
        <w:spacing w:after="0" w:line="182" w:lineRule="exact"/>
        <w:rPr>
          <w:sz w:val="20"/>
          <w:szCs w:val="20"/>
          <w:color w:val="auto"/>
        </w:rPr>
      </w:pPr>
    </w:p>
    <w:p>
      <w:pPr>
        <w:spacing w:after="0"/>
        <w:rPr>
          <w:sz w:val="20"/>
          <w:szCs w:val="20"/>
          <w:color w:val="auto"/>
        </w:rPr>
      </w:pPr>
      <w:r>
        <w:rPr>
          <w:rFonts w:ascii="Calibri" w:cs="Calibri" w:eastAsia="Calibri" w:hAnsi="Calibri"/>
          <w:sz w:val="16"/>
          <w:szCs w:val="16"/>
          <w:color w:val="auto"/>
        </w:rPr>
        <w:t>(1) - These fees relate to due diligence performed on acquisitons in fscal 2024 and audits of employee beneft plans.</w:t>
      </w:r>
    </w:p>
    <w:p>
      <w:pPr>
        <w:spacing w:after="0" w:line="28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Audit Commitee’s current practce on pre-approval of services performed by our independent registered public accountng frm is to approve annually all audit services, as well as the nature and extent of specifc types of audit-related, tax and other non-audit services to be provided by the independent registered public accountng frm during the year. The Audit Commitee reviews each non-audit service to be provided and assesses the impact of the service on the auditors’ independence. As the need arises, other specifc permited services are pre-approved on a case-by-case basis during the year. The Audit Commitee has delegated to its chair pre-approval authority between meetngs of the Audit Commitee. Any pre-approvals made by the chair must be reported to the Audit Commitee.</w:t>
      </w:r>
    </w:p>
    <w:p>
      <w:pPr>
        <w:spacing w:after="0" w:line="24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Representatves of Grant Thornton are expected to atend the Annual Meetng and will have the opportunity to make a statement if they desire to do so. They are expected to be available to respond to appropriate questons.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spacing w:after="0"/>
        <w:rPr>
          <w:sz w:val="20"/>
          <w:szCs w:val="20"/>
          <w:color w:val="auto"/>
        </w:rPr>
      </w:pPr>
      <w:r>
        <w:rPr>
          <w:rFonts w:ascii="Calibri" w:cs="Calibri" w:eastAsia="Calibri" w:hAnsi="Calibri"/>
          <w:sz w:val="25"/>
          <w:szCs w:val="25"/>
          <w:b w:val="1"/>
          <w:bCs w:val="1"/>
          <w:color w:val="auto"/>
        </w:rPr>
        <w:t>COMPENSATION OF EXECUTIVE OFFICERS AND DIRECTORS</w:t>
      </w:r>
    </w:p>
    <w:p>
      <w:pPr>
        <w:spacing w:after="0" w:line="23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Compensaton Discussion and Analysis</w:t>
      </w:r>
    </w:p>
    <w:p>
      <w:pPr>
        <w:spacing w:after="0" w:line="126"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The following discussion and analysis describes our compensaton objectves and policies and the compensaton awarded to the following executve ofcers (our “named executve ofcers”) during fscal 2024:</w:t>
      </w:r>
    </w:p>
    <w:p>
      <w:pPr>
        <w:spacing w:after="0" w:line="78" w:lineRule="exact"/>
        <w:rPr>
          <w:sz w:val="20"/>
          <w:szCs w:val="20"/>
          <w:color w:val="auto"/>
        </w:rPr>
      </w:pPr>
    </w:p>
    <w:p>
      <w:pPr>
        <w:ind w:left="720" w:hanging="307"/>
        <w:spacing w:after="0"/>
        <w:tabs>
          <w:tab w:leader="none" w:pos="72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Patrick H. Hawkins, Chief Executve Ofcer and President;</w:t>
      </w:r>
    </w:p>
    <w:p>
      <w:pPr>
        <w:spacing w:after="0" w:line="90" w:lineRule="exact"/>
        <w:rPr>
          <w:rFonts w:ascii="Calibri" w:cs="Calibri" w:eastAsia="Calibri" w:hAnsi="Calibri"/>
          <w:sz w:val="18"/>
          <w:szCs w:val="18"/>
          <w:color w:val="auto"/>
        </w:rPr>
      </w:pPr>
    </w:p>
    <w:p>
      <w:pPr>
        <w:ind w:left="720" w:hanging="307"/>
        <w:spacing w:after="0"/>
        <w:tabs>
          <w:tab w:leader="none" w:pos="72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Jefrey P. Oldenkamp, Executve Vice President, Chief Financial Ofcer and Treasurer;</w:t>
      </w:r>
    </w:p>
    <w:p>
      <w:pPr>
        <w:spacing w:after="0" w:line="90" w:lineRule="exact"/>
        <w:rPr>
          <w:rFonts w:ascii="Calibri" w:cs="Calibri" w:eastAsia="Calibri" w:hAnsi="Calibri"/>
          <w:sz w:val="18"/>
          <w:szCs w:val="18"/>
          <w:color w:val="auto"/>
        </w:rPr>
      </w:pPr>
    </w:p>
    <w:p>
      <w:pPr>
        <w:ind w:left="720" w:hanging="307"/>
        <w:spacing w:after="0"/>
        <w:tabs>
          <w:tab w:leader="none" w:pos="72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Drew M. Grahek, Vice President - Operatons;</w:t>
      </w:r>
    </w:p>
    <w:p>
      <w:pPr>
        <w:spacing w:after="0" w:line="77" w:lineRule="exact"/>
        <w:rPr>
          <w:rFonts w:ascii="Calibri" w:cs="Calibri" w:eastAsia="Calibri" w:hAnsi="Calibri"/>
          <w:sz w:val="18"/>
          <w:szCs w:val="18"/>
          <w:color w:val="auto"/>
        </w:rPr>
      </w:pPr>
    </w:p>
    <w:p>
      <w:pPr>
        <w:ind w:left="720" w:hanging="307"/>
        <w:spacing w:after="0"/>
        <w:tabs>
          <w:tab w:leader="none" w:pos="72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Richard G. Erstad, Vice President, General Counsel and Secretary; and,</w:t>
      </w:r>
    </w:p>
    <w:p>
      <w:pPr>
        <w:spacing w:after="0" w:line="90" w:lineRule="exact"/>
        <w:rPr>
          <w:rFonts w:ascii="Calibri" w:cs="Calibri" w:eastAsia="Calibri" w:hAnsi="Calibri"/>
          <w:sz w:val="18"/>
          <w:szCs w:val="18"/>
          <w:color w:val="auto"/>
        </w:rPr>
      </w:pPr>
    </w:p>
    <w:p>
      <w:pPr>
        <w:ind w:left="720" w:hanging="307"/>
        <w:spacing w:after="0"/>
        <w:tabs>
          <w:tab w:leader="none" w:pos="72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Douglas A. Lange, Vice President - Water Treatment.</w:t>
      </w:r>
    </w:p>
    <w:p>
      <w:pPr>
        <w:spacing w:after="0" w:line="340"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Overview</w:t>
      </w:r>
    </w:p>
    <w:p>
      <w:pPr>
        <w:spacing w:after="0" w:line="10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Our executve compensaton program is designed to atract and retain executves who will lead our company to achieve long-term success and growth in shareholder value. Consistent with that goal, our executve compensaton program is based on company, business unit and individual performance to align the interests of our executve ofcers with those of our shareholders and is used to encourage our executve ofcers to stay with the company. Our executve compensaton program currently includes a mix of elements that rewards current results as well as motvates long-term performance through an appropriate balance of base pay and performance-based variable compensaton. Our performance-based variable compensaton consists of a short-term component that provides incentves relatve to superior current business results as well as personal performance, and a long-term incentve plan that motvates long-term performance and aligns business objectves with the interests of our shareholders. During fscal 2024, the compensaton commitee did not make any signifcant changes to its executve compensaton policies or to the structure of our executve compensaton program, having taken into account, among other things, the fact that the holders of over 94% of the shares voted at our last annual meetng of shareholders approved, on an advisory basis, the compensaton of our named executve ofcers as disclosed in the proxy statement for that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143500" cy="1714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Performance Measures</w:t>
      </w:r>
    </w:p>
    <w:p>
      <w:pPr>
        <w:spacing w:after="0" w:line="254"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For all named executve ofcers except for Mr. Lange, the sole performance measure for fscal 2024 for purposes of both the non-equity and equity-based incentve arrangements was income before income taxes. Because actual performance exceeded the maximum performance level, our named executve ofcers received payouts of 200% of the targeted payout level under the corporate performance measure of our annual non-equity incentve compensaton arrangement. In additon, all of the named executve ofcers, including Mr. Lange, earned 150% of the targeted number of shares of restricted stock issuable in setlement of the performance-based restricted stock units granted for fscal 2024, as described below.</w:t>
      </w:r>
    </w:p>
    <w:p>
      <w:pPr>
        <w:spacing w:after="0" w:line="24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For Mr. Lange, our Vice President - Water Treatment, 50% of his incentve arrangement was the same measure of income before income taxes. Because he is in charge of a segment, the performance measure for the remaining 50% of his incentve arrangement was an operatonal performance measure, of which gross proft is a component. The vice presidents of our other two segments have similar operatonal performance measures. Gross proft for our Water Treatment segment was $98.5 million for fscal 2024. The Compensaton Commitee utlized an operatonal measure of business unit proftability, which includes gross proft as a component of that proftability measure, as the performance measure for the business unit performance porton of the non-equity incentve compensaton arrangement for Mr. Lange. The actual performance against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6" w:name="page17"/>
    <w:bookmarkEnd w:id="16"/>
    <w:p>
      <w:pPr>
        <w:ind w:right="160"/>
        <w:spacing w:after="0" w:line="235" w:lineRule="auto"/>
        <w:rPr>
          <w:sz w:val="20"/>
          <w:szCs w:val="20"/>
          <w:color w:val="auto"/>
        </w:rPr>
      </w:pPr>
      <w:r>
        <w:rPr>
          <w:rFonts w:ascii="Calibri" w:cs="Calibri" w:eastAsia="Calibri" w:hAnsi="Calibri"/>
          <w:sz w:val="18"/>
          <w:szCs w:val="18"/>
          <w:color w:val="auto"/>
        </w:rPr>
        <w:t>that operatng measure was above the maximum performance level for the Water Treatment segment, and as a result Mr. Lange received a payout equal to 200% of target under the business unit performance measure of our annual non-equity incentve compensaton arrangement.</w:t>
      </w:r>
    </w:p>
    <w:p>
      <w:pPr>
        <w:spacing w:after="0" w:line="297"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2024 </w:t>
      </w:r>
      <w:r>
        <w:rPr>
          <w:rFonts w:ascii="Calibri" w:cs="Calibri" w:eastAsia="Calibri" w:hAnsi="Calibri"/>
          <w:sz w:val="19"/>
          <w:szCs w:val="19"/>
          <w:i w:val="1"/>
          <w:iCs w:val="1"/>
          <w:color w:val="auto"/>
        </w:rPr>
        <w:t>Performance Goals for Annual Non-Equity and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098030" cy="1560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1560195"/>
                    </a:xfrm>
                    <a:prstGeom prst="rect">
                      <a:avLst/>
                    </a:prstGeom>
                    <a:noFill/>
                  </pic:spPr>
                </pic:pic>
              </a:graphicData>
            </a:graphic>
          </wp:anchor>
        </w:drawing>
      </w:r>
    </w:p>
    <w:p>
      <w:pPr>
        <w:spacing w:after="0" w:line="34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Fiscal 2024 Performance-Based Compensaton Goals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160" w:type="dxa"/>
            <w:vAlign w:val="bottom"/>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Calibri" w:cs="Calibri" w:eastAsia="Calibri" w:hAnsi="Calibri"/>
                <w:sz w:val="22"/>
                <w:szCs w:val="22"/>
                <w:b w:val="1"/>
                <w:bCs w:val="1"/>
                <w:color w:val="FFFFFF"/>
                <w:w w:val="96"/>
              </w:rPr>
              <w:t>Target Performance</w:t>
            </w:r>
          </w:p>
        </w:tc>
        <w:tc>
          <w:tcPr>
            <w:tcW w:w="1800" w:type="dxa"/>
            <w:vAlign w:val="bottom"/>
            <w:tcBorders>
              <w:right w:val="single" w:sz="8" w:color="auto"/>
            </w:tcBorders>
            <w:vMerge w:val="restart"/>
            <w:shd w:val="clear" w:color="auto" w:fill="000000"/>
          </w:tcPr>
          <w:p>
            <w:pPr>
              <w:jc w:val="center"/>
              <w:spacing w:after="0"/>
              <w:rPr>
                <w:sz w:val="20"/>
                <w:szCs w:val="20"/>
                <w:color w:val="auto"/>
              </w:rPr>
            </w:pPr>
            <w:r>
              <w:rPr>
                <w:rFonts w:ascii="Calibri" w:cs="Calibri" w:eastAsia="Calibri" w:hAnsi="Calibri"/>
                <w:sz w:val="22"/>
                <w:szCs w:val="22"/>
                <w:b w:val="1"/>
                <w:bCs w:val="1"/>
                <w:color w:val="FFFFFF"/>
                <w:w w:val="99"/>
              </w:rPr>
              <w:t>Actual</w:t>
            </w: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Calibri" w:cs="Calibri" w:eastAsia="Calibri" w:hAnsi="Calibri"/>
                <w:sz w:val="22"/>
                <w:szCs w:val="22"/>
                <w:b w:val="1"/>
                <w:bCs w:val="1"/>
                <w:color w:val="FFFFFF"/>
                <w:w w:val="98"/>
              </w:rPr>
              <w:t>Percentage of</w:t>
            </w:r>
          </w:p>
        </w:tc>
        <w:tc>
          <w:tcPr>
            <w:tcW w:w="1500" w:type="dxa"/>
            <w:vAlign w:val="bottom"/>
            <w:vMerge w:val="restart"/>
            <w:shd w:val="clear" w:color="auto" w:fill="000000"/>
          </w:tcPr>
          <w:p>
            <w:pPr>
              <w:jc w:val="center"/>
              <w:spacing w:after="0"/>
              <w:rPr>
                <w:sz w:val="20"/>
                <w:szCs w:val="20"/>
                <w:color w:val="auto"/>
              </w:rPr>
            </w:pPr>
            <w:r>
              <w:rPr>
                <w:rFonts w:ascii="Calibri" w:cs="Calibri" w:eastAsia="Calibri" w:hAnsi="Calibri"/>
                <w:sz w:val="22"/>
                <w:szCs w:val="22"/>
                <w:b w:val="1"/>
                <w:bCs w:val="1"/>
                <w:color w:val="FFFFFF"/>
                <w:w w:val="98"/>
              </w:rPr>
              <w:t>Percentage of</w:t>
            </w:r>
          </w:p>
        </w:tc>
        <w:tc>
          <w:tcPr>
            <w:tcW w:w="0" w:type="dxa"/>
            <w:vAlign w:val="bottom"/>
          </w:tcPr>
          <w:p>
            <w:pPr>
              <w:spacing w:after="0" w:line="20" w:lineRule="exact"/>
              <w:rPr>
                <w:sz w:val="1"/>
                <w:szCs w:val="1"/>
                <w:color w:val="auto"/>
              </w:rPr>
            </w:pPr>
          </w:p>
        </w:tc>
      </w:tr>
      <w:tr>
        <w:trPr>
          <w:trHeight w:val="249"/>
        </w:trPr>
        <w:tc>
          <w:tcPr>
            <w:tcW w:w="2160" w:type="dxa"/>
            <w:vAlign w:val="bottom"/>
            <w:shd w:val="clear" w:color="auto" w:fill="000000"/>
          </w:tcPr>
          <w:p>
            <w:pPr>
              <w:spacing w:after="0"/>
              <w:rPr>
                <w:sz w:val="21"/>
                <w:szCs w:val="21"/>
                <w:color w:val="auto"/>
              </w:rPr>
            </w:pPr>
          </w:p>
        </w:tc>
        <w:tc>
          <w:tcPr>
            <w:tcW w:w="2180" w:type="dxa"/>
            <w:vAlign w:val="bottom"/>
            <w:tcBorders>
              <w:right w:val="single" w:sz="8" w:color="auto"/>
            </w:tcBorders>
            <w:shd w:val="clear" w:color="auto" w:fill="000000"/>
          </w:tcPr>
          <w:p>
            <w:pPr>
              <w:spacing w:after="0"/>
              <w:rPr>
                <w:sz w:val="21"/>
                <w:szCs w:val="21"/>
                <w:color w:val="auto"/>
              </w:rPr>
            </w:pPr>
          </w:p>
        </w:tc>
        <w:tc>
          <w:tcPr>
            <w:tcW w:w="1880" w:type="dxa"/>
            <w:vAlign w:val="bottom"/>
            <w:tcBorders>
              <w:right w:val="single" w:sz="8" w:color="auto"/>
            </w:tcBorders>
            <w:vMerge w:val="continue"/>
            <w:shd w:val="clear" w:color="auto" w:fill="000000"/>
          </w:tcPr>
          <w:p>
            <w:pPr>
              <w:spacing w:after="0"/>
              <w:rPr>
                <w:sz w:val="21"/>
                <w:szCs w:val="21"/>
                <w:color w:val="auto"/>
              </w:rPr>
            </w:pPr>
          </w:p>
        </w:tc>
        <w:tc>
          <w:tcPr>
            <w:tcW w:w="1800" w:type="dxa"/>
            <w:vAlign w:val="bottom"/>
            <w:tcBorders>
              <w:right w:val="single" w:sz="8" w:color="auto"/>
            </w:tcBorders>
            <w:vMerge w:val="continue"/>
            <w:shd w:val="clear" w:color="auto" w:fill="000000"/>
          </w:tcPr>
          <w:p>
            <w:pPr>
              <w:spacing w:after="0"/>
              <w:rPr>
                <w:sz w:val="21"/>
                <w:szCs w:val="21"/>
                <w:color w:val="auto"/>
              </w:rPr>
            </w:pPr>
          </w:p>
        </w:tc>
        <w:tc>
          <w:tcPr>
            <w:tcW w:w="1660" w:type="dxa"/>
            <w:vAlign w:val="bottom"/>
            <w:tcBorders>
              <w:right w:val="single" w:sz="8" w:color="auto"/>
            </w:tcBorders>
            <w:vMerge w:val="continue"/>
            <w:shd w:val="clear" w:color="auto" w:fill="000000"/>
          </w:tcPr>
          <w:p>
            <w:pPr>
              <w:spacing w:after="0"/>
              <w:rPr>
                <w:sz w:val="21"/>
                <w:szCs w:val="21"/>
                <w:color w:val="auto"/>
              </w:rPr>
            </w:pPr>
          </w:p>
        </w:tc>
        <w:tc>
          <w:tcPr>
            <w:tcW w:w="1500" w:type="dxa"/>
            <w:vAlign w:val="bottom"/>
            <w:vMerge w:val="continue"/>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160" w:type="dxa"/>
            <w:vAlign w:val="bottom"/>
            <w:shd w:val="clear" w:color="auto" w:fill="000000"/>
          </w:tcPr>
          <w:p>
            <w:pPr>
              <w:spacing w:after="0"/>
              <w:rPr>
                <w:sz w:val="10"/>
                <w:szCs w:val="10"/>
                <w:color w:val="auto"/>
              </w:rPr>
            </w:pPr>
          </w:p>
        </w:tc>
        <w:tc>
          <w:tcPr>
            <w:tcW w:w="2180" w:type="dxa"/>
            <w:vAlign w:val="bottom"/>
            <w:tcBorders>
              <w:right w:val="single" w:sz="8" w:color="auto"/>
            </w:tcBorders>
            <w:shd w:val="clear" w:color="auto" w:fill="000000"/>
          </w:tcPr>
          <w:p>
            <w:pPr>
              <w:spacing w:after="0"/>
              <w:rPr>
                <w:sz w:val="10"/>
                <w:szCs w:val="10"/>
                <w:color w:val="auto"/>
              </w:rPr>
            </w:pPr>
          </w:p>
        </w:tc>
        <w:tc>
          <w:tcPr>
            <w:tcW w:w="1880" w:type="dxa"/>
            <w:vAlign w:val="bottom"/>
            <w:tcBorders>
              <w:right w:val="single" w:sz="8" w:color="auto"/>
            </w:tcBorders>
            <w:vMerge w:val="continue"/>
            <w:shd w:val="clear" w:color="auto" w:fill="000000"/>
          </w:tcPr>
          <w:p>
            <w:pPr>
              <w:spacing w:after="0"/>
              <w:rPr>
                <w:sz w:val="10"/>
                <w:szCs w:val="10"/>
                <w:color w:val="auto"/>
              </w:rPr>
            </w:pPr>
          </w:p>
        </w:tc>
        <w:tc>
          <w:tcPr>
            <w:tcW w:w="1800" w:type="dxa"/>
            <w:vAlign w:val="bottom"/>
            <w:tcBorders>
              <w:right w:val="single" w:sz="8" w:color="auto"/>
            </w:tcBorders>
            <w:vMerge w:val="continue"/>
            <w:shd w:val="clear" w:color="auto" w:fill="000000"/>
          </w:tcPr>
          <w:p>
            <w:pPr>
              <w:spacing w:after="0"/>
              <w:rPr>
                <w:sz w:val="10"/>
                <w:szCs w:val="10"/>
                <w:color w:val="auto"/>
              </w:rPr>
            </w:pPr>
          </w:p>
        </w:tc>
        <w:tc>
          <w:tcPr>
            <w:tcW w:w="1660" w:type="dxa"/>
            <w:vAlign w:val="bottom"/>
            <w:tcBorders>
              <w:right w:val="single" w:sz="8" w:color="auto"/>
            </w:tcBorders>
            <w:vMerge w:val="restart"/>
            <w:shd w:val="clear" w:color="auto" w:fill="000000"/>
          </w:tcPr>
          <w:p>
            <w:pPr>
              <w:jc w:val="center"/>
              <w:spacing w:after="0" w:line="256" w:lineRule="exact"/>
              <w:rPr>
                <w:sz w:val="20"/>
                <w:szCs w:val="20"/>
                <w:color w:val="auto"/>
              </w:rPr>
            </w:pPr>
            <w:r>
              <w:rPr>
                <w:rFonts w:ascii="Calibri" w:cs="Calibri" w:eastAsia="Calibri" w:hAnsi="Calibri"/>
                <w:sz w:val="22"/>
                <w:szCs w:val="22"/>
                <w:b w:val="1"/>
                <w:bCs w:val="1"/>
                <w:color w:val="FFFFFF"/>
                <w:w w:val="95"/>
              </w:rPr>
              <w:t>Targeted Non-</w:t>
            </w:r>
          </w:p>
        </w:tc>
        <w:tc>
          <w:tcPr>
            <w:tcW w:w="1500" w:type="dxa"/>
            <w:vAlign w:val="bottom"/>
            <w:vMerge w:val="restart"/>
            <w:shd w:val="clear" w:color="auto" w:fill="000000"/>
          </w:tcPr>
          <w:p>
            <w:pPr>
              <w:jc w:val="center"/>
              <w:spacing w:after="0" w:line="256" w:lineRule="exact"/>
              <w:rPr>
                <w:sz w:val="20"/>
                <w:szCs w:val="20"/>
                <w:color w:val="auto"/>
              </w:rPr>
            </w:pPr>
            <w:r>
              <w:rPr>
                <w:rFonts w:ascii="Calibri" w:cs="Calibri" w:eastAsia="Calibri" w:hAnsi="Calibri"/>
                <w:sz w:val="22"/>
                <w:szCs w:val="22"/>
                <w:b w:val="1"/>
                <w:bCs w:val="1"/>
                <w:color w:val="FFFFFF"/>
                <w:w w:val="95"/>
              </w:rPr>
              <w:t>Targeted</w:t>
            </w:r>
          </w:p>
        </w:tc>
        <w:tc>
          <w:tcPr>
            <w:tcW w:w="0" w:type="dxa"/>
            <w:vAlign w:val="bottom"/>
          </w:tcPr>
          <w:p>
            <w:pPr>
              <w:spacing w:after="0"/>
              <w:rPr>
                <w:sz w:val="1"/>
                <w:szCs w:val="1"/>
                <w:color w:val="auto"/>
              </w:rPr>
            </w:pPr>
          </w:p>
        </w:tc>
      </w:tr>
      <w:tr>
        <w:trPr>
          <w:trHeight w:val="134"/>
        </w:trPr>
        <w:tc>
          <w:tcPr>
            <w:tcW w:w="4340" w:type="dxa"/>
            <w:vAlign w:val="bottom"/>
            <w:tcBorders>
              <w:right w:val="single" w:sz="8" w:color="auto"/>
            </w:tcBorders>
            <w:gridSpan w:val="2"/>
            <w:vMerge w:val="restart"/>
            <w:shd w:val="clear" w:color="auto" w:fill="000000"/>
          </w:tcPr>
          <w:p>
            <w:pPr>
              <w:ind w:left="1180"/>
              <w:spacing w:after="0" w:line="257" w:lineRule="exact"/>
              <w:rPr>
                <w:sz w:val="20"/>
                <w:szCs w:val="20"/>
                <w:color w:val="auto"/>
              </w:rPr>
            </w:pPr>
            <w:r>
              <w:rPr>
                <w:rFonts w:ascii="Calibri" w:cs="Calibri" w:eastAsia="Calibri" w:hAnsi="Calibri"/>
                <w:sz w:val="22"/>
                <w:szCs w:val="22"/>
                <w:b w:val="1"/>
                <w:bCs w:val="1"/>
                <w:color w:val="FFFFFF"/>
              </w:rPr>
              <w:t>Performance Measure</w:t>
            </w:r>
          </w:p>
        </w:tc>
        <w:tc>
          <w:tcPr>
            <w:tcW w:w="1880" w:type="dxa"/>
            <w:vAlign w:val="bottom"/>
            <w:tcBorders>
              <w:right w:val="single" w:sz="8" w:color="auto"/>
            </w:tcBorders>
            <w:vMerge w:val="restart"/>
            <w:shd w:val="clear" w:color="auto" w:fill="000000"/>
          </w:tcPr>
          <w:p>
            <w:pPr>
              <w:jc w:val="center"/>
              <w:spacing w:after="0" w:line="257" w:lineRule="exact"/>
              <w:rPr>
                <w:sz w:val="20"/>
                <w:szCs w:val="20"/>
                <w:color w:val="auto"/>
              </w:rPr>
            </w:pPr>
            <w:r>
              <w:rPr>
                <w:rFonts w:ascii="Calibri" w:cs="Calibri" w:eastAsia="Calibri" w:hAnsi="Calibri"/>
                <w:sz w:val="22"/>
                <w:szCs w:val="22"/>
                <w:b w:val="1"/>
                <w:bCs w:val="1"/>
                <w:color w:val="FFFFFF"/>
                <w:w w:val="97"/>
              </w:rPr>
              <w:t>Level</w:t>
            </w:r>
          </w:p>
        </w:tc>
        <w:tc>
          <w:tcPr>
            <w:tcW w:w="1800" w:type="dxa"/>
            <w:vAlign w:val="bottom"/>
            <w:tcBorders>
              <w:right w:val="single" w:sz="8" w:color="auto"/>
            </w:tcBorders>
            <w:vMerge w:val="restart"/>
            <w:shd w:val="clear" w:color="auto" w:fill="000000"/>
          </w:tcPr>
          <w:p>
            <w:pPr>
              <w:jc w:val="center"/>
              <w:spacing w:after="0" w:line="257" w:lineRule="exact"/>
              <w:rPr>
                <w:sz w:val="20"/>
                <w:szCs w:val="20"/>
                <w:color w:val="auto"/>
              </w:rPr>
            </w:pPr>
            <w:r>
              <w:rPr>
                <w:rFonts w:ascii="Calibri" w:cs="Calibri" w:eastAsia="Calibri" w:hAnsi="Calibri"/>
                <w:sz w:val="22"/>
                <w:szCs w:val="22"/>
                <w:b w:val="1"/>
                <w:bCs w:val="1"/>
                <w:color w:val="FFFFFF"/>
                <w:w w:val="96"/>
              </w:rPr>
              <w:t>Performance</w:t>
            </w:r>
          </w:p>
        </w:tc>
        <w:tc>
          <w:tcPr>
            <w:tcW w:w="1660" w:type="dxa"/>
            <w:vAlign w:val="bottom"/>
            <w:tcBorders>
              <w:right w:val="single" w:sz="8" w:color="auto"/>
            </w:tcBorders>
            <w:vMerge w:val="continue"/>
            <w:shd w:val="clear" w:color="auto" w:fill="000000"/>
          </w:tcPr>
          <w:p>
            <w:pPr>
              <w:spacing w:after="0"/>
              <w:rPr>
                <w:sz w:val="11"/>
                <w:szCs w:val="11"/>
                <w:color w:val="auto"/>
              </w:rPr>
            </w:pPr>
          </w:p>
        </w:tc>
        <w:tc>
          <w:tcPr>
            <w:tcW w:w="150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340" w:type="dxa"/>
            <w:vAlign w:val="bottom"/>
            <w:tcBorders>
              <w:right w:val="single" w:sz="8" w:color="auto"/>
            </w:tcBorders>
            <w:gridSpan w:val="2"/>
            <w:vMerge w:val="continue"/>
            <w:shd w:val="clear" w:color="auto" w:fill="000000"/>
          </w:tcPr>
          <w:p>
            <w:pPr>
              <w:spacing w:after="0"/>
              <w:rPr>
                <w:sz w:val="10"/>
                <w:szCs w:val="10"/>
                <w:color w:val="auto"/>
              </w:rPr>
            </w:pPr>
          </w:p>
        </w:tc>
        <w:tc>
          <w:tcPr>
            <w:tcW w:w="1880" w:type="dxa"/>
            <w:vAlign w:val="bottom"/>
            <w:tcBorders>
              <w:right w:val="single" w:sz="8" w:color="auto"/>
            </w:tcBorders>
            <w:vMerge w:val="continue"/>
            <w:shd w:val="clear" w:color="auto" w:fill="000000"/>
          </w:tcPr>
          <w:p>
            <w:pPr>
              <w:spacing w:after="0"/>
              <w:rPr>
                <w:sz w:val="10"/>
                <w:szCs w:val="10"/>
                <w:color w:val="auto"/>
              </w:rPr>
            </w:pPr>
          </w:p>
        </w:tc>
        <w:tc>
          <w:tcPr>
            <w:tcW w:w="1800" w:type="dxa"/>
            <w:vAlign w:val="bottom"/>
            <w:tcBorders>
              <w:right w:val="single" w:sz="8" w:color="auto"/>
            </w:tcBorders>
            <w:vMerge w:val="continue"/>
            <w:shd w:val="clear" w:color="auto" w:fill="000000"/>
          </w:tcPr>
          <w:p>
            <w:pPr>
              <w:spacing w:after="0"/>
              <w:rPr>
                <w:sz w:val="10"/>
                <w:szCs w:val="10"/>
                <w:color w:val="auto"/>
              </w:rPr>
            </w:pPr>
          </w:p>
        </w:tc>
        <w:tc>
          <w:tcPr>
            <w:tcW w:w="1660" w:type="dxa"/>
            <w:vAlign w:val="bottom"/>
            <w:tcBorders>
              <w:right w:val="single" w:sz="8" w:color="auto"/>
            </w:tcBorders>
            <w:vMerge w:val="restart"/>
            <w:shd w:val="clear" w:color="auto" w:fill="000000"/>
          </w:tcPr>
          <w:p>
            <w:pPr>
              <w:jc w:val="center"/>
              <w:spacing w:after="0" w:line="257" w:lineRule="exact"/>
              <w:rPr>
                <w:sz w:val="20"/>
                <w:szCs w:val="20"/>
                <w:color w:val="auto"/>
              </w:rPr>
            </w:pPr>
            <w:r>
              <w:rPr>
                <w:rFonts w:ascii="Calibri" w:cs="Calibri" w:eastAsia="Calibri" w:hAnsi="Calibri"/>
                <w:sz w:val="22"/>
                <w:szCs w:val="22"/>
                <w:b w:val="1"/>
                <w:bCs w:val="1"/>
                <w:color w:val="FFFFFF"/>
              </w:rPr>
              <w:t>Equity Incentve</w:t>
            </w:r>
          </w:p>
        </w:tc>
        <w:tc>
          <w:tcPr>
            <w:tcW w:w="1500" w:type="dxa"/>
            <w:vAlign w:val="bottom"/>
            <w:vMerge w:val="restart"/>
            <w:shd w:val="clear" w:color="auto" w:fill="000000"/>
          </w:tcPr>
          <w:p>
            <w:pPr>
              <w:jc w:val="center"/>
              <w:spacing w:after="0" w:line="257" w:lineRule="exact"/>
              <w:rPr>
                <w:sz w:val="20"/>
                <w:szCs w:val="20"/>
                <w:color w:val="auto"/>
              </w:rPr>
            </w:pPr>
            <w:r>
              <w:rPr>
                <w:rFonts w:ascii="Calibri" w:cs="Calibri" w:eastAsia="Calibri" w:hAnsi="Calibri"/>
                <w:sz w:val="22"/>
                <w:szCs w:val="22"/>
                <w:b w:val="1"/>
                <w:bCs w:val="1"/>
                <w:color w:val="FFFFFF"/>
                <w:w w:val="97"/>
              </w:rPr>
              <w:t>Restricted Stock</w:t>
            </w:r>
          </w:p>
        </w:tc>
        <w:tc>
          <w:tcPr>
            <w:tcW w:w="0" w:type="dxa"/>
            <w:vAlign w:val="bottom"/>
          </w:tcPr>
          <w:p>
            <w:pPr>
              <w:spacing w:after="0"/>
              <w:rPr>
                <w:sz w:val="1"/>
                <w:szCs w:val="1"/>
                <w:color w:val="auto"/>
              </w:rPr>
            </w:pPr>
          </w:p>
        </w:tc>
      </w:tr>
      <w:tr>
        <w:trPr>
          <w:trHeight w:val="135"/>
        </w:trPr>
        <w:tc>
          <w:tcPr>
            <w:tcW w:w="2160" w:type="dxa"/>
            <w:vAlign w:val="bottom"/>
            <w:shd w:val="clear" w:color="auto" w:fill="000000"/>
          </w:tcPr>
          <w:p>
            <w:pPr>
              <w:spacing w:after="0"/>
              <w:rPr>
                <w:sz w:val="11"/>
                <w:szCs w:val="11"/>
                <w:color w:val="auto"/>
              </w:rPr>
            </w:pPr>
          </w:p>
        </w:tc>
        <w:tc>
          <w:tcPr>
            <w:tcW w:w="2180" w:type="dxa"/>
            <w:vAlign w:val="bottom"/>
            <w:tcBorders>
              <w:right w:val="single" w:sz="8" w:color="auto"/>
            </w:tcBorders>
            <w:shd w:val="clear" w:color="auto" w:fill="000000"/>
          </w:tcPr>
          <w:p>
            <w:pPr>
              <w:spacing w:after="0"/>
              <w:rPr>
                <w:sz w:val="11"/>
                <w:szCs w:val="11"/>
                <w:color w:val="auto"/>
              </w:rPr>
            </w:pPr>
          </w:p>
        </w:tc>
        <w:tc>
          <w:tcPr>
            <w:tcW w:w="1880" w:type="dxa"/>
            <w:vAlign w:val="bottom"/>
            <w:tcBorders>
              <w:right w:val="single" w:sz="8" w:color="auto"/>
            </w:tcBorders>
            <w:vMerge w:val="restart"/>
            <w:shd w:val="clear" w:color="auto" w:fill="000000"/>
          </w:tcPr>
          <w:p>
            <w:pPr>
              <w:jc w:val="center"/>
              <w:spacing w:after="0" w:line="258" w:lineRule="exact"/>
              <w:rPr>
                <w:sz w:val="20"/>
                <w:szCs w:val="20"/>
                <w:color w:val="auto"/>
              </w:rPr>
            </w:pPr>
            <w:r>
              <w:rPr>
                <w:rFonts w:ascii="Calibri" w:cs="Calibri" w:eastAsia="Calibri" w:hAnsi="Calibri"/>
                <w:sz w:val="22"/>
                <w:szCs w:val="22"/>
                <w:b w:val="1"/>
                <w:bCs w:val="1"/>
                <w:color w:val="FFFFFF"/>
                <w:w w:val="97"/>
              </w:rPr>
              <w:t>(in thousands)</w:t>
            </w:r>
          </w:p>
        </w:tc>
        <w:tc>
          <w:tcPr>
            <w:tcW w:w="1800" w:type="dxa"/>
            <w:vAlign w:val="bottom"/>
            <w:tcBorders>
              <w:right w:val="single" w:sz="8" w:color="auto"/>
            </w:tcBorders>
            <w:vMerge w:val="restart"/>
            <w:shd w:val="clear" w:color="auto" w:fill="000000"/>
          </w:tcPr>
          <w:p>
            <w:pPr>
              <w:jc w:val="center"/>
              <w:spacing w:after="0" w:line="258" w:lineRule="exact"/>
              <w:rPr>
                <w:sz w:val="20"/>
                <w:szCs w:val="20"/>
                <w:color w:val="auto"/>
              </w:rPr>
            </w:pPr>
            <w:r>
              <w:rPr>
                <w:rFonts w:ascii="Calibri" w:cs="Calibri" w:eastAsia="Calibri" w:hAnsi="Calibri"/>
                <w:sz w:val="22"/>
                <w:szCs w:val="22"/>
                <w:b w:val="1"/>
                <w:bCs w:val="1"/>
                <w:color w:val="FFFFFF"/>
                <w:w w:val="99"/>
              </w:rPr>
              <w:t>(in thousands)</w:t>
            </w:r>
          </w:p>
        </w:tc>
        <w:tc>
          <w:tcPr>
            <w:tcW w:w="1660" w:type="dxa"/>
            <w:vAlign w:val="bottom"/>
            <w:tcBorders>
              <w:right w:val="single" w:sz="8" w:color="auto"/>
            </w:tcBorders>
            <w:vMerge w:val="continue"/>
            <w:shd w:val="clear" w:color="auto" w:fill="000000"/>
          </w:tcPr>
          <w:p>
            <w:pPr>
              <w:spacing w:after="0"/>
              <w:rPr>
                <w:sz w:val="11"/>
                <w:szCs w:val="11"/>
                <w:color w:val="auto"/>
              </w:rPr>
            </w:pPr>
          </w:p>
        </w:tc>
        <w:tc>
          <w:tcPr>
            <w:tcW w:w="150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160" w:type="dxa"/>
            <w:vAlign w:val="bottom"/>
            <w:shd w:val="clear" w:color="auto" w:fill="000000"/>
          </w:tcPr>
          <w:p>
            <w:pPr>
              <w:spacing w:after="0"/>
              <w:rPr>
                <w:sz w:val="10"/>
                <w:szCs w:val="10"/>
                <w:color w:val="auto"/>
              </w:rPr>
            </w:pPr>
          </w:p>
        </w:tc>
        <w:tc>
          <w:tcPr>
            <w:tcW w:w="2180" w:type="dxa"/>
            <w:vAlign w:val="bottom"/>
            <w:tcBorders>
              <w:right w:val="single" w:sz="8" w:color="auto"/>
            </w:tcBorders>
            <w:shd w:val="clear" w:color="auto" w:fill="000000"/>
          </w:tcPr>
          <w:p>
            <w:pPr>
              <w:spacing w:after="0"/>
              <w:rPr>
                <w:sz w:val="10"/>
                <w:szCs w:val="10"/>
                <w:color w:val="auto"/>
              </w:rPr>
            </w:pPr>
          </w:p>
        </w:tc>
        <w:tc>
          <w:tcPr>
            <w:tcW w:w="1880" w:type="dxa"/>
            <w:vAlign w:val="bottom"/>
            <w:tcBorders>
              <w:right w:val="single" w:sz="8" w:color="auto"/>
            </w:tcBorders>
            <w:vMerge w:val="continue"/>
            <w:shd w:val="clear" w:color="auto" w:fill="000000"/>
          </w:tcPr>
          <w:p>
            <w:pPr>
              <w:spacing w:after="0"/>
              <w:rPr>
                <w:sz w:val="10"/>
                <w:szCs w:val="10"/>
                <w:color w:val="auto"/>
              </w:rPr>
            </w:pPr>
          </w:p>
        </w:tc>
        <w:tc>
          <w:tcPr>
            <w:tcW w:w="1800" w:type="dxa"/>
            <w:vAlign w:val="bottom"/>
            <w:tcBorders>
              <w:right w:val="single" w:sz="8" w:color="auto"/>
            </w:tcBorders>
            <w:vMerge w:val="continue"/>
            <w:shd w:val="clear" w:color="auto" w:fill="000000"/>
          </w:tcPr>
          <w:p>
            <w:pPr>
              <w:spacing w:after="0"/>
              <w:rPr>
                <w:sz w:val="10"/>
                <w:szCs w:val="10"/>
                <w:color w:val="auto"/>
              </w:rPr>
            </w:pPr>
          </w:p>
        </w:tc>
        <w:tc>
          <w:tcPr>
            <w:tcW w:w="1660" w:type="dxa"/>
            <w:vAlign w:val="bottom"/>
            <w:tcBorders>
              <w:right w:val="single" w:sz="8" w:color="auto"/>
            </w:tcBorders>
            <w:vMerge w:val="restart"/>
            <w:shd w:val="clear" w:color="auto" w:fill="000000"/>
          </w:tcPr>
          <w:p>
            <w:pPr>
              <w:jc w:val="center"/>
              <w:spacing w:after="0" w:line="258" w:lineRule="exact"/>
              <w:rPr>
                <w:sz w:val="20"/>
                <w:szCs w:val="20"/>
                <w:color w:val="auto"/>
              </w:rPr>
            </w:pPr>
            <w:r>
              <w:rPr>
                <w:rFonts w:ascii="Calibri" w:cs="Calibri" w:eastAsia="Calibri" w:hAnsi="Calibri"/>
                <w:sz w:val="22"/>
                <w:szCs w:val="22"/>
                <w:b w:val="1"/>
                <w:bCs w:val="1"/>
                <w:color w:val="FFFFFF"/>
                <w:w w:val="99"/>
              </w:rPr>
              <w:t>Earned</w:t>
            </w:r>
          </w:p>
        </w:tc>
        <w:tc>
          <w:tcPr>
            <w:tcW w:w="1500" w:type="dxa"/>
            <w:vAlign w:val="bottom"/>
            <w:vMerge w:val="restart"/>
            <w:shd w:val="clear" w:color="auto" w:fill="000000"/>
          </w:tcPr>
          <w:p>
            <w:pPr>
              <w:jc w:val="center"/>
              <w:spacing w:after="0" w:line="258" w:lineRule="exact"/>
              <w:rPr>
                <w:sz w:val="20"/>
                <w:szCs w:val="20"/>
                <w:color w:val="auto"/>
              </w:rPr>
            </w:pPr>
            <w:r>
              <w:rPr>
                <w:rFonts w:ascii="Calibri" w:cs="Calibri" w:eastAsia="Calibri" w:hAnsi="Calibri"/>
                <w:sz w:val="22"/>
                <w:szCs w:val="22"/>
                <w:b w:val="1"/>
                <w:bCs w:val="1"/>
                <w:color w:val="FFFFFF"/>
                <w:w w:val="96"/>
              </w:rPr>
              <w:t>Earned</w:t>
            </w:r>
          </w:p>
        </w:tc>
        <w:tc>
          <w:tcPr>
            <w:tcW w:w="0" w:type="dxa"/>
            <w:vAlign w:val="bottom"/>
          </w:tcPr>
          <w:p>
            <w:pPr>
              <w:spacing w:after="0"/>
              <w:rPr>
                <w:sz w:val="1"/>
                <w:szCs w:val="1"/>
                <w:color w:val="auto"/>
              </w:rPr>
            </w:pPr>
          </w:p>
        </w:tc>
      </w:tr>
      <w:tr>
        <w:trPr>
          <w:trHeight w:val="135"/>
        </w:trPr>
        <w:tc>
          <w:tcPr>
            <w:tcW w:w="2160" w:type="dxa"/>
            <w:vAlign w:val="bottom"/>
            <w:shd w:val="clear" w:color="auto" w:fill="000000"/>
          </w:tcPr>
          <w:p>
            <w:pPr>
              <w:spacing w:after="0"/>
              <w:rPr>
                <w:sz w:val="11"/>
                <w:szCs w:val="11"/>
                <w:color w:val="auto"/>
              </w:rPr>
            </w:pPr>
          </w:p>
        </w:tc>
        <w:tc>
          <w:tcPr>
            <w:tcW w:w="2180" w:type="dxa"/>
            <w:vAlign w:val="bottom"/>
            <w:tcBorders>
              <w:right w:val="single" w:sz="8" w:color="auto"/>
            </w:tcBorders>
            <w:shd w:val="clear" w:color="auto" w:fill="000000"/>
          </w:tcPr>
          <w:p>
            <w:pPr>
              <w:spacing w:after="0"/>
              <w:rPr>
                <w:sz w:val="11"/>
                <w:szCs w:val="11"/>
                <w:color w:val="auto"/>
              </w:rPr>
            </w:pPr>
          </w:p>
        </w:tc>
        <w:tc>
          <w:tcPr>
            <w:tcW w:w="1880" w:type="dxa"/>
            <w:vAlign w:val="bottom"/>
            <w:tcBorders>
              <w:right w:val="single" w:sz="8" w:color="auto"/>
            </w:tcBorders>
            <w:shd w:val="clear" w:color="auto" w:fill="000000"/>
          </w:tcPr>
          <w:p>
            <w:pPr>
              <w:spacing w:after="0"/>
              <w:rPr>
                <w:sz w:val="11"/>
                <w:szCs w:val="11"/>
                <w:color w:val="auto"/>
              </w:rPr>
            </w:pPr>
          </w:p>
        </w:tc>
        <w:tc>
          <w:tcPr>
            <w:tcW w:w="1800" w:type="dxa"/>
            <w:vAlign w:val="bottom"/>
            <w:tcBorders>
              <w:right w:val="single" w:sz="8" w:color="auto"/>
            </w:tcBorders>
            <w:shd w:val="clear" w:color="auto" w:fill="000000"/>
          </w:tcPr>
          <w:p>
            <w:pPr>
              <w:spacing w:after="0"/>
              <w:rPr>
                <w:sz w:val="11"/>
                <w:szCs w:val="11"/>
                <w:color w:val="auto"/>
              </w:rPr>
            </w:pPr>
          </w:p>
        </w:tc>
        <w:tc>
          <w:tcPr>
            <w:tcW w:w="1660" w:type="dxa"/>
            <w:vAlign w:val="bottom"/>
            <w:tcBorders>
              <w:right w:val="single" w:sz="8" w:color="auto"/>
            </w:tcBorders>
            <w:vMerge w:val="continue"/>
            <w:shd w:val="clear" w:color="auto" w:fill="000000"/>
          </w:tcPr>
          <w:p>
            <w:pPr>
              <w:spacing w:after="0"/>
              <w:rPr>
                <w:sz w:val="11"/>
                <w:szCs w:val="11"/>
                <w:color w:val="auto"/>
              </w:rPr>
            </w:pPr>
          </w:p>
        </w:tc>
        <w:tc>
          <w:tcPr>
            <w:tcW w:w="150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160" w:type="dxa"/>
            <w:vAlign w:val="bottom"/>
            <w:tcBorders>
              <w:bottom w:val="single" w:sz="8" w:color="auto"/>
            </w:tcBorders>
            <w:vMerge w:val="restart"/>
            <w:shd w:val="clear" w:color="auto" w:fill="000000"/>
          </w:tcPr>
          <w:p>
            <w:pPr>
              <w:ind w:left="40"/>
              <w:spacing w:after="0"/>
              <w:rPr>
                <w:sz w:val="20"/>
                <w:szCs w:val="20"/>
                <w:color w:val="auto"/>
              </w:rPr>
            </w:pPr>
            <w:r>
              <w:rPr>
                <w:rFonts w:ascii="Calibri" w:cs="Calibri" w:eastAsia="Calibri" w:hAnsi="Calibri"/>
                <w:sz w:val="22"/>
                <w:szCs w:val="22"/>
                <w:b w:val="1"/>
                <w:bCs w:val="1"/>
                <w:color w:val="FFFFFF"/>
              </w:rPr>
              <w:t>Corporate Objectve</w:t>
            </w:r>
          </w:p>
        </w:tc>
        <w:tc>
          <w:tcPr>
            <w:tcW w:w="2180" w:type="dxa"/>
            <w:vAlign w:val="bottom"/>
            <w:tcBorders>
              <w:bottom w:val="single" w:sz="8" w:color="auto"/>
              <w:right w:val="single" w:sz="8" w:color="auto"/>
            </w:tcBorders>
            <w:shd w:val="clear" w:color="auto" w:fill="000000"/>
          </w:tcPr>
          <w:p>
            <w:pPr>
              <w:spacing w:after="0"/>
              <w:rPr>
                <w:sz w:val="5"/>
                <w:szCs w:val="5"/>
                <w:color w:val="auto"/>
              </w:rPr>
            </w:pPr>
          </w:p>
        </w:tc>
        <w:tc>
          <w:tcPr>
            <w:tcW w:w="1880" w:type="dxa"/>
            <w:vAlign w:val="bottom"/>
            <w:tcBorders>
              <w:bottom w:val="single" w:sz="8" w:color="auto"/>
              <w:right w:val="single" w:sz="8" w:color="auto"/>
            </w:tcBorders>
            <w:shd w:val="clear" w:color="auto" w:fill="000000"/>
          </w:tcPr>
          <w:p>
            <w:pPr>
              <w:spacing w:after="0"/>
              <w:rPr>
                <w:sz w:val="5"/>
                <w:szCs w:val="5"/>
                <w:color w:val="auto"/>
              </w:rPr>
            </w:pPr>
          </w:p>
        </w:tc>
        <w:tc>
          <w:tcPr>
            <w:tcW w:w="1800" w:type="dxa"/>
            <w:vAlign w:val="bottom"/>
            <w:tcBorders>
              <w:bottom w:val="single" w:sz="8" w:color="auto"/>
              <w:right w:val="single" w:sz="8" w:color="auto"/>
            </w:tcBorders>
            <w:shd w:val="clear" w:color="auto" w:fill="000000"/>
          </w:tcPr>
          <w:p>
            <w:pPr>
              <w:spacing w:after="0"/>
              <w:rPr>
                <w:sz w:val="5"/>
                <w:szCs w:val="5"/>
                <w:color w:val="auto"/>
              </w:rPr>
            </w:pPr>
          </w:p>
        </w:tc>
        <w:tc>
          <w:tcPr>
            <w:tcW w:w="1660" w:type="dxa"/>
            <w:vAlign w:val="bottom"/>
            <w:tcBorders>
              <w:bottom w:val="single" w:sz="8" w:color="auto"/>
              <w:right w:val="single" w:sz="8" w:color="auto"/>
            </w:tcBorders>
            <w:shd w:val="clear" w:color="auto" w:fill="000000"/>
          </w:tcPr>
          <w:p>
            <w:pPr>
              <w:spacing w:after="0"/>
              <w:rPr>
                <w:sz w:val="5"/>
                <w:szCs w:val="5"/>
                <w:color w:val="auto"/>
              </w:rPr>
            </w:pPr>
          </w:p>
        </w:tc>
        <w:tc>
          <w:tcPr>
            <w:tcW w:w="150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2160" w:type="dxa"/>
            <w:vAlign w:val="bottom"/>
            <w:tcBorders>
              <w:bottom w:val="single" w:sz="8" w:color="auto"/>
            </w:tcBorders>
            <w:vMerge w:val="continue"/>
            <w:shd w:val="clear" w:color="auto" w:fill="000000"/>
          </w:tcPr>
          <w:p>
            <w:pPr>
              <w:spacing w:after="0"/>
              <w:rPr>
                <w:sz w:val="24"/>
                <w:szCs w:val="24"/>
                <w:color w:val="auto"/>
              </w:rPr>
            </w:pPr>
          </w:p>
        </w:tc>
        <w:tc>
          <w:tcPr>
            <w:tcW w:w="2180" w:type="dxa"/>
            <w:vAlign w:val="bottom"/>
            <w:tcBorders>
              <w:bottom w:val="single" w:sz="8" w:color="707070"/>
              <w:right w:val="single" w:sz="8" w:color="auto"/>
            </w:tcBorders>
            <w:shd w:val="clear" w:color="auto" w:fill="707070"/>
          </w:tcPr>
          <w:p>
            <w:pPr>
              <w:jc w:val="center"/>
              <w:spacing w:after="0" w:line="215" w:lineRule="exact"/>
              <w:rPr>
                <w:sz w:val="20"/>
                <w:szCs w:val="20"/>
                <w:color w:val="auto"/>
              </w:rPr>
            </w:pPr>
            <w:r>
              <w:rPr>
                <w:rFonts w:ascii="Calibri" w:cs="Calibri" w:eastAsia="Calibri" w:hAnsi="Calibri"/>
                <w:sz w:val="18"/>
                <w:szCs w:val="18"/>
                <w:color w:val="FFFFFF"/>
                <w:w w:val="97"/>
              </w:rPr>
              <w:t>Income before income taxes</w:t>
            </w:r>
          </w:p>
        </w:tc>
        <w:tc>
          <w:tcPr>
            <w:tcW w:w="188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$74,250</w:t>
            </w:r>
          </w:p>
        </w:tc>
        <w:tc>
          <w:tcPr>
            <w:tcW w:w="1800" w:type="dxa"/>
            <w:vAlign w:val="bottom"/>
            <w:tcBorders>
              <w:right w:val="single" w:sz="8" w:color="auto"/>
            </w:tcBorders>
          </w:tcPr>
          <w:p>
            <w:pPr>
              <w:jc w:val="right"/>
              <w:ind w:right="479"/>
              <w:spacing w:after="0"/>
              <w:rPr>
                <w:sz w:val="20"/>
                <w:szCs w:val="20"/>
                <w:color w:val="auto"/>
              </w:rPr>
            </w:pPr>
            <w:r>
              <w:rPr>
                <w:rFonts w:ascii="Calibri" w:cs="Calibri" w:eastAsia="Calibri" w:hAnsi="Calibri"/>
                <w:sz w:val="18"/>
                <w:szCs w:val="18"/>
                <w:color w:val="auto"/>
              </w:rPr>
              <w:t>$104,128</w:t>
            </w:r>
          </w:p>
        </w:tc>
        <w:tc>
          <w:tcPr>
            <w:tcW w:w="16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200.0%</w:t>
            </w:r>
          </w:p>
        </w:tc>
        <w:tc>
          <w:tcPr>
            <w:tcW w:w="1500" w:type="dxa"/>
            <w:vAlign w:val="bottom"/>
          </w:tcPr>
          <w:p>
            <w:pPr>
              <w:jc w:val="center"/>
              <w:spacing w:after="0"/>
              <w:rPr>
                <w:sz w:val="20"/>
                <w:szCs w:val="20"/>
                <w:color w:val="auto"/>
              </w:rPr>
            </w:pPr>
            <w:r>
              <w:rPr>
                <w:rFonts w:ascii="Calibri" w:cs="Calibri" w:eastAsia="Calibri" w:hAnsi="Calibri"/>
                <w:sz w:val="18"/>
                <w:szCs w:val="18"/>
                <w:color w:val="auto"/>
                <w:w w:val="96"/>
              </w:rPr>
              <w:t>150.0%</w:t>
            </w:r>
          </w:p>
        </w:tc>
        <w:tc>
          <w:tcPr>
            <w:tcW w:w="0" w:type="dxa"/>
            <w:vAlign w:val="bottom"/>
          </w:tcPr>
          <w:p>
            <w:pPr>
              <w:spacing w:after="0"/>
              <w:rPr>
                <w:sz w:val="1"/>
                <w:szCs w:val="1"/>
                <w:color w:val="auto"/>
              </w:rPr>
            </w:pPr>
          </w:p>
        </w:tc>
      </w:tr>
      <w:tr>
        <w:trPr>
          <w:trHeight w:val="250"/>
        </w:trPr>
        <w:tc>
          <w:tcPr>
            <w:tcW w:w="2160" w:type="dxa"/>
            <w:vAlign w:val="bottom"/>
            <w:tcBorders>
              <w:top w:val="single" w:sz="8" w:color="auto"/>
            </w:tcBorders>
            <w:shd w:val="clear" w:color="auto" w:fill="000000"/>
          </w:tcPr>
          <w:p>
            <w:pPr>
              <w:ind w:left="40"/>
              <w:spacing w:after="0" w:line="250" w:lineRule="exact"/>
              <w:rPr>
                <w:sz w:val="20"/>
                <w:szCs w:val="20"/>
                <w:color w:val="auto"/>
              </w:rPr>
            </w:pPr>
            <w:r>
              <w:rPr>
                <w:rFonts w:ascii="Calibri" w:cs="Calibri" w:eastAsia="Calibri" w:hAnsi="Calibri"/>
                <w:sz w:val="22"/>
                <w:szCs w:val="22"/>
                <w:b w:val="1"/>
                <w:bCs w:val="1"/>
                <w:color w:val="FFFFFF"/>
              </w:rPr>
              <w:t>Business Unit</w:t>
            </w:r>
          </w:p>
        </w:tc>
        <w:tc>
          <w:tcPr>
            <w:tcW w:w="2180" w:type="dxa"/>
            <w:vAlign w:val="bottom"/>
            <w:tcBorders>
              <w:top w:val="single" w:sz="8" w:color="auto"/>
              <w:right w:val="single" w:sz="8" w:color="auto"/>
            </w:tcBorders>
            <w:shd w:val="clear" w:color="auto" w:fill="707070"/>
          </w:tcPr>
          <w:p>
            <w:pPr>
              <w:jc w:val="center"/>
              <w:spacing w:after="0" w:line="215" w:lineRule="exact"/>
              <w:rPr>
                <w:sz w:val="20"/>
                <w:szCs w:val="20"/>
                <w:color w:val="auto"/>
              </w:rPr>
            </w:pPr>
            <w:r>
              <w:rPr>
                <w:rFonts w:ascii="Calibri" w:cs="Calibri" w:eastAsia="Calibri" w:hAnsi="Calibri"/>
                <w:sz w:val="18"/>
                <w:szCs w:val="18"/>
                <w:color w:val="FFFFFF"/>
                <w:w w:val="95"/>
              </w:rPr>
              <w:t>Water Treatment Group</w:t>
            </w:r>
          </w:p>
        </w:tc>
        <w:tc>
          <w:tcPr>
            <w:tcW w:w="188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97"/>
              </w:rPr>
              <w:t>$56,732</w:t>
            </w:r>
          </w:p>
        </w:tc>
        <w:tc>
          <w:tcPr>
            <w:tcW w:w="1800" w:type="dxa"/>
            <w:vAlign w:val="bottom"/>
            <w:tcBorders>
              <w:top w:val="single" w:sz="8" w:color="auto"/>
              <w:right w:val="single" w:sz="8" w:color="auto"/>
            </w:tcBorders>
            <w:vMerge w:val="restart"/>
          </w:tcPr>
          <w:p>
            <w:pPr>
              <w:jc w:val="right"/>
              <w:ind w:right="519"/>
              <w:spacing w:after="0"/>
              <w:rPr>
                <w:sz w:val="20"/>
                <w:szCs w:val="20"/>
                <w:color w:val="auto"/>
              </w:rPr>
            </w:pPr>
            <w:r>
              <w:rPr>
                <w:rFonts w:ascii="Calibri" w:cs="Calibri" w:eastAsia="Calibri" w:hAnsi="Calibri"/>
                <w:sz w:val="18"/>
                <w:szCs w:val="18"/>
                <w:color w:val="auto"/>
              </w:rPr>
              <w:t>$70,799</w:t>
            </w:r>
          </w:p>
        </w:tc>
        <w:tc>
          <w:tcPr>
            <w:tcW w:w="166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96"/>
              </w:rPr>
              <w:t>200.0%</w:t>
            </w:r>
          </w:p>
        </w:tc>
        <w:tc>
          <w:tcPr>
            <w:tcW w:w="1500" w:type="dxa"/>
            <w:vAlign w:val="bottom"/>
            <w:tcBorders>
              <w:top w:val="single" w:sz="8" w:color="auto"/>
            </w:tcBorders>
            <w:vMerge w:val="restart"/>
          </w:tcPr>
          <w:p>
            <w:pPr>
              <w:jc w:val="center"/>
              <w:spacing w:after="0"/>
              <w:rPr>
                <w:sz w:val="20"/>
                <w:szCs w:val="20"/>
                <w:color w:val="auto"/>
              </w:rPr>
            </w:pPr>
            <w:r>
              <w:rPr>
                <w:rFonts w:ascii="Calibri" w:cs="Calibri" w:eastAsia="Calibri" w:hAnsi="Calibri"/>
                <w:sz w:val="18"/>
                <w:szCs w:val="18"/>
                <w:color w:val="auto"/>
                <w:w w:val="95"/>
              </w:rPr>
              <w:t>n/a</w:t>
            </w:r>
          </w:p>
        </w:tc>
        <w:tc>
          <w:tcPr>
            <w:tcW w:w="0" w:type="dxa"/>
            <w:vAlign w:val="bottom"/>
          </w:tcPr>
          <w:p>
            <w:pPr>
              <w:spacing w:after="0"/>
              <w:rPr>
                <w:sz w:val="1"/>
                <w:szCs w:val="1"/>
                <w:color w:val="auto"/>
              </w:rPr>
            </w:pPr>
          </w:p>
        </w:tc>
      </w:tr>
      <w:tr>
        <w:trPr>
          <w:trHeight w:val="153"/>
        </w:trPr>
        <w:tc>
          <w:tcPr>
            <w:tcW w:w="2160" w:type="dxa"/>
            <w:vAlign w:val="bottom"/>
            <w:vMerge w:val="restart"/>
            <w:shd w:val="clear" w:color="auto" w:fill="000000"/>
          </w:tcPr>
          <w:p>
            <w:pPr>
              <w:ind w:left="40"/>
              <w:spacing w:after="0"/>
              <w:rPr>
                <w:sz w:val="20"/>
                <w:szCs w:val="20"/>
                <w:color w:val="auto"/>
              </w:rPr>
            </w:pPr>
            <w:r>
              <w:rPr>
                <w:rFonts w:ascii="Calibri" w:cs="Calibri" w:eastAsia="Calibri" w:hAnsi="Calibri"/>
                <w:sz w:val="22"/>
                <w:szCs w:val="22"/>
                <w:b w:val="1"/>
                <w:bCs w:val="1"/>
                <w:color w:val="FFFFFF"/>
              </w:rPr>
              <w:t>Objectve</w:t>
            </w:r>
          </w:p>
        </w:tc>
        <w:tc>
          <w:tcPr>
            <w:tcW w:w="2180" w:type="dxa"/>
            <w:vAlign w:val="bottom"/>
            <w:tcBorders>
              <w:right w:val="single" w:sz="8" w:color="auto"/>
            </w:tcBorders>
            <w:shd w:val="clear" w:color="auto" w:fill="707070"/>
          </w:tcPr>
          <w:p>
            <w:pPr>
              <w:jc w:val="center"/>
              <w:spacing w:after="0" w:line="153" w:lineRule="exact"/>
              <w:rPr>
                <w:sz w:val="20"/>
                <w:szCs w:val="20"/>
                <w:color w:val="auto"/>
              </w:rPr>
            </w:pPr>
            <w:r>
              <w:rPr>
                <w:rFonts w:ascii="Calibri" w:cs="Calibri" w:eastAsia="Calibri" w:hAnsi="Calibri"/>
                <w:sz w:val="16"/>
                <w:szCs w:val="16"/>
                <w:color w:val="FFFFFF"/>
              </w:rPr>
              <w:t>Operatonal Performance</w:t>
            </w:r>
          </w:p>
        </w:tc>
        <w:tc>
          <w:tcPr>
            <w:tcW w:w="1880" w:type="dxa"/>
            <w:vAlign w:val="bottom"/>
            <w:tcBorders>
              <w:right w:val="single" w:sz="8" w:color="auto"/>
            </w:tcBorders>
            <w:vMerge w:val="continue"/>
          </w:tcPr>
          <w:p>
            <w:pPr>
              <w:spacing w:after="0"/>
              <w:rPr>
                <w:sz w:val="13"/>
                <w:szCs w:val="13"/>
                <w:color w:val="auto"/>
              </w:rPr>
            </w:pPr>
          </w:p>
        </w:tc>
        <w:tc>
          <w:tcPr>
            <w:tcW w:w="1800" w:type="dxa"/>
            <w:vAlign w:val="bottom"/>
            <w:tcBorders>
              <w:right w:val="single" w:sz="8" w:color="auto"/>
            </w:tcBorders>
            <w:vMerge w:val="continue"/>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60" w:type="dxa"/>
            <w:vAlign w:val="bottom"/>
            <w:vMerge w:val="continue"/>
            <w:shd w:val="clear" w:color="auto" w:fill="000000"/>
          </w:tcPr>
          <w:p>
            <w:pPr>
              <w:spacing w:after="0"/>
              <w:rPr>
                <w:sz w:val="13"/>
                <w:szCs w:val="13"/>
                <w:color w:val="auto"/>
              </w:rPr>
            </w:pPr>
          </w:p>
        </w:tc>
        <w:tc>
          <w:tcPr>
            <w:tcW w:w="2180" w:type="dxa"/>
            <w:vAlign w:val="bottom"/>
            <w:tcBorders>
              <w:right w:val="single" w:sz="8" w:color="auto"/>
            </w:tcBorders>
            <w:vMerge w:val="restart"/>
            <w:shd w:val="clear" w:color="auto" w:fill="707070"/>
          </w:tcPr>
          <w:p>
            <w:pPr>
              <w:jc w:val="center"/>
              <w:spacing w:after="0" w:line="215" w:lineRule="exact"/>
              <w:rPr>
                <w:sz w:val="20"/>
                <w:szCs w:val="20"/>
                <w:color w:val="auto"/>
              </w:rPr>
            </w:pPr>
            <w:r>
              <w:rPr>
                <w:rFonts w:ascii="Calibri" w:cs="Calibri" w:eastAsia="Calibri" w:hAnsi="Calibri"/>
                <w:sz w:val="18"/>
                <w:szCs w:val="18"/>
                <w:color w:val="FFFFFF"/>
                <w:w w:val="95"/>
              </w:rPr>
              <w:t>Measure</w:t>
            </w:r>
          </w:p>
        </w:tc>
        <w:tc>
          <w:tcPr>
            <w:tcW w:w="188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160" w:type="dxa"/>
            <w:vAlign w:val="bottom"/>
            <w:tcBorders>
              <w:bottom w:val="single" w:sz="8" w:color="auto"/>
            </w:tcBorders>
            <w:shd w:val="clear" w:color="auto" w:fill="000000"/>
          </w:tcPr>
          <w:p>
            <w:pPr>
              <w:spacing w:after="0"/>
              <w:rPr>
                <w:sz w:val="7"/>
                <w:szCs w:val="7"/>
                <w:color w:val="auto"/>
              </w:rPr>
            </w:pPr>
          </w:p>
        </w:tc>
        <w:tc>
          <w:tcPr>
            <w:tcW w:w="2180" w:type="dxa"/>
            <w:vAlign w:val="bottom"/>
            <w:tcBorders>
              <w:bottom w:val="single" w:sz="8" w:color="707070"/>
              <w:right w:val="single" w:sz="8" w:color="auto"/>
            </w:tcBorders>
            <w:vMerge w:val="continue"/>
            <w:shd w:val="clear" w:color="auto" w:fill="707070"/>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0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Borders>
              <w:right w:val="single" w:sz="8" w:color="auto"/>
            </w:tcBorders>
            <w:shd w:val="clear" w:color="auto" w:fill="000000"/>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Determining Executve Compensaton for Fiscal 2024</w:t>
      </w:r>
    </w:p>
    <w:p>
      <w:pPr>
        <w:spacing w:after="0" w:line="11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Compensaton Commitee does not benchmark the total compensaton or any individual element of compensaton for our executves. It also does not apply a mechanical formula or target a specifc amount relatve to comparatve data for any individual nor does it target a specifc amount or relatve weight for any component of compensaton. Rather, the Compensaton Commitee members review and consider broad-based third-party survey data to understand current compensaton practces, levels and structures and thereby inform its compensaton decisions, but not to establish specifc compensaton parameters based on such data. In fscal 2024, the broad-based survey data reviewed by the Compensaton Commitee was collected by the company's independent compensaton consultant McLagan, which also provided the Compensaton Commitee with independent advice on industry practces. McLagan and AON provided no other services to the company in fscal 2024. The Compensaton Commitee did not use the informaton provided to it by McLagan in a formulaic manner, but instead used the informaton to inform its judgment regarding the appropriate levels and components of total compensaton for the company’s executve ofcers. The Compensaton Commitee considered all elements of compensaton together and utlized the members’ experience and judgment in determining the total compensaton opportunity and mix of compensaton elements appropriate for each executve ofcer in light of our compensaton objectves.</w:t>
      </w:r>
    </w:p>
    <w:p>
      <w:pPr>
        <w:spacing w:after="0" w:line="252"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Compensaton Commitee viewed the informaton provided by McLagan as one of a number of tools available to the Commitee in assessing executve compensaton. The Compensaton Commitee also regularly consults with our Chief Executve Ofcer, who makes recommendatons to the Compensaton Commitee regarding compensaton of our executve ofcers other than his own. Our Chief Executve Ofcer partcipates in some of the Compensaton Commitee’s deliberatons regarding compensaton for our other executve ofcers, although all determinatons are made by the Compensaton Commitee. Our Chief Executve Ofcer is not present during votng or deliberatons relatng to his own compensaton.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17" w:name="page18"/>
    <w:bookmarkEnd w:id="17"/>
    <w:p>
      <w:pPr>
        <w:spacing w:after="0"/>
        <w:rPr>
          <w:sz w:val="20"/>
          <w:szCs w:val="20"/>
          <w:color w:val="auto"/>
        </w:rPr>
      </w:pPr>
      <w:r>
        <w:rPr>
          <w:rFonts w:ascii="Calibri" w:cs="Calibri" w:eastAsia="Calibri" w:hAnsi="Calibri"/>
          <w:sz w:val="20"/>
          <w:szCs w:val="20"/>
          <w:i w:val="1"/>
          <w:iCs w:val="1"/>
          <w:color w:val="auto"/>
        </w:rPr>
        <w:t>Elements of Named Executve Ofcer Compensaton</w:t>
      </w:r>
    </w:p>
    <w:p>
      <w:pPr>
        <w:spacing w:after="0" w:line="11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table outlines the key components of our compensaton program for our named executve ofcers (excluding health and similar broad-based benefts generally available to all employees).</w:t>
      </w: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1680" w:type="dxa"/>
            <w:vAlign w:val="bottom"/>
            <w:tcBorders>
              <w:left w:val="single" w:sz="8" w:color="auto"/>
              <w:right w:val="single" w:sz="8" w:color="auto"/>
            </w:tcBorders>
            <w:shd w:val="clear" w:color="auto" w:fill="000000"/>
          </w:tcPr>
          <w:p>
            <w:pPr>
              <w:spacing w:after="0"/>
              <w:rPr>
                <w:sz w:val="24"/>
                <w:szCs w:val="24"/>
                <w:color w:val="auto"/>
              </w:rPr>
            </w:pPr>
          </w:p>
        </w:tc>
        <w:tc>
          <w:tcPr>
            <w:tcW w:w="266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22"/>
                <w:szCs w:val="22"/>
                <w:b w:val="1"/>
                <w:bCs w:val="1"/>
                <w:color w:val="FFFFFF"/>
              </w:rPr>
              <w:t>Compensaton Element</w:t>
            </w:r>
          </w:p>
        </w:tc>
        <w:tc>
          <w:tcPr>
            <w:tcW w:w="3160" w:type="dxa"/>
            <w:vAlign w:val="bottom"/>
            <w:tcBorders>
              <w:right w:val="single" w:sz="8" w:color="auto"/>
            </w:tcBorders>
            <w:shd w:val="clear" w:color="auto" w:fill="000000"/>
          </w:tcPr>
          <w:p>
            <w:pPr>
              <w:ind w:left="1200"/>
              <w:spacing w:after="0"/>
              <w:rPr>
                <w:sz w:val="20"/>
                <w:szCs w:val="20"/>
                <w:color w:val="auto"/>
              </w:rPr>
            </w:pPr>
            <w:r>
              <w:rPr>
                <w:rFonts w:ascii="Calibri" w:cs="Calibri" w:eastAsia="Calibri" w:hAnsi="Calibri"/>
                <w:sz w:val="22"/>
                <w:szCs w:val="22"/>
                <w:b w:val="1"/>
                <w:bCs w:val="1"/>
                <w:color w:val="FFFFFF"/>
              </w:rPr>
              <w:t>Purpose</w:t>
            </w:r>
          </w:p>
        </w:tc>
        <w:tc>
          <w:tcPr>
            <w:tcW w:w="2820" w:type="dxa"/>
            <w:vAlign w:val="bottom"/>
            <w:tcBorders>
              <w:right w:val="single" w:sz="8" w:color="auto"/>
            </w:tcBorders>
            <w:shd w:val="clear" w:color="auto" w:fill="000000"/>
          </w:tcPr>
          <w:p>
            <w:pPr>
              <w:ind w:left="560"/>
              <w:spacing w:after="0"/>
              <w:rPr>
                <w:sz w:val="20"/>
                <w:szCs w:val="20"/>
                <w:color w:val="auto"/>
              </w:rPr>
            </w:pPr>
            <w:r>
              <w:rPr>
                <w:rFonts w:ascii="Calibri" w:cs="Calibri" w:eastAsia="Calibri" w:hAnsi="Calibri"/>
                <w:sz w:val="22"/>
                <w:szCs w:val="22"/>
                <w:b w:val="1"/>
                <w:bCs w:val="1"/>
                <w:color w:val="FFFFFF"/>
              </w:rPr>
              <w:t>Key Characteristcs</w:t>
            </w:r>
          </w:p>
        </w:tc>
        <w:tc>
          <w:tcPr>
            <w:tcW w:w="0" w:type="dxa"/>
            <w:vAlign w:val="bottom"/>
          </w:tcPr>
          <w:p>
            <w:pPr>
              <w:spacing w:after="0"/>
              <w:rPr>
                <w:sz w:val="1"/>
                <w:szCs w:val="1"/>
                <w:color w:val="auto"/>
              </w:rPr>
            </w:pPr>
          </w:p>
        </w:tc>
      </w:tr>
      <w:tr>
        <w:trPr>
          <w:trHeight w:val="62"/>
        </w:trPr>
        <w:tc>
          <w:tcPr>
            <w:tcW w:w="1680" w:type="dxa"/>
            <w:vAlign w:val="bottom"/>
            <w:tcBorders>
              <w:left w:val="single" w:sz="8" w:color="auto"/>
              <w:right w:val="single" w:sz="8" w:color="auto"/>
            </w:tcBorders>
            <w:shd w:val="clear" w:color="auto" w:fill="000000"/>
          </w:tcPr>
          <w:p>
            <w:pPr>
              <w:spacing w:after="0"/>
              <w:rPr>
                <w:sz w:val="5"/>
                <w:szCs w:val="5"/>
                <w:color w:val="auto"/>
              </w:rPr>
            </w:pPr>
          </w:p>
        </w:tc>
        <w:tc>
          <w:tcPr>
            <w:tcW w:w="2660" w:type="dxa"/>
            <w:vAlign w:val="bottom"/>
            <w:tcBorders>
              <w:right w:val="single" w:sz="8" w:color="auto"/>
            </w:tcBorders>
            <w:shd w:val="clear" w:color="auto" w:fill="000000"/>
          </w:tcPr>
          <w:p>
            <w:pPr>
              <w:spacing w:after="0"/>
              <w:rPr>
                <w:sz w:val="5"/>
                <w:szCs w:val="5"/>
                <w:color w:val="auto"/>
              </w:rPr>
            </w:pPr>
          </w:p>
        </w:tc>
        <w:tc>
          <w:tcPr>
            <w:tcW w:w="3160" w:type="dxa"/>
            <w:vAlign w:val="bottom"/>
            <w:tcBorders>
              <w:right w:val="single" w:sz="8" w:color="auto"/>
            </w:tcBorders>
            <w:shd w:val="clear" w:color="auto" w:fill="000000"/>
          </w:tcPr>
          <w:p>
            <w:pPr>
              <w:spacing w:after="0"/>
              <w:rPr>
                <w:sz w:val="5"/>
                <w:szCs w:val="5"/>
                <w:color w:val="auto"/>
              </w:rPr>
            </w:pPr>
          </w:p>
        </w:tc>
        <w:tc>
          <w:tcPr>
            <w:tcW w:w="282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680" w:type="dxa"/>
            <w:vAlign w:val="bottom"/>
            <w:tcBorders>
              <w:left w:val="single" w:sz="8" w:color="auto"/>
              <w:right w:val="single" w:sz="8" w:color="auto"/>
            </w:tcBorders>
            <w:shd w:val="clear" w:color="auto" w:fill="CBCBCB"/>
          </w:tcPr>
          <w:p>
            <w:pPr>
              <w:spacing w:after="0"/>
              <w:rPr>
                <w:sz w:val="19"/>
                <w:szCs w:val="19"/>
                <w:color w:val="auto"/>
              </w:rPr>
            </w:pPr>
          </w:p>
        </w:tc>
        <w:tc>
          <w:tcPr>
            <w:tcW w:w="2660" w:type="dxa"/>
            <w:vAlign w:val="bottom"/>
            <w:tcBorders>
              <w:right w:val="single" w:sz="8" w:color="auto"/>
            </w:tcBorders>
            <w:shd w:val="clear" w:color="auto" w:fill="CBCBCB"/>
          </w:tcPr>
          <w:p>
            <w:pPr>
              <w:spacing w:after="0"/>
              <w:rPr>
                <w:sz w:val="19"/>
                <w:szCs w:val="19"/>
                <w:color w:val="auto"/>
              </w:rPr>
            </w:pPr>
          </w:p>
        </w:tc>
        <w:tc>
          <w:tcPr>
            <w:tcW w:w="3160" w:type="dxa"/>
            <w:vAlign w:val="bottom"/>
            <w:tcBorders>
              <w:right w:val="single" w:sz="8" w:color="auto"/>
            </w:tcBorders>
            <w:shd w:val="clear" w:color="auto" w:fill="CBCBCB"/>
          </w:tcPr>
          <w:p>
            <w:pPr>
              <w:ind w:left="20"/>
              <w:spacing w:after="0"/>
              <w:rPr>
                <w:sz w:val="20"/>
                <w:szCs w:val="20"/>
                <w:color w:val="auto"/>
              </w:rPr>
            </w:pPr>
            <w:r>
              <w:rPr>
                <w:rFonts w:ascii="Calibri" w:cs="Calibri" w:eastAsia="Calibri" w:hAnsi="Calibri"/>
                <w:sz w:val="18"/>
                <w:szCs w:val="18"/>
                <w:color w:val="auto"/>
              </w:rPr>
              <w:t>Provides a steady pay that is generally</w:t>
            </w:r>
          </w:p>
        </w:tc>
        <w:tc>
          <w:tcPr>
            <w:tcW w:w="2820" w:type="dxa"/>
            <w:vAlign w:val="bottom"/>
            <w:tcBorders>
              <w:right w:val="single" w:sz="8" w:color="auto"/>
            </w:tcBorders>
            <w:shd w:val="clear" w:color="auto" w:fill="CBCBCB"/>
          </w:tcPr>
          <w:p>
            <w:pPr>
              <w:spacing w:after="0"/>
              <w:rPr>
                <w:sz w:val="20"/>
                <w:szCs w:val="20"/>
                <w:color w:val="auto"/>
              </w:rPr>
            </w:pPr>
            <w:r>
              <w:rPr>
                <w:rFonts w:ascii="Calibri" w:cs="Calibri" w:eastAsia="Calibri" w:hAnsi="Calibri"/>
                <w:sz w:val="18"/>
                <w:szCs w:val="18"/>
                <w:color w:val="auto"/>
              </w:rPr>
              <w:t>Determined by responsibility, level of</w:t>
            </w: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right w:val="single" w:sz="8" w:color="auto"/>
            </w:tcBorders>
            <w:shd w:val="clear" w:color="auto" w:fill="CBCBCB"/>
          </w:tcPr>
          <w:p>
            <w:pPr>
              <w:jc w:val="center"/>
              <w:spacing w:after="0" w:line="240" w:lineRule="exact"/>
              <w:rPr>
                <w:sz w:val="20"/>
                <w:szCs w:val="20"/>
                <w:color w:val="auto"/>
              </w:rPr>
            </w:pPr>
            <w:r>
              <w:rPr>
                <w:rFonts w:ascii="Calibri" w:cs="Calibri" w:eastAsia="Calibri" w:hAnsi="Calibri"/>
                <w:sz w:val="22"/>
                <w:szCs w:val="22"/>
                <w:b w:val="1"/>
                <w:bCs w:val="1"/>
                <w:color w:val="auto"/>
                <w:w w:val="98"/>
              </w:rPr>
              <w:t>Fixed Component</w:t>
            </w:r>
          </w:p>
        </w:tc>
        <w:tc>
          <w:tcPr>
            <w:tcW w:w="2660" w:type="dxa"/>
            <w:vAlign w:val="bottom"/>
            <w:tcBorders>
              <w:right w:val="single" w:sz="8" w:color="auto"/>
            </w:tcBorders>
            <w:shd w:val="clear" w:color="auto" w:fill="CBCBCB"/>
          </w:tcPr>
          <w:p>
            <w:pPr>
              <w:jc w:val="center"/>
              <w:spacing w:after="0" w:line="216" w:lineRule="exact"/>
              <w:rPr>
                <w:sz w:val="20"/>
                <w:szCs w:val="20"/>
                <w:color w:val="auto"/>
              </w:rPr>
            </w:pPr>
            <w:r>
              <w:rPr>
                <w:rFonts w:ascii="Calibri" w:cs="Calibri" w:eastAsia="Calibri" w:hAnsi="Calibri"/>
                <w:sz w:val="18"/>
                <w:szCs w:val="18"/>
                <w:color w:val="auto"/>
                <w:w w:val="99"/>
              </w:rPr>
              <w:t>Base Salary</w:t>
            </w:r>
          </w:p>
        </w:tc>
        <w:tc>
          <w:tcPr>
            <w:tcW w:w="3160" w:type="dxa"/>
            <w:vAlign w:val="bottom"/>
            <w:tcBorders>
              <w:right w:val="single" w:sz="8" w:color="auto"/>
            </w:tcBorders>
            <w:shd w:val="clear" w:color="auto" w:fill="CBCBCB"/>
          </w:tcPr>
          <w:p>
            <w:pPr>
              <w:ind w:left="20"/>
              <w:spacing w:after="0" w:line="216" w:lineRule="exact"/>
              <w:rPr>
                <w:sz w:val="20"/>
                <w:szCs w:val="20"/>
                <w:color w:val="auto"/>
              </w:rPr>
            </w:pPr>
            <w:r>
              <w:rPr>
                <w:rFonts w:ascii="Calibri" w:cs="Calibri" w:eastAsia="Calibri" w:hAnsi="Calibri"/>
                <w:sz w:val="18"/>
                <w:szCs w:val="18"/>
                <w:color w:val="auto"/>
              </w:rPr>
              <w:t>compettve with the companies with</w:t>
            </w:r>
          </w:p>
        </w:tc>
        <w:tc>
          <w:tcPr>
            <w:tcW w:w="2820" w:type="dxa"/>
            <w:vAlign w:val="bottom"/>
            <w:tcBorders>
              <w:right w:val="single" w:sz="8" w:color="auto"/>
            </w:tcBorders>
            <w:shd w:val="clear" w:color="auto" w:fill="CBCBCB"/>
          </w:tcPr>
          <w:p>
            <w:pPr>
              <w:spacing w:after="0" w:line="216" w:lineRule="exact"/>
              <w:rPr>
                <w:sz w:val="20"/>
                <w:szCs w:val="20"/>
                <w:color w:val="auto"/>
              </w:rPr>
            </w:pPr>
            <w:r>
              <w:rPr>
                <w:rFonts w:ascii="Calibri" w:cs="Calibri" w:eastAsia="Calibri" w:hAnsi="Calibri"/>
                <w:sz w:val="18"/>
                <w:szCs w:val="18"/>
                <w:color w:val="auto"/>
              </w:rPr>
              <w:t>positon, compettve pay assessment</w:t>
            </w:r>
          </w:p>
        </w:tc>
        <w:tc>
          <w:tcPr>
            <w:tcW w:w="0" w:type="dxa"/>
            <w:vAlign w:val="bottom"/>
          </w:tcPr>
          <w:p>
            <w:pPr>
              <w:spacing w:after="0"/>
              <w:rPr>
                <w:sz w:val="1"/>
                <w:szCs w:val="1"/>
                <w:color w:val="auto"/>
              </w:rPr>
            </w:pPr>
          </w:p>
        </w:tc>
      </w:tr>
      <w:tr>
        <w:trPr>
          <w:trHeight w:val="248"/>
        </w:trPr>
        <w:tc>
          <w:tcPr>
            <w:tcW w:w="1680" w:type="dxa"/>
            <w:vAlign w:val="bottom"/>
            <w:tcBorders>
              <w:left w:val="single" w:sz="8" w:color="auto"/>
              <w:bottom w:val="single" w:sz="8" w:color="CBCBCB"/>
              <w:right w:val="single" w:sz="8" w:color="auto"/>
            </w:tcBorders>
            <w:shd w:val="clear" w:color="auto" w:fill="CBCBCB"/>
          </w:tcPr>
          <w:p>
            <w:pPr>
              <w:spacing w:after="0"/>
              <w:rPr>
                <w:sz w:val="21"/>
                <w:szCs w:val="21"/>
                <w:color w:val="auto"/>
              </w:rPr>
            </w:pPr>
          </w:p>
        </w:tc>
        <w:tc>
          <w:tcPr>
            <w:tcW w:w="2660" w:type="dxa"/>
            <w:vAlign w:val="bottom"/>
            <w:tcBorders>
              <w:bottom w:val="single" w:sz="8" w:color="CBCBCB"/>
              <w:right w:val="single" w:sz="8" w:color="auto"/>
            </w:tcBorders>
            <w:shd w:val="clear" w:color="auto" w:fill="CBCBCB"/>
          </w:tcPr>
          <w:p>
            <w:pPr>
              <w:jc w:val="center"/>
              <w:spacing w:after="0" w:line="215" w:lineRule="exact"/>
              <w:rPr>
                <w:sz w:val="20"/>
                <w:szCs w:val="20"/>
                <w:color w:val="auto"/>
              </w:rPr>
            </w:pPr>
            <w:r>
              <w:rPr>
                <w:rFonts w:ascii="Calibri" w:cs="Calibri" w:eastAsia="Calibri" w:hAnsi="Calibri"/>
                <w:sz w:val="18"/>
                <w:szCs w:val="18"/>
                <w:color w:val="auto"/>
                <w:w w:val="96"/>
              </w:rPr>
              <w:t>(Cash)</w:t>
            </w:r>
          </w:p>
        </w:tc>
        <w:tc>
          <w:tcPr>
            <w:tcW w:w="3160" w:type="dxa"/>
            <w:vAlign w:val="bottom"/>
            <w:tcBorders>
              <w:bottom w:val="single" w:sz="8" w:color="CBCBCB"/>
              <w:right w:val="single" w:sz="8" w:color="auto"/>
            </w:tcBorders>
            <w:shd w:val="clear" w:color="auto" w:fill="CBCBCB"/>
          </w:tcPr>
          <w:p>
            <w:pPr>
              <w:ind w:left="20"/>
              <w:spacing w:after="0" w:line="215" w:lineRule="exact"/>
              <w:rPr>
                <w:sz w:val="20"/>
                <w:szCs w:val="20"/>
                <w:color w:val="auto"/>
              </w:rPr>
            </w:pPr>
            <w:r>
              <w:rPr>
                <w:rFonts w:ascii="Calibri" w:cs="Calibri" w:eastAsia="Calibri" w:hAnsi="Calibri"/>
                <w:sz w:val="18"/>
                <w:szCs w:val="18"/>
                <w:color w:val="auto"/>
              </w:rPr>
              <w:t>which we compete for talent</w:t>
            </w:r>
          </w:p>
        </w:tc>
        <w:tc>
          <w:tcPr>
            <w:tcW w:w="2820" w:type="dxa"/>
            <w:vAlign w:val="bottom"/>
            <w:tcBorders>
              <w:bottom w:val="single" w:sz="8" w:color="CBCBCB"/>
              <w:right w:val="single" w:sz="8" w:color="auto"/>
            </w:tcBorders>
            <w:shd w:val="clear" w:color="auto" w:fill="CBCBCB"/>
          </w:tcPr>
          <w:p>
            <w:pPr>
              <w:spacing w:after="0" w:line="215" w:lineRule="exact"/>
              <w:rPr>
                <w:sz w:val="20"/>
                <w:szCs w:val="20"/>
                <w:color w:val="auto"/>
              </w:rPr>
            </w:pPr>
            <w:r>
              <w:rPr>
                <w:rFonts w:ascii="Calibri" w:cs="Calibri" w:eastAsia="Calibri" w:hAnsi="Calibri"/>
                <w:sz w:val="18"/>
                <w:szCs w:val="18"/>
                <w:color w:val="auto"/>
              </w:rPr>
              <w:t>and individual performance</w:t>
            </w:r>
          </w:p>
        </w:tc>
        <w:tc>
          <w:tcPr>
            <w:tcW w:w="0" w:type="dxa"/>
            <w:vAlign w:val="bottom"/>
          </w:tcPr>
          <w:p>
            <w:pPr>
              <w:spacing w:after="0"/>
              <w:rPr>
                <w:sz w:val="1"/>
                <w:szCs w:val="1"/>
                <w:color w:val="auto"/>
              </w:rPr>
            </w:pPr>
          </w:p>
        </w:tc>
      </w:tr>
      <w:tr>
        <w:trPr>
          <w:trHeight w:val="213"/>
        </w:trPr>
        <w:tc>
          <w:tcPr>
            <w:tcW w:w="1680" w:type="dxa"/>
            <w:vAlign w:val="bottom"/>
            <w:tcBorders>
              <w:top w:val="single" w:sz="8" w:color="auto"/>
              <w:left w:val="single" w:sz="8" w:color="auto"/>
              <w:right w:val="single" w:sz="8" w:color="auto"/>
            </w:tcBorders>
            <w:shd w:val="clear" w:color="auto" w:fill="B2B2B2"/>
          </w:tcPr>
          <w:p>
            <w:pPr>
              <w:spacing w:after="0"/>
              <w:rPr>
                <w:sz w:val="18"/>
                <w:szCs w:val="18"/>
                <w:color w:val="auto"/>
              </w:rPr>
            </w:pPr>
          </w:p>
        </w:tc>
        <w:tc>
          <w:tcPr>
            <w:tcW w:w="2660" w:type="dxa"/>
            <w:vAlign w:val="bottom"/>
            <w:tcBorders>
              <w:top w:val="single" w:sz="8" w:color="auto"/>
              <w:right w:val="single" w:sz="8" w:color="auto"/>
            </w:tcBorders>
            <w:shd w:val="clear" w:color="auto" w:fill="B2B2B2"/>
          </w:tcPr>
          <w:p>
            <w:pPr>
              <w:spacing w:after="0"/>
              <w:rPr>
                <w:sz w:val="18"/>
                <w:szCs w:val="18"/>
                <w:color w:val="auto"/>
              </w:rPr>
            </w:pPr>
          </w:p>
        </w:tc>
        <w:tc>
          <w:tcPr>
            <w:tcW w:w="3160" w:type="dxa"/>
            <w:vAlign w:val="bottom"/>
            <w:tcBorders>
              <w:top w:val="single" w:sz="8" w:color="auto"/>
              <w:right w:val="single" w:sz="8" w:color="auto"/>
            </w:tcBorders>
            <w:shd w:val="clear" w:color="auto" w:fill="B2B2B2"/>
          </w:tcPr>
          <w:p>
            <w:pPr>
              <w:ind w:left="20"/>
              <w:spacing w:after="0" w:line="213" w:lineRule="exact"/>
              <w:rPr>
                <w:sz w:val="20"/>
                <w:szCs w:val="20"/>
                <w:color w:val="auto"/>
              </w:rPr>
            </w:pPr>
            <w:r>
              <w:rPr>
                <w:rFonts w:ascii="Calibri" w:cs="Calibri" w:eastAsia="Calibri" w:hAnsi="Calibri"/>
                <w:sz w:val="18"/>
                <w:szCs w:val="18"/>
                <w:color w:val="auto"/>
              </w:rPr>
              <w:t>Rewards the achievement of operatonal</w:t>
            </w:r>
          </w:p>
        </w:tc>
        <w:tc>
          <w:tcPr>
            <w:tcW w:w="2820" w:type="dxa"/>
            <w:vAlign w:val="bottom"/>
            <w:tcBorders>
              <w:top w:val="single" w:sz="8" w:color="auto"/>
              <w:right w:val="single" w:sz="8" w:color="auto"/>
            </w:tcBorders>
            <w:shd w:val="clear" w:color="auto" w:fill="B2B2B2"/>
          </w:tcPr>
          <w:p>
            <w:pPr>
              <w:spacing w:after="0" w:line="213" w:lineRule="exact"/>
              <w:rPr>
                <w:sz w:val="20"/>
                <w:szCs w:val="20"/>
                <w:color w:val="auto"/>
              </w:rPr>
            </w:pPr>
            <w:r>
              <w:rPr>
                <w:rFonts w:ascii="Calibri" w:cs="Calibri" w:eastAsia="Calibri" w:hAnsi="Calibri"/>
                <w:sz w:val="18"/>
                <w:szCs w:val="18"/>
                <w:color w:val="auto"/>
              </w:rPr>
              <w:t>Annual cash award, which for fscal</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line="216" w:lineRule="exact"/>
              <w:rPr>
                <w:sz w:val="20"/>
                <w:szCs w:val="20"/>
                <w:color w:val="auto"/>
              </w:rPr>
            </w:pPr>
            <w:r>
              <w:rPr>
                <w:rFonts w:ascii="Calibri" w:cs="Calibri" w:eastAsia="Calibri" w:hAnsi="Calibri"/>
                <w:sz w:val="18"/>
                <w:szCs w:val="18"/>
                <w:color w:val="auto"/>
              </w:rPr>
              <w:t>and other performance goals</w:t>
            </w:r>
          </w:p>
        </w:tc>
        <w:tc>
          <w:tcPr>
            <w:tcW w:w="2820" w:type="dxa"/>
            <w:vAlign w:val="bottom"/>
            <w:tcBorders>
              <w:right w:val="single" w:sz="8" w:color="auto"/>
            </w:tcBorders>
            <w:shd w:val="clear" w:color="auto" w:fill="B2B2B2"/>
          </w:tcPr>
          <w:p>
            <w:pPr>
              <w:spacing w:after="0" w:line="216" w:lineRule="exact"/>
              <w:rPr>
                <w:sz w:val="20"/>
                <w:szCs w:val="20"/>
                <w:color w:val="auto"/>
              </w:rPr>
            </w:pPr>
            <w:r>
              <w:rPr>
                <w:rFonts w:ascii="Calibri" w:cs="Calibri" w:eastAsia="Calibri" w:hAnsi="Calibri"/>
                <w:sz w:val="18"/>
                <w:szCs w:val="18"/>
                <w:color w:val="auto"/>
              </w:rPr>
              <w:t>2024 was subject to achievement of</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spacing w:after="0"/>
              <w:rPr>
                <w:sz w:val="18"/>
                <w:szCs w:val="18"/>
                <w:color w:val="auto"/>
              </w:rPr>
            </w:pPr>
          </w:p>
        </w:tc>
        <w:tc>
          <w:tcPr>
            <w:tcW w:w="2820" w:type="dxa"/>
            <w:vAlign w:val="bottom"/>
            <w:tcBorders>
              <w:right w:val="single" w:sz="8" w:color="auto"/>
            </w:tcBorders>
            <w:shd w:val="clear" w:color="auto" w:fill="B2B2B2"/>
          </w:tcPr>
          <w:p>
            <w:pPr>
              <w:spacing w:after="0" w:line="216" w:lineRule="exact"/>
              <w:rPr>
                <w:sz w:val="20"/>
                <w:szCs w:val="20"/>
                <w:color w:val="auto"/>
              </w:rPr>
            </w:pPr>
            <w:r>
              <w:rPr>
                <w:rFonts w:ascii="Calibri" w:cs="Calibri" w:eastAsia="Calibri" w:hAnsi="Calibri"/>
                <w:sz w:val="18"/>
                <w:szCs w:val="18"/>
                <w:color w:val="auto"/>
              </w:rPr>
              <w:t>company and business unit</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line="216" w:lineRule="exact"/>
              <w:rPr>
                <w:sz w:val="20"/>
                <w:szCs w:val="20"/>
                <w:color w:val="auto"/>
              </w:rPr>
            </w:pPr>
            <w:r>
              <w:rPr>
                <w:rFonts w:ascii="Calibri" w:cs="Calibri" w:eastAsia="Calibri" w:hAnsi="Calibri"/>
                <w:sz w:val="18"/>
                <w:szCs w:val="18"/>
                <w:color w:val="auto"/>
              </w:rPr>
              <w:t>Motvates performance by delivering</w:t>
            </w:r>
          </w:p>
        </w:tc>
        <w:tc>
          <w:tcPr>
            <w:tcW w:w="2820" w:type="dxa"/>
            <w:vAlign w:val="bottom"/>
            <w:tcBorders>
              <w:right w:val="single" w:sz="8" w:color="auto"/>
            </w:tcBorders>
            <w:shd w:val="clear" w:color="auto" w:fill="B2B2B2"/>
          </w:tcPr>
          <w:p>
            <w:pPr>
              <w:spacing w:after="0" w:line="216" w:lineRule="exact"/>
              <w:rPr>
                <w:sz w:val="20"/>
                <w:szCs w:val="20"/>
                <w:color w:val="auto"/>
              </w:rPr>
            </w:pPr>
            <w:r>
              <w:rPr>
                <w:rFonts w:ascii="Calibri" w:cs="Calibri" w:eastAsia="Calibri" w:hAnsi="Calibri"/>
                <w:sz w:val="18"/>
                <w:szCs w:val="18"/>
                <w:color w:val="auto"/>
              </w:rPr>
              <w:t>performance goals</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vMerge w:val="restart"/>
            <w:shd w:val="clear" w:color="auto" w:fill="B2B2B2"/>
          </w:tcPr>
          <w:p>
            <w:pPr>
              <w:jc w:val="center"/>
              <w:spacing w:after="0"/>
              <w:rPr>
                <w:sz w:val="20"/>
                <w:szCs w:val="20"/>
                <w:color w:val="auto"/>
              </w:rPr>
            </w:pPr>
            <w:r>
              <w:rPr>
                <w:rFonts w:ascii="Calibri" w:cs="Calibri" w:eastAsia="Calibri" w:hAnsi="Calibri"/>
                <w:sz w:val="18"/>
                <w:szCs w:val="18"/>
                <w:color w:val="auto"/>
                <w:w w:val="99"/>
              </w:rPr>
              <w:t>Annual Non-Equity Incentve</w:t>
            </w:r>
          </w:p>
        </w:tc>
        <w:tc>
          <w:tcPr>
            <w:tcW w:w="3160" w:type="dxa"/>
            <w:vAlign w:val="bottom"/>
            <w:tcBorders>
              <w:right w:val="single" w:sz="8" w:color="auto"/>
            </w:tcBorders>
            <w:shd w:val="clear" w:color="auto" w:fill="B2B2B2"/>
          </w:tcPr>
          <w:p>
            <w:pPr>
              <w:ind w:left="20"/>
              <w:spacing w:after="0" w:line="216" w:lineRule="exact"/>
              <w:rPr>
                <w:sz w:val="20"/>
                <w:szCs w:val="20"/>
                <w:color w:val="auto"/>
              </w:rPr>
            </w:pPr>
            <w:r>
              <w:rPr>
                <w:rFonts w:ascii="Calibri" w:cs="Calibri" w:eastAsia="Calibri" w:hAnsi="Calibri"/>
                <w:sz w:val="18"/>
                <w:szCs w:val="18"/>
                <w:color w:val="auto"/>
                <w:w w:val="99"/>
              </w:rPr>
              <w:t>greater rewards for superior company and</w:t>
            </w: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continue"/>
            <w:shd w:val="clear" w:color="auto" w:fill="B2B2B2"/>
          </w:tcPr>
          <w:p>
            <w:pPr>
              <w:spacing w:after="0"/>
              <w:rPr>
                <w:sz w:val="9"/>
                <w:szCs w:val="9"/>
                <w:color w:val="auto"/>
              </w:rPr>
            </w:pPr>
          </w:p>
        </w:tc>
        <w:tc>
          <w:tcPr>
            <w:tcW w:w="3160" w:type="dxa"/>
            <w:vAlign w:val="bottom"/>
            <w:tcBorders>
              <w:right w:val="single" w:sz="8" w:color="auto"/>
            </w:tcBorders>
            <w:vMerge w:val="restart"/>
            <w:shd w:val="clear" w:color="auto" w:fill="B2B2B2"/>
          </w:tcPr>
          <w:p>
            <w:pPr>
              <w:ind w:left="20"/>
              <w:spacing w:after="0" w:line="216" w:lineRule="exact"/>
              <w:rPr>
                <w:sz w:val="20"/>
                <w:szCs w:val="20"/>
                <w:color w:val="auto"/>
              </w:rPr>
            </w:pPr>
            <w:r>
              <w:rPr>
                <w:rFonts w:ascii="Calibri" w:cs="Calibri" w:eastAsia="Calibri" w:hAnsi="Calibri"/>
                <w:sz w:val="18"/>
                <w:szCs w:val="18"/>
                <w:color w:val="auto"/>
              </w:rPr>
              <w:t>business unit performance, while</w:t>
            </w: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restart"/>
            <w:shd w:val="clear" w:color="auto" w:fill="B2B2B2"/>
          </w:tcPr>
          <w:p>
            <w:pPr>
              <w:jc w:val="center"/>
              <w:spacing w:after="0" w:line="216" w:lineRule="exact"/>
              <w:rPr>
                <w:sz w:val="20"/>
                <w:szCs w:val="20"/>
                <w:color w:val="auto"/>
              </w:rPr>
            </w:pPr>
            <w:r>
              <w:rPr>
                <w:rFonts w:ascii="Calibri" w:cs="Calibri" w:eastAsia="Calibri" w:hAnsi="Calibri"/>
                <w:sz w:val="18"/>
                <w:szCs w:val="18"/>
                <w:color w:val="auto"/>
              </w:rPr>
              <w:t>Compensaton</w:t>
            </w:r>
          </w:p>
        </w:tc>
        <w:tc>
          <w:tcPr>
            <w:tcW w:w="3160" w:type="dxa"/>
            <w:vAlign w:val="bottom"/>
            <w:tcBorders>
              <w:right w:val="single" w:sz="8" w:color="auto"/>
            </w:tcBorders>
            <w:vMerge w:val="continue"/>
            <w:shd w:val="clear" w:color="auto" w:fill="B2B2B2"/>
          </w:tcPr>
          <w:p>
            <w:pPr>
              <w:spacing w:after="0"/>
              <w:rPr>
                <w:sz w:val="9"/>
                <w:szCs w:val="9"/>
                <w:color w:val="auto"/>
              </w:rPr>
            </w:pP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continue"/>
            <w:shd w:val="clear" w:color="auto" w:fill="B2B2B2"/>
          </w:tcPr>
          <w:p>
            <w:pPr>
              <w:spacing w:after="0"/>
              <w:rPr>
                <w:sz w:val="9"/>
                <w:szCs w:val="9"/>
                <w:color w:val="auto"/>
              </w:rPr>
            </w:pPr>
          </w:p>
        </w:tc>
        <w:tc>
          <w:tcPr>
            <w:tcW w:w="3160" w:type="dxa"/>
            <w:vAlign w:val="bottom"/>
            <w:tcBorders>
              <w:right w:val="single" w:sz="8" w:color="auto"/>
            </w:tcBorders>
            <w:vMerge w:val="restart"/>
            <w:shd w:val="clear" w:color="auto" w:fill="B2B2B2"/>
          </w:tcPr>
          <w:p>
            <w:pPr>
              <w:ind w:left="20"/>
              <w:spacing w:after="0" w:line="216" w:lineRule="exact"/>
              <w:rPr>
                <w:sz w:val="20"/>
                <w:szCs w:val="20"/>
                <w:color w:val="auto"/>
              </w:rPr>
            </w:pPr>
            <w:r>
              <w:rPr>
                <w:rFonts w:ascii="Calibri" w:cs="Calibri" w:eastAsia="Calibri" w:hAnsi="Calibri"/>
                <w:sz w:val="18"/>
                <w:szCs w:val="18"/>
                <w:color w:val="auto"/>
              </w:rPr>
              <w:t>delivering reduced or no awards for</w:t>
            </w: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restart"/>
            <w:shd w:val="clear" w:color="auto" w:fill="B2B2B2"/>
          </w:tcPr>
          <w:p>
            <w:pPr>
              <w:jc w:val="center"/>
              <w:spacing w:after="0" w:line="216" w:lineRule="exact"/>
              <w:rPr>
                <w:sz w:val="20"/>
                <w:szCs w:val="20"/>
                <w:color w:val="auto"/>
              </w:rPr>
            </w:pPr>
            <w:r>
              <w:rPr>
                <w:rFonts w:ascii="Calibri" w:cs="Calibri" w:eastAsia="Calibri" w:hAnsi="Calibri"/>
                <w:sz w:val="18"/>
                <w:szCs w:val="18"/>
                <w:color w:val="auto"/>
                <w:w w:val="96"/>
              </w:rPr>
              <w:t>(Cash)</w:t>
            </w:r>
          </w:p>
        </w:tc>
        <w:tc>
          <w:tcPr>
            <w:tcW w:w="3160" w:type="dxa"/>
            <w:vAlign w:val="bottom"/>
            <w:tcBorders>
              <w:right w:val="single" w:sz="8" w:color="auto"/>
            </w:tcBorders>
            <w:vMerge w:val="continue"/>
            <w:shd w:val="clear" w:color="auto" w:fill="B2B2B2"/>
          </w:tcPr>
          <w:p>
            <w:pPr>
              <w:spacing w:after="0"/>
              <w:rPr>
                <w:sz w:val="9"/>
                <w:szCs w:val="9"/>
                <w:color w:val="auto"/>
              </w:rPr>
            </w:pP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continue"/>
            <w:shd w:val="clear" w:color="auto" w:fill="B2B2B2"/>
          </w:tcPr>
          <w:p>
            <w:pPr>
              <w:spacing w:after="0"/>
              <w:rPr>
                <w:sz w:val="9"/>
                <w:szCs w:val="9"/>
                <w:color w:val="auto"/>
              </w:rPr>
            </w:pPr>
          </w:p>
        </w:tc>
        <w:tc>
          <w:tcPr>
            <w:tcW w:w="3160" w:type="dxa"/>
            <w:vAlign w:val="bottom"/>
            <w:tcBorders>
              <w:right w:val="single" w:sz="8" w:color="auto"/>
            </w:tcBorders>
            <w:vMerge w:val="restart"/>
            <w:shd w:val="clear" w:color="auto" w:fill="B2B2B2"/>
          </w:tcPr>
          <w:p>
            <w:pPr>
              <w:ind w:left="20"/>
              <w:spacing w:after="0" w:line="216" w:lineRule="exact"/>
              <w:rPr>
                <w:sz w:val="20"/>
                <w:szCs w:val="20"/>
                <w:color w:val="auto"/>
              </w:rPr>
            </w:pPr>
            <w:r>
              <w:rPr>
                <w:rFonts w:ascii="Calibri" w:cs="Calibri" w:eastAsia="Calibri" w:hAnsi="Calibri"/>
                <w:sz w:val="18"/>
                <w:szCs w:val="18"/>
                <w:color w:val="auto"/>
              </w:rPr>
              <w:t>company or business unit</w:t>
            </w: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shd w:val="clear" w:color="auto" w:fill="B2B2B2"/>
          </w:tcPr>
          <w:p>
            <w:pPr>
              <w:spacing w:after="0"/>
              <w:rPr>
                <w:sz w:val="9"/>
                <w:szCs w:val="9"/>
                <w:color w:val="auto"/>
              </w:rPr>
            </w:pPr>
          </w:p>
        </w:tc>
        <w:tc>
          <w:tcPr>
            <w:tcW w:w="3160" w:type="dxa"/>
            <w:vAlign w:val="bottom"/>
            <w:tcBorders>
              <w:right w:val="single" w:sz="8" w:color="auto"/>
            </w:tcBorders>
            <w:vMerge w:val="continue"/>
            <w:shd w:val="clear" w:color="auto" w:fill="B2B2B2"/>
          </w:tcPr>
          <w:p>
            <w:pPr>
              <w:spacing w:after="0"/>
              <w:rPr>
                <w:sz w:val="9"/>
                <w:szCs w:val="9"/>
                <w:color w:val="auto"/>
              </w:rPr>
            </w:pP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line="216" w:lineRule="exact"/>
              <w:rPr>
                <w:sz w:val="20"/>
                <w:szCs w:val="20"/>
                <w:color w:val="auto"/>
              </w:rPr>
            </w:pPr>
            <w:r>
              <w:rPr>
                <w:rFonts w:ascii="Calibri" w:cs="Calibri" w:eastAsia="Calibri" w:hAnsi="Calibri"/>
                <w:sz w:val="18"/>
                <w:szCs w:val="18"/>
                <w:color w:val="auto"/>
              </w:rPr>
              <w:t>underperformance</w:t>
            </w: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1680" w:type="dxa"/>
            <w:vAlign w:val="bottom"/>
            <w:tcBorders>
              <w:left w:val="single" w:sz="8" w:color="auto"/>
              <w:right w:val="single" w:sz="8" w:color="auto"/>
            </w:tcBorders>
            <w:shd w:val="clear" w:color="auto" w:fill="B2B2B2"/>
          </w:tcPr>
          <w:p>
            <w:pPr>
              <w:jc w:val="center"/>
              <w:spacing w:after="0"/>
              <w:rPr>
                <w:sz w:val="20"/>
                <w:szCs w:val="20"/>
                <w:color w:val="auto"/>
              </w:rPr>
            </w:pPr>
            <w:r>
              <w:rPr>
                <w:rFonts w:ascii="Calibri" w:cs="Calibri" w:eastAsia="Calibri" w:hAnsi="Calibri"/>
                <w:sz w:val="22"/>
                <w:szCs w:val="22"/>
                <w:b w:val="1"/>
                <w:bCs w:val="1"/>
                <w:color w:val="auto"/>
                <w:w w:val="97"/>
              </w:rPr>
              <w:t>Performance-</w:t>
            </w:r>
          </w:p>
        </w:tc>
        <w:tc>
          <w:tcPr>
            <w:tcW w:w="2660" w:type="dxa"/>
            <w:vAlign w:val="bottom"/>
            <w:tcBorders>
              <w:right w:val="single" w:sz="8" w:color="auto"/>
            </w:tcBorders>
            <w:shd w:val="clear" w:color="auto" w:fill="B2B2B2"/>
          </w:tcPr>
          <w:p>
            <w:pPr>
              <w:spacing w:after="0"/>
              <w:rPr>
                <w:sz w:val="24"/>
                <w:szCs w:val="24"/>
                <w:color w:val="auto"/>
              </w:rPr>
            </w:pPr>
          </w:p>
        </w:tc>
        <w:tc>
          <w:tcPr>
            <w:tcW w:w="3160" w:type="dxa"/>
            <w:vAlign w:val="bottom"/>
            <w:tcBorders>
              <w:right w:val="single" w:sz="8" w:color="auto"/>
            </w:tcBorders>
            <w:shd w:val="clear" w:color="auto" w:fill="B2B2B2"/>
          </w:tcPr>
          <w:p>
            <w:pPr>
              <w:spacing w:after="0"/>
              <w:rPr>
                <w:sz w:val="24"/>
                <w:szCs w:val="24"/>
                <w:color w:val="auto"/>
              </w:rPr>
            </w:pPr>
          </w:p>
        </w:tc>
        <w:tc>
          <w:tcPr>
            <w:tcW w:w="2820" w:type="dxa"/>
            <w:vAlign w:val="bottom"/>
            <w:tcBorders>
              <w:right w:val="single" w:sz="8" w:color="auto"/>
            </w:tcBorders>
            <w:shd w:val="clear" w:color="auto" w:fill="B2B2B2"/>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680" w:type="dxa"/>
            <w:vAlign w:val="bottom"/>
            <w:tcBorders>
              <w:left w:val="single" w:sz="8" w:color="auto"/>
              <w:bottom w:val="single" w:sz="8" w:color="B2B2B2"/>
              <w:right w:val="single" w:sz="8" w:color="auto"/>
            </w:tcBorders>
            <w:vMerge w:val="restart"/>
            <w:shd w:val="clear" w:color="auto" w:fill="B2B2B2"/>
          </w:tcPr>
          <w:p>
            <w:pPr>
              <w:jc w:val="center"/>
              <w:spacing w:after="0" w:line="257" w:lineRule="exact"/>
              <w:rPr>
                <w:sz w:val="20"/>
                <w:szCs w:val="20"/>
                <w:color w:val="auto"/>
              </w:rPr>
            </w:pPr>
            <w:r>
              <w:rPr>
                <w:rFonts w:ascii="Calibri" w:cs="Calibri" w:eastAsia="Calibri" w:hAnsi="Calibri"/>
                <w:sz w:val="22"/>
                <w:szCs w:val="22"/>
                <w:b w:val="1"/>
                <w:bCs w:val="1"/>
                <w:color w:val="auto"/>
                <w:w w:val="98"/>
              </w:rPr>
              <w:t>Based</w:t>
            </w:r>
          </w:p>
        </w:tc>
        <w:tc>
          <w:tcPr>
            <w:tcW w:w="2660" w:type="dxa"/>
            <w:vAlign w:val="bottom"/>
            <w:tcBorders>
              <w:bottom w:val="single" w:sz="8" w:color="auto"/>
              <w:right w:val="single" w:sz="8" w:color="auto"/>
            </w:tcBorders>
            <w:shd w:val="clear" w:color="auto" w:fill="B2B2B2"/>
          </w:tcPr>
          <w:p>
            <w:pPr>
              <w:spacing w:after="0"/>
              <w:rPr>
                <w:sz w:val="14"/>
                <w:szCs w:val="14"/>
                <w:color w:val="auto"/>
              </w:rPr>
            </w:pPr>
          </w:p>
        </w:tc>
        <w:tc>
          <w:tcPr>
            <w:tcW w:w="3160" w:type="dxa"/>
            <w:vAlign w:val="bottom"/>
            <w:tcBorders>
              <w:bottom w:val="single" w:sz="8" w:color="auto"/>
              <w:right w:val="single" w:sz="8" w:color="auto"/>
            </w:tcBorders>
            <w:shd w:val="clear" w:color="auto" w:fill="B2B2B2"/>
          </w:tcPr>
          <w:p>
            <w:pPr>
              <w:spacing w:after="0"/>
              <w:rPr>
                <w:sz w:val="14"/>
                <w:szCs w:val="14"/>
                <w:color w:val="auto"/>
              </w:rPr>
            </w:pPr>
          </w:p>
        </w:tc>
        <w:tc>
          <w:tcPr>
            <w:tcW w:w="2820" w:type="dxa"/>
            <w:vAlign w:val="bottom"/>
            <w:tcBorders>
              <w:bottom w:val="single" w:sz="8" w:color="auto"/>
              <w:right w:val="single" w:sz="8" w:color="auto"/>
            </w:tcBorders>
            <w:shd w:val="clear" w:color="auto" w:fill="B2B2B2"/>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680" w:type="dxa"/>
            <w:vAlign w:val="bottom"/>
            <w:tcBorders>
              <w:left w:val="single" w:sz="8" w:color="auto"/>
              <w:right w:val="single" w:sz="8" w:color="auto"/>
            </w:tcBorders>
            <w:vMerge w:val="continue"/>
            <w:shd w:val="clear" w:color="auto" w:fill="B2B2B2"/>
          </w:tcPr>
          <w:p>
            <w:pPr>
              <w:spacing w:after="0"/>
              <w:rPr>
                <w:sz w:val="6"/>
                <w:szCs w:val="6"/>
                <w:color w:val="auto"/>
              </w:rPr>
            </w:pPr>
          </w:p>
        </w:tc>
        <w:tc>
          <w:tcPr>
            <w:tcW w:w="2660" w:type="dxa"/>
            <w:vAlign w:val="bottom"/>
            <w:tcBorders>
              <w:right w:val="single" w:sz="8" w:color="auto"/>
            </w:tcBorders>
            <w:shd w:val="clear" w:color="auto" w:fill="B2B2B2"/>
          </w:tcPr>
          <w:p>
            <w:pPr>
              <w:spacing w:after="0"/>
              <w:rPr>
                <w:sz w:val="6"/>
                <w:szCs w:val="6"/>
                <w:color w:val="auto"/>
              </w:rPr>
            </w:pPr>
          </w:p>
        </w:tc>
        <w:tc>
          <w:tcPr>
            <w:tcW w:w="3160" w:type="dxa"/>
            <w:vAlign w:val="bottom"/>
            <w:tcBorders>
              <w:right w:val="single" w:sz="8" w:color="auto"/>
            </w:tcBorders>
            <w:vMerge w:val="restart"/>
            <w:shd w:val="clear" w:color="auto" w:fill="B2B2B2"/>
          </w:tcPr>
          <w:p>
            <w:pPr>
              <w:ind w:left="20"/>
              <w:spacing w:after="0" w:line="213" w:lineRule="exact"/>
              <w:rPr>
                <w:sz w:val="20"/>
                <w:szCs w:val="20"/>
                <w:color w:val="auto"/>
              </w:rPr>
            </w:pPr>
            <w:r>
              <w:rPr>
                <w:rFonts w:ascii="Calibri" w:cs="Calibri" w:eastAsia="Calibri" w:hAnsi="Calibri"/>
                <w:sz w:val="18"/>
                <w:szCs w:val="18"/>
                <w:color w:val="auto"/>
              </w:rPr>
              <w:t>Incentvizes retenton and aligns</w:t>
            </w:r>
          </w:p>
        </w:tc>
        <w:tc>
          <w:tcPr>
            <w:tcW w:w="2820" w:type="dxa"/>
            <w:vAlign w:val="bottom"/>
            <w:tcBorders>
              <w:right w:val="single" w:sz="8" w:color="auto"/>
            </w:tcBorders>
            <w:vMerge w:val="restart"/>
            <w:shd w:val="clear" w:color="auto" w:fill="B2B2B2"/>
          </w:tcPr>
          <w:p>
            <w:pPr>
              <w:spacing w:after="0" w:line="213" w:lineRule="exact"/>
              <w:rPr>
                <w:sz w:val="20"/>
                <w:szCs w:val="20"/>
                <w:color w:val="auto"/>
              </w:rPr>
            </w:pPr>
            <w:r>
              <w:rPr>
                <w:rFonts w:ascii="Calibri" w:cs="Calibri" w:eastAsia="Calibri" w:hAnsi="Calibri"/>
                <w:sz w:val="18"/>
                <w:szCs w:val="18"/>
                <w:color w:val="auto"/>
              </w:rPr>
              <w:t>One-year performance measurement</w:t>
            </w:r>
          </w:p>
        </w:tc>
        <w:tc>
          <w:tcPr>
            <w:tcW w:w="0" w:type="dxa"/>
            <w:vAlign w:val="bottom"/>
          </w:tcPr>
          <w:p>
            <w:pPr>
              <w:spacing w:after="0"/>
              <w:rPr>
                <w:sz w:val="1"/>
                <w:szCs w:val="1"/>
                <w:color w:val="auto"/>
              </w:rPr>
            </w:pPr>
          </w:p>
        </w:tc>
      </w:tr>
      <w:tr>
        <w:trPr>
          <w:trHeight w:val="140"/>
        </w:trPr>
        <w:tc>
          <w:tcPr>
            <w:tcW w:w="1680" w:type="dxa"/>
            <w:vAlign w:val="bottom"/>
            <w:tcBorders>
              <w:left w:val="single" w:sz="8" w:color="auto"/>
              <w:right w:val="single" w:sz="8" w:color="auto"/>
            </w:tcBorders>
            <w:vMerge w:val="restart"/>
            <w:shd w:val="clear" w:color="auto" w:fill="B2B2B2"/>
          </w:tcPr>
          <w:p>
            <w:pPr>
              <w:jc w:val="center"/>
              <w:spacing w:after="0" w:line="258" w:lineRule="exact"/>
              <w:rPr>
                <w:sz w:val="20"/>
                <w:szCs w:val="20"/>
                <w:color w:val="auto"/>
              </w:rPr>
            </w:pPr>
            <w:r>
              <w:rPr>
                <w:rFonts w:ascii="Calibri" w:cs="Calibri" w:eastAsia="Calibri" w:hAnsi="Calibri"/>
                <w:sz w:val="22"/>
                <w:szCs w:val="22"/>
                <w:b w:val="1"/>
                <w:bCs w:val="1"/>
                <w:color w:val="auto"/>
                <w:w w:val="98"/>
              </w:rPr>
              <w:t>Component</w:t>
            </w:r>
          </w:p>
        </w:tc>
        <w:tc>
          <w:tcPr>
            <w:tcW w:w="2660" w:type="dxa"/>
            <w:vAlign w:val="bottom"/>
            <w:tcBorders>
              <w:right w:val="single" w:sz="8" w:color="auto"/>
            </w:tcBorders>
            <w:shd w:val="clear" w:color="auto" w:fill="B2B2B2"/>
          </w:tcPr>
          <w:p>
            <w:pPr>
              <w:spacing w:after="0"/>
              <w:rPr>
                <w:sz w:val="12"/>
                <w:szCs w:val="12"/>
                <w:color w:val="auto"/>
              </w:rPr>
            </w:pPr>
          </w:p>
        </w:tc>
        <w:tc>
          <w:tcPr>
            <w:tcW w:w="3160" w:type="dxa"/>
            <w:vAlign w:val="bottom"/>
            <w:tcBorders>
              <w:right w:val="single" w:sz="8" w:color="auto"/>
            </w:tcBorders>
            <w:vMerge w:val="continue"/>
            <w:shd w:val="clear" w:color="auto" w:fill="B2B2B2"/>
          </w:tcPr>
          <w:p>
            <w:pPr>
              <w:spacing w:after="0"/>
              <w:rPr>
                <w:sz w:val="12"/>
                <w:szCs w:val="12"/>
                <w:color w:val="auto"/>
              </w:rPr>
            </w:pPr>
          </w:p>
        </w:tc>
        <w:tc>
          <w:tcPr>
            <w:tcW w:w="2820" w:type="dxa"/>
            <w:vAlign w:val="bottom"/>
            <w:tcBorders>
              <w:right w:val="single" w:sz="8" w:color="auto"/>
            </w:tcBorders>
            <w:vMerge w:val="continue"/>
            <w:shd w:val="clear" w:color="auto" w:fill="B2B2B2"/>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680" w:type="dxa"/>
            <w:vAlign w:val="bottom"/>
            <w:tcBorders>
              <w:left w:val="single" w:sz="8" w:color="auto"/>
              <w:right w:val="single" w:sz="8" w:color="auto"/>
            </w:tcBorders>
            <w:vMerge w:val="continue"/>
            <w:shd w:val="clear" w:color="auto" w:fill="B2B2B2"/>
          </w:tcPr>
          <w:p>
            <w:pPr>
              <w:spacing w:after="0"/>
              <w:rPr>
                <w:sz w:val="10"/>
                <w:szCs w:val="10"/>
                <w:color w:val="auto"/>
              </w:rPr>
            </w:pPr>
          </w:p>
        </w:tc>
        <w:tc>
          <w:tcPr>
            <w:tcW w:w="2660" w:type="dxa"/>
            <w:vAlign w:val="bottom"/>
            <w:tcBorders>
              <w:right w:val="single" w:sz="8" w:color="auto"/>
            </w:tcBorders>
            <w:shd w:val="clear" w:color="auto" w:fill="B2B2B2"/>
          </w:tcPr>
          <w:p>
            <w:pPr>
              <w:spacing w:after="0"/>
              <w:rPr>
                <w:sz w:val="10"/>
                <w:szCs w:val="10"/>
                <w:color w:val="auto"/>
              </w:rPr>
            </w:pPr>
          </w:p>
        </w:tc>
        <w:tc>
          <w:tcPr>
            <w:tcW w:w="3160" w:type="dxa"/>
            <w:vAlign w:val="bottom"/>
            <w:tcBorders>
              <w:right w:val="single" w:sz="8" w:color="auto"/>
            </w:tcBorders>
            <w:vMerge w:val="restart"/>
            <w:shd w:val="clear" w:color="auto" w:fill="B2B2B2"/>
          </w:tcPr>
          <w:p>
            <w:pPr>
              <w:ind w:left="20"/>
              <w:spacing w:after="0" w:line="216" w:lineRule="exact"/>
              <w:rPr>
                <w:sz w:val="20"/>
                <w:szCs w:val="20"/>
                <w:color w:val="auto"/>
              </w:rPr>
            </w:pPr>
            <w:r>
              <w:rPr>
                <w:rFonts w:ascii="Calibri" w:cs="Calibri" w:eastAsia="Calibri" w:hAnsi="Calibri"/>
                <w:sz w:val="18"/>
                <w:szCs w:val="18"/>
                <w:color w:val="auto"/>
              </w:rPr>
              <w:t>compensaton to long-term shareholder</w:t>
            </w:r>
          </w:p>
        </w:tc>
        <w:tc>
          <w:tcPr>
            <w:tcW w:w="2820" w:type="dxa"/>
            <w:vAlign w:val="bottom"/>
            <w:tcBorders>
              <w:right w:val="single" w:sz="8" w:color="auto"/>
            </w:tcBorders>
            <w:vMerge w:val="restart"/>
            <w:shd w:val="clear" w:color="auto" w:fill="B2B2B2"/>
          </w:tcPr>
          <w:p>
            <w:pPr>
              <w:spacing w:after="0" w:line="216" w:lineRule="exact"/>
              <w:rPr>
                <w:sz w:val="20"/>
                <w:szCs w:val="20"/>
                <w:color w:val="auto"/>
              </w:rPr>
            </w:pPr>
            <w:r>
              <w:rPr>
                <w:rFonts w:ascii="Calibri" w:cs="Calibri" w:eastAsia="Calibri" w:hAnsi="Calibri"/>
                <w:sz w:val="18"/>
                <w:szCs w:val="18"/>
                <w:color w:val="auto"/>
              </w:rPr>
              <w:t>period, and two-year additonal</w:t>
            </w:r>
          </w:p>
        </w:tc>
        <w:tc>
          <w:tcPr>
            <w:tcW w:w="0" w:type="dxa"/>
            <w:vAlign w:val="bottom"/>
          </w:tcPr>
          <w:p>
            <w:pPr>
              <w:spacing w:after="0"/>
              <w:rPr>
                <w:sz w:val="1"/>
                <w:szCs w:val="1"/>
                <w:color w:val="auto"/>
              </w:rPr>
            </w:pPr>
          </w:p>
        </w:tc>
      </w:tr>
      <w:tr>
        <w:trPr>
          <w:trHeight w:val="98"/>
        </w:trPr>
        <w:tc>
          <w:tcPr>
            <w:tcW w:w="1680" w:type="dxa"/>
            <w:vAlign w:val="bottom"/>
            <w:tcBorders>
              <w:left w:val="single" w:sz="8" w:color="auto"/>
              <w:right w:val="single" w:sz="8" w:color="auto"/>
            </w:tcBorders>
            <w:shd w:val="clear" w:color="auto" w:fill="B2B2B2"/>
          </w:tcPr>
          <w:p>
            <w:pPr>
              <w:spacing w:after="0"/>
              <w:rPr>
                <w:sz w:val="8"/>
                <w:szCs w:val="8"/>
                <w:color w:val="auto"/>
              </w:rPr>
            </w:pPr>
          </w:p>
        </w:tc>
        <w:tc>
          <w:tcPr>
            <w:tcW w:w="2660" w:type="dxa"/>
            <w:vAlign w:val="bottom"/>
            <w:tcBorders>
              <w:right w:val="single" w:sz="8" w:color="auto"/>
            </w:tcBorders>
            <w:shd w:val="clear" w:color="auto" w:fill="B2B2B2"/>
          </w:tcPr>
          <w:p>
            <w:pPr>
              <w:spacing w:after="0"/>
              <w:rPr>
                <w:sz w:val="8"/>
                <w:szCs w:val="8"/>
                <w:color w:val="auto"/>
              </w:rPr>
            </w:pPr>
          </w:p>
        </w:tc>
        <w:tc>
          <w:tcPr>
            <w:tcW w:w="3160" w:type="dxa"/>
            <w:vAlign w:val="bottom"/>
            <w:tcBorders>
              <w:right w:val="single" w:sz="8" w:color="auto"/>
            </w:tcBorders>
            <w:vMerge w:val="continue"/>
            <w:shd w:val="clear" w:color="auto" w:fill="B2B2B2"/>
          </w:tcPr>
          <w:p>
            <w:pPr>
              <w:spacing w:after="0"/>
              <w:rPr>
                <w:sz w:val="8"/>
                <w:szCs w:val="8"/>
                <w:color w:val="auto"/>
              </w:rPr>
            </w:pPr>
          </w:p>
        </w:tc>
        <w:tc>
          <w:tcPr>
            <w:tcW w:w="2820" w:type="dxa"/>
            <w:vAlign w:val="bottom"/>
            <w:tcBorders>
              <w:right w:val="single" w:sz="8" w:color="auto"/>
            </w:tcBorders>
            <w:vMerge w:val="continue"/>
            <w:shd w:val="clear" w:color="auto" w:fill="B2B2B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line="216" w:lineRule="exact"/>
              <w:rPr>
                <w:sz w:val="20"/>
                <w:szCs w:val="20"/>
                <w:color w:val="auto"/>
              </w:rPr>
            </w:pPr>
            <w:r>
              <w:rPr>
                <w:rFonts w:ascii="Calibri" w:cs="Calibri" w:eastAsia="Calibri" w:hAnsi="Calibri"/>
                <w:sz w:val="18"/>
                <w:szCs w:val="18"/>
                <w:color w:val="auto"/>
              </w:rPr>
              <w:t>value and stock price appreciaton</w:t>
            </w:r>
          </w:p>
        </w:tc>
        <w:tc>
          <w:tcPr>
            <w:tcW w:w="2820" w:type="dxa"/>
            <w:vAlign w:val="bottom"/>
            <w:tcBorders>
              <w:right w:val="single" w:sz="8" w:color="auto"/>
            </w:tcBorders>
            <w:shd w:val="clear" w:color="auto" w:fill="B2B2B2"/>
          </w:tcPr>
          <w:p>
            <w:pPr>
              <w:spacing w:after="0" w:line="216" w:lineRule="exact"/>
              <w:rPr>
                <w:sz w:val="20"/>
                <w:szCs w:val="20"/>
                <w:color w:val="auto"/>
              </w:rPr>
            </w:pPr>
            <w:r>
              <w:rPr>
                <w:rFonts w:ascii="Calibri" w:cs="Calibri" w:eastAsia="Calibri" w:hAnsi="Calibri"/>
                <w:sz w:val="18"/>
                <w:szCs w:val="18"/>
                <w:color w:val="auto"/>
              </w:rPr>
              <w:t>vestng period following issuance of</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vMerge w:val="restart"/>
            <w:shd w:val="clear" w:color="auto" w:fill="B2B2B2"/>
          </w:tcPr>
          <w:p>
            <w:pPr>
              <w:jc w:val="center"/>
              <w:spacing w:after="0"/>
              <w:rPr>
                <w:sz w:val="20"/>
                <w:szCs w:val="20"/>
                <w:color w:val="auto"/>
              </w:rPr>
            </w:pPr>
            <w:r>
              <w:rPr>
                <w:rFonts w:ascii="Calibri" w:cs="Calibri" w:eastAsia="Calibri" w:hAnsi="Calibri"/>
                <w:sz w:val="18"/>
                <w:szCs w:val="18"/>
                <w:color w:val="auto"/>
                <w:w w:val="96"/>
              </w:rPr>
              <w:t>Performance-Based Restricted Stock</w:t>
            </w:r>
          </w:p>
        </w:tc>
        <w:tc>
          <w:tcPr>
            <w:tcW w:w="3160" w:type="dxa"/>
            <w:vAlign w:val="bottom"/>
            <w:tcBorders>
              <w:right w:val="single" w:sz="8" w:color="auto"/>
            </w:tcBorders>
            <w:shd w:val="clear" w:color="auto" w:fill="B2B2B2"/>
          </w:tcPr>
          <w:p>
            <w:pPr>
              <w:spacing w:after="0"/>
              <w:rPr>
                <w:sz w:val="18"/>
                <w:szCs w:val="18"/>
                <w:color w:val="auto"/>
              </w:rPr>
            </w:pPr>
          </w:p>
        </w:tc>
        <w:tc>
          <w:tcPr>
            <w:tcW w:w="2820" w:type="dxa"/>
            <w:vAlign w:val="bottom"/>
            <w:tcBorders>
              <w:right w:val="single" w:sz="8" w:color="auto"/>
            </w:tcBorders>
            <w:shd w:val="clear" w:color="auto" w:fill="B2B2B2"/>
          </w:tcPr>
          <w:p>
            <w:pPr>
              <w:spacing w:after="0" w:line="216" w:lineRule="exact"/>
              <w:rPr>
                <w:sz w:val="20"/>
                <w:szCs w:val="20"/>
                <w:color w:val="auto"/>
              </w:rPr>
            </w:pPr>
            <w:r>
              <w:rPr>
                <w:rFonts w:ascii="Calibri" w:cs="Calibri" w:eastAsia="Calibri" w:hAnsi="Calibri"/>
                <w:sz w:val="18"/>
                <w:szCs w:val="18"/>
                <w:color w:val="auto"/>
              </w:rPr>
              <w:t>restricted stock</w:t>
            </w:r>
          </w:p>
        </w:tc>
        <w:tc>
          <w:tcPr>
            <w:tcW w:w="0" w:type="dxa"/>
            <w:vAlign w:val="bottom"/>
          </w:tcPr>
          <w:p>
            <w:pPr>
              <w:spacing w:after="0"/>
              <w:rPr>
                <w:sz w:val="1"/>
                <w:szCs w:val="1"/>
                <w:color w:val="auto"/>
              </w:rPr>
            </w:pPr>
          </w:p>
        </w:tc>
      </w:tr>
      <w:tr>
        <w:trPr>
          <w:trHeight w:val="81"/>
        </w:trPr>
        <w:tc>
          <w:tcPr>
            <w:tcW w:w="1680" w:type="dxa"/>
            <w:vAlign w:val="bottom"/>
            <w:tcBorders>
              <w:left w:val="single" w:sz="8" w:color="auto"/>
              <w:right w:val="single" w:sz="8" w:color="auto"/>
            </w:tcBorders>
            <w:shd w:val="clear" w:color="auto" w:fill="B2B2B2"/>
          </w:tcPr>
          <w:p>
            <w:pPr>
              <w:spacing w:after="0"/>
              <w:rPr>
                <w:sz w:val="7"/>
                <w:szCs w:val="7"/>
                <w:color w:val="auto"/>
              </w:rPr>
            </w:pPr>
          </w:p>
        </w:tc>
        <w:tc>
          <w:tcPr>
            <w:tcW w:w="2660" w:type="dxa"/>
            <w:vAlign w:val="bottom"/>
            <w:tcBorders>
              <w:right w:val="single" w:sz="8" w:color="auto"/>
            </w:tcBorders>
            <w:vMerge w:val="continue"/>
            <w:shd w:val="clear" w:color="auto" w:fill="B2B2B2"/>
          </w:tcPr>
          <w:p>
            <w:pPr>
              <w:spacing w:after="0"/>
              <w:rPr>
                <w:sz w:val="7"/>
                <w:szCs w:val="7"/>
                <w:color w:val="auto"/>
              </w:rPr>
            </w:pPr>
          </w:p>
        </w:tc>
        <w:tc>
          <w:tcPr>
            <w:tcW w:w="3160" w:type="dxa"/>
            <w:vAlign w:val="bottom"/>
            <w:tcBorders>
              <w:right w:val="single" w:sz="8" w:color="auto"/>
            </w:tcBorders>
            <w:vMerge w:val="restart"/>
            <w:shd w:val="clear" w:color="auto" w:fill="B2B2B2"/>
          </w:tcPr>
          <w:p>
            <w:pPr>
              <w:ind w:left="20"/>
              <w:spacing w:after="0" w:line="216" w:lineRule="exact"/>
              <w:rPr>
                <w:sz w:val="20"/>
                <w:szCs w:val="20"/>
                <w:color w:val="auto"/>
              </w:rPr>
            </w:pPr>
            <w:r>
              <w:rPr>
                <w:rFonts w:ascii="Calibri" w:cs="Calibri" w:eastAsia="Calibri" w:hAnsi="Calibri"/>
                <w:sz w:val="18"/>
                <w:szCs w:val="18"/>
                <w:color w:val="auto"/>
              </w:rPr>
              <w:t>Motvates long-term performance by</w:t>
            </w:r>
          </w:p>
        </w:tc>
        <w:tc>
          <w:tcPr>
            <w:tcW w:w="2820" w:type="dxa"/>
            <w:vAlign w:val="bottom"/>
            <w:tcBorders>
              <w:right w:val="single" w:sz="8" w:color="auto"/>
            </w:tcBorders>
            <w:shd w:val="clear" w:color="auto" w:fill="B2B2B2"/>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80" w:type="dxa"/>
            <w:vAlign w:val="bottom"/>
            <w:tcBorders>
              <w:left w:val="single" w:sz="8" w:color="auto"/>
              <w:right w:val="single" w:sz="8" w:color="auto"/>
            </w:tcBorders>
            <w:shd w:val="clear" w:color="auto" w:fill="B2B2B2"/>
          </w:tcPr>
          <w:p>
            <w:pPr>
              <w:spacing w:after="0"/>
              <w:rPr>
                <w:sz w:val="11"/>
                <w:szCs w:val="11"/>
                <w:color w:val="auto"/>
              </w:rPr>
            </w:pPr>
          </w:p>
        </w:tc>
        <w:tc>
          <w:tcPr>
            <w:tcW w:w="2660" w:type="dxa"/>
            <w:vAlign w:val="bottom"/>
            <w:tcBorders>
              <w:right w:val="single" w:sz="8" w:color="auto"/>
            </w:tcBorders>
            <w:vMerge w:val="restart"/>
            <w:shd w:val="clear" w:color="auto" w:fill="B2B2B2"/>
          </w:tcPr>
          <w:p>
            <w:pPr>
              <w:jc w:val="center"/>
              <w:spacing w:after="0" w:line="216" w:lineRule="exact"/>
              <w:rPr>
                <w:sz w:val="20"/>
                <w:szCs w:val="20"/>
                <w:color w:val="auto"/>
              </w:rPr>
            </w:pPr>
            <w:r>
              <w:rPr>
                <w:rFonts w:ascii="Calibri" w:cs="Calibri" w:eastAsia="Calibri" w:hAnsi="Calibri"/>
                <w:sz w:val="18"/>
                <w:szCs w:val="18"/>
                <w:color w:val="auto"/>
                <w:w w:val="97"/>
              </w:rPr>
              <w:t>Unit Awards</w:t>
            </w:r>
          </w:p>
        </w:tc>
        <w:tc>
          <w:tcPr>
            <w:tcW w:w="3160" w:type="dxa"/>
            <w:vAlign w:val="bottom"/>
            <w:tcBorders>
              <w:right w:val="single" w:sz="8" w:color="auto"/>
            </w:tcBorders>
            <w:vMerge w:val="continue"/>
            <w:shd w:val="clear" w:color="auto" w:fill="B2B2B2"/>
          </w:tcPr>
          <w:p>
            <w:pPr>
              <w:spacing w:after="0"/>
              <w:rPr>
                <w:sz w:val="11"/>
                <w:szCs w:val="11"/>
                <w:color w:val="auto"/>
              </w:rPr>
            </w:pPr>
          </w:p>
        </w:tc>
        <w:tc>
          <w:tcPr>
            <w:tcW w:w="2820" w:type="dxa"/>
            <w:vAlign w:val="bottom"/>
            <w:tcBorders>
              <w:right w:val="single" w:sz="8" w:color="auto"/>
            </w:tcBorders>
            <w:shd w:val="clear" w:color="auto" w:fill="B2B2B2"/>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680" w:type="dxa"/>
            <w:vAlign w:val="bottom"/>
            <w:tcBorders>
              <w:left w:val="single" w:sz="8" w:color="auto"/>
              <w:right w:val="single" w:sz="8" w:color="auto"/>
            </w:tcBorders>
            <w:shd w:val="clear" w:color="auto" w:fill="B2B2B2"/>
          </w:tcPr>
          <w:p>
            <w:pPr>
              <w:spacing w:after="0"/>
              <w:rPr>
                <w:sz w:val="7"/>
                <w:szCs w:val="7"/>
                <w:color w:val="auto"/>
              </w:rPr>
            </w:pPr>
          </w:p>
        </w:tc>
        <w:tc>
          <w:tcPr>
            <w:tcW w:w="2660" w:type="dxa"/>
            <w:vAlign w:val="bottom"/>
            <w:tcBorders>
              <w:right w:val="single" w:sz="8" w:color="auto"/>
            </w:tcBorders>
            <w:vMerge w:val="continue"/>
            <w:shd w:val="clear" w:color="auto" w:fill="B2B2B2"/>
          </w:tcPr>
          <w:p>
            <w:pPr>
              <w:spacing w:after="0"/>
              <w:rPr>
                <w:sz w:val="7"/>
                <w:szCs w:val="7"/>
                <w:color w:val="auto"/>
              </w:rPr>
            </w:pPr>
          </w:p>
        </w:tc>
        <w:tc>
          <w:tcPr>
            <w:tcW w:w="3160" w:type="dxa"/>
            <w:vAlign w:val="bottom"/>
            <w:tcBorders>
              <w:right w:val="single" w:sz="8" w:color="auto"/>
            </w:tcBorders>
            <w:vMerge w:val="restart"/>
            <w:shd w:val="clear" w:color="auto" w:fill="B2B2B2"/>
          </w:tcPr>
          <w:p>
            <w:pPr>
              <w:ind w:left="20"/>
              <w:spacing w:after="0" w:line="216" w:lineRule="exact"/>
              <w:rPr>
                <w:sz w:val="20"/>
                <w:szCs w:val="20"/>
                <w:color w:val="auto"/>
              </w:rPr>
            </w:pPr>
            <w:r>
              <w:rPr>
                <w:rFonts w:ascii="Calibri" w:cs="Calibri" w:eastAsia="Calibri" w:hAnsi="Calibri"/>
                <w:sz w:val="18"/>
                <w:szCs w:val="18"/>
                <w:color w:val="auto"/>
              </w:rPr>
              <w:t>delivering greater rewards for superior</w:t>
            </w:r>
          </w:p>
        </w:tc>
        <w:tc>
          <w:tcPr>
            <w:tcW w:w="2820" w:type="dxa"/>
            <w:vAlign w:val="bottom"/>
            <w:tcBorders>
              <w:right w:val="single" w:sz="8" w:color="auto"/>
            </w:tcBorders>
            <w:shd w:val="clear" w:color="auto" w:fill="B2B2B2"/>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80" w:type="dxa"/>
            <w:vAlign w:val="bottom"/>
            <w:tcBorders>
              <w:left w:val="single" w:sz="8" w:color="auto"/>
              <w:right w:val="single" w:sz="8" w:color="auto"/>
            </w:tcBorders>
            <w:shd w:val="clear" w:color="auto" w:fill="B2B2B2"/>
          </w:tcPr>
          <w:p>
            <w:pPr>
              <w:spacing w:after="0"/>
              <w:rPr>
                <w:sz w:val="11"/>
                <w:szCs w:val="11"/>
                <w:color w:val="auto"/>
              </w:rPr>
            </w:pPr>
          </w:p>
        </w:tc>
        <w:tc>
          <w:tcPr>
            <w:tcW w:w="2660" w:type="dxa"/>
            <w:vAlign w:val="bottom"/>
            <w:tcBorders>
              <w:right w:val="single" w:sz="8" w:color="auto"/>
            </w:tcBorders>
            <w:vMerge w:val="restart"/>
            <w:shd w:val="clear" w:color="auto" w:fill="B2B2B2"/>
          </w:tcPr>
          <w:p>
            <w:pPr>
              <w:jc w:val="center"/>
              <w:spacing w:after="0" w:line="216" w:lineRule="exact"/>
              <w:rPr>
                <w:sz w:val="20"/>
                <w:szCs w:val="20"/>
                <w:color w:val="auto"/>
              </w:rPr>
            </w:pPr>
            <w:r>
              <w:rPr>
                <w:rFonts w:ascii="Calibri" w:cs="Calibri" w:eastAsia="Calibri" w:hAnsi="Calibri"/>
                <w:sz w:val="18"/>
                <w:szCs w:val="18"/>
                <w:color w:val="auto"/>
                <w:w w:val="98"/>
              </w:rPr>
              <w:t>(Equity)</w:t>
            </w:r>
          </w:p>
        </w:tc>
        <w:tc>
          <w:tcPr>
            <w:tcW w:w="3160" w:type="dxa"/>
            <w:vAlign w:val="bottom"/>
            <w:tcBorders>
              <w:right w:val="single" w:sz="8" w:color="auto"/>
            </w:tcBorders>
            <w:vMerge w:val="continue"/>
            <w:shd w:val="clear" w:color="auto" w:fill="B2B2B2"/>
          </w:tcPr>
          <w:p>
            <w:pPr>
              <w:spacing w:after="0"/>
              <w:rPr>
                <w:sz w:val="11"/>
                <w:szCs w:val="11"/>
                <w:color w:val="auto"/>
              </w:rPr>
            </w:pPr>
          </w:p>
        </w:tc>
        <w:tc>
          <w:tcPr>
            <w:tcW w:w="2820" w:type="dxa"/>
            <w:vAlign w:val="bottom"/>
            <w:tcBorders>
              <w:right w:val="single" w:sz="8" w:color="auto"/>
            </w:tcBorders>
            <w:shd w:val="clear" w:color="auto" w:fill="B2B2B2"/>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680" w:type="dxa"/>
            <w:vAlign w:val="bottom"/>
            <w:tcBorders>
              <w:left w:val="single" w:sz="8" w:color="auto"/>
              <w:right w:val="single" w:sz="8" w:color="auto"/>
            </w:tcBorders>
            <w:shd w:val="clear" w:color="auto" w:fill="B2B2B2"/>
          </w:tcPr>
          <w:p>
            <w:pPr>
              <w:spacing w:after="0"/>
              <w:rPr>
                <w:sz w:val="7"/>
                <w:szCs w:val="7"/>
                <w:color w:val="auto"/>
              </w:rPr>
            </w:pPr>
          </w:p>
        </w:tc>
        <w:tc>
          <w:tcPr>
            <w:tcW w:w="2660" w:type="dxa"/>
            <w:vAlign w:val="bottom"/>
            <w:tcBorders>
              <w:right w:val="single" w:sz="8" w:color="auto"/>
            </w:tcBorders>
            <w:vMerge w:val="continue"/>
            <w:shd w:val="clear" w:color="auto" w:fill="B2B2B2"/>
          </w:tcPr>
          <w:p>
            <w:pPr>
              <w:spacing w:after="0"/>
              <w:rPr>
                <w:sz w:val="7"/>
                <w:szCs w:val="7"/>
                <w:color w:val="auto"/>
              </w:rPr>
            </w:pPr>
          </w:p>
        </w:tc>
        <w:tc>
          <w:tcPr>
            <w:tcW w:w="3160" w:type="dxa"/>
            <w:vAlign w:val="bottom"/>
            <w:tcBorders>
              <w:right w:val="single" w:sz="8" w:color="auto"/>
            </w:tcBorders>
            <w:vMerge w:val="restart"/>
            <w:shd w:val="clear" w:color="auto" w:fill="B2B2B2"/>
          </w:tcPr>
          <w:p>
            <w:pPr>
              <w:ind w:left="20"/>
              <w:spacing w:after="0" w:line="216" w:lineRule="exact"/>
              <w:rPr>
                <w:sz w:val="20"/>
                <w:szCs w:val="20"/>
                <w:color w:val="auto"/>
              </w:rPr>
            </w:pPr>
            <w:r>
              <w:rPr>
                <w:rFonts w:ascii="Calibri" w:cs="Calibri" w:eastAsia="Calibri" w:hAnsi="Calibri"/>
                <w:sz w:val="18"/>
                <w:szCs w:val="18"/>
                <w:color w:val="auto"/>
              </w:rPr>
              <w:t>company performance, while delivering</w:t>
            </w:r>
          </w:p>
        </w:tc>
        <w:tc>
          <w:tcPr>
            <w:tcW w:w="2820" w:type="dxa"/>
            <w:vAlign w:val="bottom"/>
            <w:tcBorders>
              <w:right w:val="single" w:sz="8" w:color="auto"/>
            </w:tcBorders>
            <w:shd w:val="clear" w:color="auto" w:fill="B2B2B2"/>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80" w:type="dxa"/>
            <w:vAlign w:val="bottom"/>
            <w:tcBorders>
              <w:left w:val="single" w:sz="8" w:color="auto"/>
              <w:right w:val="single" w:sz="8" w:color="auto"/>
            </w:tcBorders>
            <w:shd w:val="clear" w:color="auto" w:fill="B2B2B2"/>
          </w:tcPr>
          <w:p>
            <w:pPr>
              <w:spacing w:after="0"/>
              <w:rPr>
                <w:sz w:val="11"/>
                <w:szCs w:val="11"/>
                <w:color w:val="auto"/>
              </w:rPr>
            </w:pPr>
          </w:p>
        </w:tc>
        <w:tc>
          <w:tcPr>
            <w:tcW w:w="2660" w:type="dxa"/>
            <w:vAlign w:val="bottom"/>
            <w:tcBorders>
              <w:right w:val="single" w:sz="8" w:color="auto"/>
            </w:tcBorders>
            <w:shd w:val="clear" w:color="auto" w:fill="B2B2B2"/>
          </w:tcPr>
          <w:p>
            <w:pPr>
              <w:spacing w:after="0"/>
              <w:rPr>
                <w:sz w:val="11"/>
                <w:szCs w:val="11"/>
                <w:color w:val="auto"/>
              </w:rPr>
            </w:pPr>
          </w:p>
        </w:tc>
        <w:tc>
          <w:tcPr>
            <w:tcW w:w="3160" w:type="dxa"/>
            <w:vAlign w:val="bottom"/>
            <w:tcBorders>
              <w:right w:val="single" w:sz="8" w:color="auto"/>
            </w:tcBorders>
            <w:vMerge w:val="continue"/>
            <w:shd w:val="clear" w:color="auto" w:fill="B2B2B2"/>
          </w:tcPr>
          <w:p>
            <w:pPr>
              <w:spacing w:after="0"/>
              <w:rPr>
                <w:sz w:val="11"/>
                <w:szCs w:val="11"/>
                <w:color w:val="auto"/>
              </w:rPr>
            </w:pPr>
          </w:p>
        </w:tc>
        <w:tc>
          <w:tcPr>
            <w:tcW w:w="2820" w:type="dxa"/>
            <w:vAlign w:val="bottom"/>
            <w:tcBorders>
              <w:right w:val="single" w:sz="8" w:color="auto"/>
            </w:tcBorders>
            <w:shd w:val="clear" w:color="auto" w:fill="B2B2B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line="216" w:lineRule="exact"/>
              <w:rPr>
                <w:sz w:val="20"/>
                <w:szCs w:val="20"/>
                <w:color w:val="auto"/>
              </w:rPr>
            </w:pPr>
            <w:r>
              <w:rPr>
                <w:rFonts w:ascii="Calibri" w:cs="Calibri" w:eastAsia="Calibri" w:hAnsi="Calibri"/>
                <w:sz w:val="18"/>
                <w:szCs w:val="18"/>
                <w:color w:val="auto"/>
              </w:rPr>
              <w:t>reduced or no awards for company</w:t>
            </w: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line="216" w:lineRule="exact"/>
              <w:rPr>
                <w:sz w:val="20"/>
                <w:szCs w:val="20"/>
                <w:color w:val="auto"/>
              </w:rPr>
            </w:pPr>
            <w:r>
              <w:rPr>
                <w:rFonts w:ascii="Calibri" w:cs="Calibri" w:eastAsia="Calibri" w:hAnsi="Calibri"/>
                <w:sz w:val="18"/>
                <w:szCs w:val="18"/>
                <w:color w:val="auto"/>
              </w:rPr>
              <w:t>underperformance</w:t>
            </w: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563"/>
        </w:trPr>
        <w:tc>
          <w:tcPr>
            <w:tcW w:w="1680" w:type="dxa"/>
            <w:vAlign w:val="bottom"/>
            <w:tcBorders>
              <w:left w:val="single" w:sz="8" w:color="auto"/>
              <w:bottom w:val="single" w:sz="8" w:color="auto"/>
              <w:right w:val="single" w:sz="8" w:color="auto"/>
            </w:tcBorders>
            <w:shd w:val="clear" w:color="auto" w:fill="B2B2B2"/>
          </w:tcPr>
          <w:p>
            <w:pPr>
              <w:spacing w:after="0"/>
              <w:rPr>
                <w:sz w:val="24"/>
                <w:szCs w:val="24"/>
                <w:color w:val="auto"/>
              </w:rPr>
            </w:pPr>
          </w:p>
        </w:tc>
        <w:tc>
          <w:tcPr>
            <w:tcW w:w="2660" w:type="dxa"/>
            <w:vAlign w:val="bottom"/>
            <w:tcBorders>
              <w:bottom w:val="single" w:sz="8" w:color="auto"/>
              <w:right w:val="single" w:sz="8" w:color="auto"/>
            </w:tcBorders>
            <w:shd w:val="clear" w:color="auto" w:fill="B2B2B2"/>
          </w:tcPr>
          <w:p>
            <w:pPr>
              <w:spacing w:after="0"/>
              <w:rPr>
                <w:sz w:val="24"/>
                <w:szCs w:val="24"/>
                <w:color w:val="auto"/>
              </w:rPr>
            </w:pPr>
          </w:p>
        </w:tc>
        <w:tc>
          <w:tcPr>
            <w:tcW w:w="3160" w:type="dxa"/>
            <w:vAlign w:val="bottom"/>
            <w:tcBorders>
              <w:bottom w:val="single" w:sz="8" w:color="auto"/>
              <w:right w:val="single" w:sz="8" w:color="auto"/>
            </w:tcBorders>
            <w:shd w:val="clear" w:color="auto" w:fill="B2B2B2"/>
          </w:tcPr>
          <w:p>
            <w:pPr>
              <w:spacing w:after="0"/>
              <w:rPr>
                <w:sz w:val="24"/>
                <w:szCs w:val="24"/>
                <w:color w:val="auto"/>
              </w:rPr>
            </w:pPr>
          </w:p>
        </w:tc>
        <w:tc>
          <w:tcPr>
            <w:tcW w:w="2820" w:type="dxa"/>
            <w:vAlign w:val="bottom"/>
            <w:tcBorders>
              <w:bottom w:val="single" w:sz="8" w:color="auto"/>
              <w:right w:val="single" w:sz="8" w:color="auto"/>
            </w:tcBorders>
            <w:shd w:val="clear" w:color="auto" w:fill="B2B2B2"/>
          </w:tcPr>
          <w:p>
            <w:pPr>
              <w:spacing w:after="0"/>
              <w:rPr>
                <w:sz w:val="24"/>
                <w:szCs w:val="24"/>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chart shows the relatve percentage of total compensaton of the various compensaton components at target levels for fscal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5254625" cy="2571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54625" cy="2571750"/>
                    </a:xfrm>
                    <a:prstGeom prst="rect">
                      <a:avLst/>
                    </a:prstGeom>
                    <a:noFill/>
                  </pic:spPr>
                </pic:pic>
              </a:graphicData>
            </a:graphic>
          </wp:anchor>
        </w:drawing>
      </w:r>
    </w:p>
    <w:p>
      <w:pPr>
        <w:sectPr>
          <w:pgSz w:w="11900" w:h="16838" w:orient="portrait"/>
          <w:cols w:equalWidth="0" w:num="1">
            <w:col w:w="11000"/>
          </w:cols>
          <w:pgMar w:left="320" w:top="875"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59"/>
        <w:spacing w:after="0"/>
        <w:rPr>
          <w:sz w:val="20"/>
          <w:szCs w:val="20"/>
          <w:color w:val="auto"/>
        </w:rPr>
      </w:pPr>
      <w:r>
        <w:rPr>
          <w:rFonts w:ascii="Calibri" w:cs="Calibri" w:eastAsia="Calibri" w:hAnsi="Calibri"/>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75" w:right="579" w:bottom="1440" w:gutter="0" w:footer="0" w:header="0"/>
          <w:type w:val="continuous"/>
        </w:sectPr>
      </w:pPr>
    </w:p>
    <w:bookmarkStart w:id="18" w:name="page19"/>
    <w:bookmarkEnd w:id="18"/>
    <w:p>
      <w:pPr>
        <w:ind w:right="380"/>
        <w:spacing w:after="0" w:line="235" w:lineRule="auto"/>
        <w:rPr>
          <w:sz w:val="20"/>
          <w:szCs w:val="20"/>
          <w:color w:val="auto"/>
        </w:rPr>
      </w:pPr>
      <w:r>
        <w:rPr>
          <w:rFonts w:ascii="Calibri" w:cs="Calibri" w:eastAsia="Calibri" w:hAnsi="Calibri"/>
          <w:sz w:val="18"/>
          <w:szCs w:val="18"/>
          <w:color w:val="auto"/>
        </w:rPr>
        <w:t>In additon to the above elements, our executve compensaton program for the last fscal year also included contributons to retrement plans and other benefts, which are discussed in greater detail below.</w:t>
      </w:r>
    </w:p>
    <w:p>
      <w:pPr>
        <w:spacing w:after="0" w:line="23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Base Salary</w:t>
      </w:r>
    </w:p>
    <w:p>
      <w:pPr>
        <w:spacing w:after="0" w:line="11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provide base salaries to our named executve ofcers to compensate them for fulflling their primary responsibilites and to provide fnancial stability. The Compensaton Commitee annually reviews, and adjusts as appropriate, base salaries for our executve ofcers. In May 2023, the Compensaton Commitee approved the following increases to the base salary of our named executve ofcers, with the increases efectve in June 2023: Mr. Hawkins to $637,000, an increase of 4%; Mr. Oldenkamp to $468,000, an increase of 4%; Mr. Erstad to $337,000, an increase of 4%, Mr. Grahek to $368,000, an increase of 4%; and Mr. Lange to $337,000, an increase of 4%. Each increase in base salary was due to labor market dynamics.</w:t>
      </w: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Annual Non-Equity Incentve Compensaton</w:t>
      </w:r>
    </w:p>
    <w:p>
      <w:pPr>
        <w:spacing w:after="0" w:line="105"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Annual non-equity incentve compensaton is a key component of our executve compensaton strategy. The purpose of annual non-equity incentve compensaton is to provide cash compensaton that is variable based on the achievement of performance goals established by the Compensaton Commitee. Our executve ofcers do not have a contractual right to receive a fxed incentve compensaton payment for any fscal year.</w:t>
      </w:r>
    </w:p>
    <w:p>
      <w:pPr>
        <w:spacing w:after="0" w:line="246"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Our non-equity incentve compensaton arrangements (described below) provide for no payout to executve ofcers unless a specifed porton of the target is achieved and allows for a signifcantly increased payout if the target is exceeded. The cash incentve payments are determined and paid following the completon of our annual audit.</w:t>
      </w:r>
    </w:p>
    <w:p>
      <w:pPr>
        <w:spacing w:after="0" w:line="246"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For fscal 2024, the Compensaton Commitee designated fnancial performance goals, including a corporate pre-tax income performance measure and, for each named executve ofcer in charge of a business unit (which in fscal 2024 included only Mr. Lange, our Vice President - Water Treatment), an operatonal measure of business unit proftability.</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color w:val="auto"/>
        </w:rPr>
        <w:t>The annual cash incentve payment opportunites for our named executve ofcers were based on the following percentages of base salary for fscal 2024:</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4320" w:type="dxa"/>
            <w:vAlign w:val="bottom"/>
            <w:tcBorders>
              <w:top w:val="single" w:sz="8" w:color="auto"/>
              <w:lef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2"/>
          </w:tcPr>
          <w:p>
            <w:pPr>
              <w:jc w:val="center"/>
              <w:ind w:right="100"/>
              <w:spacing w:after="0" w:line="194" w:lineRule="exact"/>
              <w:rPr>
                <w:sz w:val="20"/>
                <w:szCs w:val="20"/>
                <w:color w:val="auto"/>
              </w:rPr>
            </w:pPr>
            <w:r>
              <w:rPr>
                <w:rFonts w:ascii="Calibri" w:cs="Calibri" w:eastAsia="Calibri" w:hAnsi="Calibri"/>
                <w:sz w:val="18"/>
                <w:szCs w:val="18"/>
                <w:b w:val="1"/>
                <w:bCs w:val="1"/>
                <w:color w:val="auto"/>
                <w:w w:val="99"/>
              </w:rPr>
              <w:t>Threshold</w:t>
            </w:r>
          </w:p>
        </w:tc>
        <w:tc>
          <w:tcPr>
            <w:tcW w:w="2040" w:type="dxa"/>
            <w:vAlign w:val="bottom"/>
            <w:tcBorders>
              <w:top w:val="single" w:sz="8" w:color="auto"/>
            </w:tcBorders>
            <w:gridSpan w:val="2"/>
          </w:tcPr>
          <w:p>
            <w:pPr>
              <w:jc w:val="center"/>
              <w:ind w:right="100"/>
              <w:spacing w:after="0" w:line="194" w:lineRule="exact"/>
              <w:rPr>
                <w:sz w:val="20"/>
                <w:szCs w:val="20"/>
                <w:color w:val="auto"/>
              </w:rPr>
            </w:pPr>
            <w:r>
              <w:rPr>
                <w:rFonts w:ascii="Calibri" w:cs="Calibri" w:eastAsia="Calibri" w:hAnsi="Calibri"/>
                <w:sz w:val="18"/>
                <w:szCs w:val="18"/>
                <w:b w:val="1"/>
                <w:bCs w:val="1"/>
                <w:color w:val="auto"/>
                <w:w w:val="95"/>
              </w:rPr>
              <w:t>Target</w:t>
            </w:r>
          </w:p>
        </w:tc>
        <w:tc>
          <w:tcPr>
            <w:tcW w:w="1940" w:type="dxa"/>
            <w:vAlign w:val="bottom"/>
            <w:tcBorders>
              <w:top w:val="single" w:sz="8" w:color="auto"/>
              <w:right w:val="single" w:sz="8" w:color="auto"/>
            </w:tcBorders>
          </w:tcPr>
          <w:p>
            <w:pPr>
              <w:jc w:val="center"/>
              <w:spacing w:after="0" w:line="194" w:lineRule="exact"/>
              <w:rPr>
                <w:sz w:val="20"/>
                <w:szCs w:val="20"/>
                <w:color w:val="auto"/>
              </w:rPr>
            </w:pPr>
            <w:r>
              <w:rPr>
                <w:rFonts w:ascii="Calibri" w:cs="Calibri" w:eastAsia="Calibri" w:hAnsi="Calibri"/>
                <w:sz w:val="18"/>
                <w:szCs w:val="18"/>
                <w:b w:val="1"/>
                <w:bCs w:val="1"/>
                <w:color w:val="auto"/>
                <w:w w:val="99"/>
              </w:rPr>
              <w:t>Maximum</w:t>
            </w:r>
          </w:p>
        </w:tc>
      </w:tr>
      <w:tr>
        <w:trPr>
          <w:trHeight w:val="175"/>
        </w:trPr>
        <w:tc>
          <w:tcPr>
            <w:tcW w:w="43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2"/>
          </w:tcPr>
          <w:p>
            <w:pPr>
              <w:jc w:val="center"/>
              <w:ind w:right="100"/>
              <w:spacing w:after="0" w:line="175" w:lineRule="exact"/>
              <w:rPr>
                <w:sz w:val="20"/>
                <w:szCs w:val="20"/>
                <w:color w:val="auto"/>
              </w:rPr>
            </w:pPr>
            <w:r>
              <w:rPr>
                <w:rFonts w:ascii="Calibri" w:cs="Calibri" w:eastAsia="Calibri" w:hAnsi="Calibri"/>
                <w:sz w:val="18"/>
                <w:szCs w:val="18"/>
                <w:b w:val="1"/>
                <w:bCs w:val="1"/>
                <w:color w:val="auto"/>
                <w:w w:val="97"/>
              </w:rPr>
              <w:t>Annual Cash</w:t>
            </w:r>
          </w:p>
        </w:tc>
        <w:tc>
          <w:tcPr>
            <w:tcW w:w="2040" w:type="dxa"/>
            <w:vAlign w:val="bottom"/>
            <w:gridSpan w:val="2"/>
          </w:tcPr>
          <w:p>
            <w:pPr>
              <w:jc w:val="center"/>
              <w:ind w:right="100"/>
              <w:spacing w:after="0" w:line="175" w:lineRule="exact"/>
              <w:rPr>
                <w:sz w:val="20"/>
                <w:szCs w:val="20"/>
                <w:color w:val="auto"/>
              </w:rPr>
            </w:pPr>
            <w:r>
              <w:rPr>
                <w:rFonts w:ascii="Calibri" w:cs="Calibri" w:eastAsia="Calibri" w:hAnsi="Calibri"/>
                <w:sz w:val="18"/>
                <w:szCs w:val="18"/>
                <w:b w:val="1"/>
                <w:bCs w:val="1"/>
                <w:color w:val="auto"/>
                <w:w w:val="97"/>
              </w:rPr>
              <w:t>Annual Cash</w:t>
            </w:r>
          </w:p>
        </w:tc>
        <w:tc>
          <w:tcPr>
            <w:tcW w:w="1940" w:type="dxa"/>
            <w:vAlign w:val="bottom"/>
            <w:tcBorders>
              <w:right w:val="single" w:sz="8" w:color="auto"/>
            </w:tcBorders>
          </w:tcPr>
          <w:p>
            <w:pPr>
              <w:jc w:val="center"/>
              <w:spacing w:after="0" w:line="175" w:lineRule="exact"/>
              <w:rPr>
                <w:sz w:val="20"/>
                <w:szCs w:val="20"/>
                <w:color w:val="auto"/>
              </w:rPr>
            </w:pPr>
            <w:r>
              <w:rPr>
                <w:rFonts w:ascii="Calibri" w:cs="Calibri" w:eastAsia="Calibri" w:hAnsi="Calibri"/>
                <w:sz w:val="18"/>
                <w:szCs w:val="18"/>
                <w:b w:val="1"/>
                <w:bCs w:val="1"/>
                <w:color w:val="auto"/>
                <w:w w:val="99"/>
              </w:rPr>
              <w:t>Annual Cash</w:t>
            </w:r>
          </w:p>
        </w:tc>
      </w:tr>
      <w:tr>
        <w:trPr>
          <w:trHeight w:val="215"/>
        </w:trPr>
        <w:tc>
          <w:tcPr>
            <w:tcW w:w="4440" w:type="dxa"/>
            <w:vAlign w:val="bottom"/>
            <w:tcBorders>
              <w:left w:val="single" w:sz="8" w:color="auto"/>
            </w:tcBorders>
            <w:gridSpan w:val="2"/>
          </w:tcPr>
          <w:p>
            <w:pPr>
              <w:ind w:left="40"/>
              <w:spacing w:after="0" w:line="215" w:lineRule="exact"/>
              <w:rPr>
                <w:sz w:val="20"/>
                <w:szCs w:val="20"/>
                <w:color w:val="auto"/>
              </w:rPr>
            </w:pPr>
            <w:r>
              <w:rPr>
                <w:rFonts w:ascii="Calibri" w:cs="Calibri" w:eastAsia="Calibri" w:hAnsi="Calibri"/>
                <w:sz w:val="18"/>
                <w:szCs w:val="18"/>
                <w:b w:val="1"/>
                <w:bCs w:val="1"/>
                <w:color w:val="auto"/>
              </w:rPr>
              <w:t>Positon</w:t>
            </w:r>
          </w:p>
        </w:tc>
        <w:tc>
          <w:tcPr>
            <w:tcW w:w="2040" w:type="dxa"/>
            <w:vAlign w:val="bottom"/>
            <w:gridSpan w:val="2"/>
          </w:tcPr>
          <w:p>
            <w:pPr>
              <w:jc w:val="center"/>
              <w:ind w:right="100"/>
              <w:spacing w:after="0" w:line="215" w:lineRule="exact"/>
              <w:rPr>
                <w:sz w:val="20"/>
                <w:szCs w:val="20"/>
                <w:color w:val="auto"/>
              </w:rPr>
            </w:pPr>
            <w:r>
              <w:rPr>
                <w:rFonts w:ascii="Calibri" w:cs="Calibri" w:eastAsia="Calibri" w:hAnsi="Calibri"/>
                <w:sz w:val="18"/>
                <w:szCs w:val="18"/>
                <w:b w:val="1"/>
                <w:bCs w:val="1"/>
                <w:color w:val="auto"/>
                <w:w w:val="99"/>
              </w:rPr>
              <w:t>Incentve Payment</w:t>
            </w:r>
          </w:p>
        </w:tc>
        <w:tc>
          <w:tcPr>
            <w:tcW w:w="2040" w:type="dxa"/>
            <w:vAlign w:val="bottom"/>
            <w:gridSpan w:val="2"/>
          </w:tcPr>
          <w:p>
            <w:pPr>
              <w:jc w:val="center"/>
              <w:ind w:right="100"/>
              <w:spacing w:after="0" w:line="215" w:lineRule="exact"/>
              <w:rPr>
                <w:sz w:val="20"/>
                <w:szCs w:val="20"/>
                <w:color w:val="auto"/>
              </w:rPr>
            </w:pPr>
            <w:r>
              <w:rPr>
                <w:rFonts w:ascii="Calibri" w:cs="Calibri" w:eastAsia="Calibri" w:hAnsi="Calibri"/>
                <w:sz w:val="18"/>
                <w:szCs w:val="18"/>
                <w:b w:val="1"/>
                <w:bCs w:val="1"/>
                <w:color w:val="auto"/>
                <w:w w:val="99"/>
              </w:rPr>
              <w:t>Incentve Payment</w:t>
            </w:r>
          </w:p>
        </w:tc>
        <w:tc>
          <w:tcPr>
            <w:tcW w:w="194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rPr>
              <w:t>Incentve Payment</w:t>
            </w:r>
          </w:p>
        </w:tc>
      </w:tr>
      <w:tr>
        <w:trPr>
          <w:trHeight w:val="48"/>
        </w:trPr>
        <w:tc>
          <w:tcPr>
            <w:tcW w:w="432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B3B3B3"/>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Borders>
              <w:bottom w:val="single" w:sz="8" w:color="B3B3B3"/>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0" w:type="dxa"/>
            <w:vAlign w:val="bottom"/>
            <w:tcBorders>
              <w:bottom w:val="single" w:sz="8" w:color="B3B3B3"/>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203"/>
        </w:trPr>
        <w:tc>
          <w:tcPr>
            <w:tcW w:w="4320" w:type="dxa"/>
            <w:vAlign w:val="bottom"/>
            <w:tcBorders>
              <w:top w:val="single" w:sz="8" w:color="B3B3B3"/>
              <w:left w:val="single" w:sz="8" w:color="auto"/>
            </w:tcBorders>
            <w:shd w:val="clear" w:color="auto" w:fill="B3B3B3"/>
          </w:tcPr>
          <w:p>
            <w:pPr>
              <w:ind w:left="40"/>
              <w:spacing w:after="0" w:line="195" w:lineRule="exact"/>
              <w:rPr>
                <w:sz w:val="20"/>
                <w:szCs w:val="20"/>
                <w:color w:val="auto"/>
              </w:rPr>
            </w:pPr>
            <w:r>
              <w:rPr>
                <w:rFonts w:ascii="Calibri" w:cs="Calibri" w:eastAsia="Calibri" w:hAnsi="Calibri"/>
                <w:sz w:val="18"/>
                <w:szCs w:val="18"/>
                <w:color w:val="auto"/>
              </w:rPr>
              <w:t>Patrick H. Hawkins, Chief Executve Ofcer</w:t>
            </w:r>
          </w:p>
        </w:tc>
        <w:tc>
          <w:tcPr>
            <w:tcW w:w="120" w:type="dxa"/>
            <w:vAlign w:val="bottom"/>
            <w:tcBorders>
              <w:top w:val="single" w:sz="8" w:color="B3B3B3"/>
            </w:tcBorders>
            <w:shd w:val="clear" w:color="auto" w:fill="B3B3B3"/>
          </w:tcPr>
          <w:p>
            <w:pPr>
              <w:spacing w:after="0"/>
              <w:rPr>
                <w:sz w:val="17"/>
                <w:szCs w:val="17"/>
                <w:color w:val="auto"/>
              </w:rPr>
            </w:pPr>
          </w:p>
        </w:tc>
        <w:tc>
          <w:tcPr>
            <w:tcW w:w="1940" w:type="dxa"/>
            <w:vAlign w:val="bottom"/>
            <w:tcBorders>
              <w:top w:val="single" w:sz="8" w:color="B3B3B3"/>
            </w:tcBorders>
            <w:shd w:val="clear" w:color="auto" w:fill="B3B3B3"/>
          </w:tcPr>
          <w:p>
            <w:pPr>
              <w:jc w:val="right"/>
              <w:spacing w:after="0" w:line="195" w:lineRule="exact"/>
              <w:rPr>
                <w:sz w:val="20"/>
                <w:szCs w:val="20"/>
                <w:color w:val="auto"/>
              </w:rPr>
            </w:pPr>
            <w:r>
              <w:rPr>
                <w:rFonts w:ascii="Calibri" w:cs="Calibri" w:eastAsia="Calibri" w:hAnsi="Calibri"/>
                <w:sz w:val="18"/>
                <w:szCs w:val="18"/>
                <w:color w:val="auto"/>
              </w:rPr>
              <w:t>50 %</w:t>
            </w:r>
          </w:p>
        </w:tc>
        <w:tc>
          <w:tcPr>
            <w:tcW w:w="100" w:type="dxa"/>
            <w:vAlign w:val="bottom"/>
            <w:tcBorders>
              <w:top w:val="single" w:sz="8" w:color="B3B3B3"/>
            </w:tcBorders>
            <w:shd w:val="clear" w:color="auto" w:fill="B3B3B3"/>
          </w:tcPr>
          <w:p>
            <w:pPr>
              <w:spacing w:after="0"/>
              <w:rPr>
                <w:sz w:val="17"/>
                <w:szCs w:val="17"/>
                <w:color w:val="auto"/>
              </w:rPr>
            </w:pPr>
          </w:p>
        </w:tc>
        <w:tc>
          <w:tcPr>
            <w:tcW w:w="1920" w:type="dxa"/>
            <w:vAlign w:val="bottom"/>
            <w:tcBorders>
              <w:top w:val="single" w:sz="8" w:color="B3B3B3"/>
            </w:tcBorders>
            <w:shd w:val="clear" w:color="auto" w:fill="B3B3B3"/>
          </w:tcPr>
          <w:p>
            <w:pPr>
              <w:jc w:val="right"/>
              <w:spacing w:after="0" w:line="195" w:lineRule="exact"/>
              <w:rPr>
                <w:sz w:val="20"/>
                <w:szCs w:val="20"/>
                <w:color w:val="auto"/>
              </w:rPr>
            </w:pPr>
            <w:r>
              <w:rPr>
                <w:rFonts w:ascii="Calibri" w:cs="Calibri" w:eastAsia="Calibri" w:hAnsi="Calibri"/>
                <w:sz w:val="18"/>
                <w:szCs w:val="18"/>
                <w:color w:val="auto"/>
              </w:rPr>
              <w:t>100 %</w:t>
            </w:r>
          </w:p>
        </w:tc>
        <w:tc>
          <w:tcPr>
            <w:tcW w:w="120" w:type="dxa"/>
            <w:vAlign w:val="bottom"/>
            <w:tcBorders>
              <w:top w:val="single" w:sz="8" w:color="B3B3B3"/>
            </w:tcBorders>
            <w:shd w:val="clear" w:color="auto" w:fill="B3B3B3"/>
          </w:tcPr>
          <w:p>
            <w:pPr>
              <w:spacing w:after="0"/>
              <w:rPr>
                <w:sz w:val="17"/>
                <w:szCs w:val="17"/>
                <w:color w:val="auto"/>
              </w:rPr>
            </w:pPr>
          </w:p>
        </w:tc>
        <w:tc>
          <w:tcPr>
            <w:tcW w:w="1940" w:type="dxa"/>
            <w:vAlign w:val="bottom"/>
            <w:tcBorders>
              <w:top w:val="single" w:sz="8" w:color="auto"/>
              <w:right w:val="single" w:sz="8" w:color="auto"/>
            </w:tcBorders>
            <w:shd w:val="clear" w:color="auto" w:fill="B3B3B3"/>
          </w:tcPr>
          <w:p>
            <w:pPr>
              <w:jc w:val="right"/>
              <w:spacing w:after="0" w:line="203" w:lineRule="exact"/>
              <w:rPr>
                <w:sz w:val="20"/>
                <w:szCs w:val="20"/>
                <w:color w:val="auto"/>
              </w:rPr>
            </w:pPr>
            <w:r>
              <w:rPr>
                <w:rFonts w:ascii="Calibri" w:cs="Calibri" w:eastAsia="Calibri" w:hAnsi="Calibri"/>
                <w:sz w:val="18"/>
                <w:szCs w:val="18"/>
                <w:color w:val="auto"/>
              </w:rPr>
              <w:t>200 %</w:t>
            </w:r>
          </w:p>
        </w:tc>
      </w:tr>
      <w:tr>
        <w:trPr>
          <w:trHeight w:val="222"/>
        </w:trPr>
        <w:tc>
          <w:tcPr>
            <w:tcW w:w="4440" w:type="dxa"/>
            <w:vAlign w:val="bottom"/>
            <w:tcBorders>
              <w:left w:val="single" w:sz="8" w:color="auto"/>
            </w:tcBorders>
            <w:gridSpan w:val="2"/>
          </w:tcPr>
          <w:p>
            <w:pPr>
              <w:ind w:left="40"/>
              <w:spacing w:after="0" w:line="215" w:lineRule="exact"/>
              <w:rPr>
                <w:sz w:val="20"/>
                <w:szCs w:val="20"/>
                <w:color w:val="auto"/>
              </w:rPr>
            </w:pPr>
            <w:r>
              <w:rPr>
                <w:rFonts w:ascii="Calibri" w:cs="Calibri" w:eastAsia="Calibri" w:hAnsi="Calibri"/>
                <w:sz w:val="18"/>
                <w:szCs w:val="18"/>
                <w:color w:val="auto"/>
              </w:rPr>
              <w:t>Jefrey P. Oldenkamp, Chief Financial Ofcer</w:t>
            </w:r>
          </w:p>
        </w:tc>
        <w:tc>
          <w:tcPr>
            <w:tcW w:w="1940" w:type="dxa"/>
            <w:vAlign w:val="bottom"/>
          </w:tcPr>
          <w:p>
            <w:pPr>
              <w:jc w:val="right"/>
              <w:spacing w:after="0" w:line="215" w:lineRule="exact"/>
              <w:rPr>
                <w:sz w:val="20"/>
                <w:szCs w:val="20"/>
                <w:color w:val="auto"/>
              </w:rPr>
            </w:pPr>
            <w:r>
              <w:rPr>
                <w:rFonts w:ascii="Calibri" w:cs="Calibri" w:eastAsia="Calibri" w:hAnsi="Calibri"/>
                <w:sz w:val="18"/>
                <w:szCs w:val="18"/>
                <w:color w:val="auto"/>
              </w:rPr>
              <w:t>37.5 %</w:t>
            </w:r>
          </w:p>
        </w:tc>
        <w:tc>
          <w:tcPr>
            <w:tcW w:w="100" w:type="dxa"/>
            <w:vAlign w:val="bottom"/>
          </w:tcPr>
          <w:p>
            <w:pPr>
              <w:spacing w:after="0"/>
              <w:rPr>
                <w:sz w:val="19"/>
                <w:szCs w:val="19"/>
                <w:color w:val="auto"/>
              </w:rPr>
            </w:pPr>
          </w:p>
        </w:tc>
        <w:tc>
          <w:tcPr>
            <w:tcW w:w="1920" w:type="dxa"/>
            <w:vAlign w:val="bottom"/>
          </w:tcPr>
          <w:p>
            <w:pPr>
              <w:jc w:val="right"/>
              <w:spacing w:after="0" w:line="215" w:lineRule="exact"/>
              <w:rPr>
                <w:sz w:val="20"/>
                <w:szCs w:val="20"/>
                <w:color w:val="auto"/>
              </w:rPr>
            </w:pPr>
            <w:r>
              <w:rPr>
                <w:rFonts w:ascii="Calibri" w:cs="Calibri" w:eastAsia="Calibri" w:hAnsi="Calibri"/>
                <w:sz w:val="18"/>
                <w:szCs w:val="18"/>
                <w:color w:val="auto"/>
              </w:rPr>
              <w:t>75 %</w:t>
            </w:r>
          </w:p>
        </w:tc>
        <w:tc>
          <w:tcPr>
            <w:tcW w:w="120" w:type="dxa"/>
            <w:vAlign w:val="bottom"/>
          </w:tcPr>
          <w:p>
            <w:pPr>
              <w:spacing w:after="0"/>
              <w:rPr>
                <w:sz w:val="19"/>
                <w:szCs w:val="19"/>
                <w:color w:val="auto"/>
              </w:rPr>
            </w:pPr>
          </w:p>
        </w:tc>
        <w:tc>
          <w:tcPr>
            <w:tcW w:w="194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150 %</w:t>
            </w:r>
          </w:p>
        </w:tc>
      </w:tr>
      <w:tr>
        <w:trPr>
          <w:trHeight w:val="237"/>
        </w:trPr>
        <w:tc>
          <w:tcPr>
            <w:tcW w:w="4440" w:type="dxa"/>
            <w:vAlign w:val="bottom"/>
            <w:tcBorders>
              <w:left w:val="single" w:sz="8" w:color="auto"/>
            </w:tcBorders>
            <w:gridSpan w:val="2"/>
            <w:shd w:val="clear" w:color="auto" w:fill="B3B3B3"/>
          </w:tcPr>
          <w:p>
            <w:pPr>
              <w:ind w:left="40"/>
              <w:spacing w:after="0"/>
              <w:rPr>
                <w:sz w:val="20"/>
                <w:szCs w:val="20"/>
                <w:color w:val="auto"/>
              </w:rPr>
            </w:pPr>
            <w:r>
              <w:rPr>
                <w:rFonts w:ascii="Calibri" w:cs="Calibri" w:eastAsia="Calibri" w:hAnsi="Calibri"/>
                <w:sz w:val="18"/>
                <w:szCs w:val="18"/>
                <w:color w:val="auto"/>
              </w:rPr>
              <w:t>Drew M. Grahek, Vice President - Operatons</w:t>
            </w:r>
          </w:p>
        </w:tc>
        <w:tc>
          <w:tcPr>
            <w:tcW w:w="194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20 %</w:t>
            </w:r>
          </w:p>
        </w:tc>
        <w:tc>
          <w:tcPr>
            <w:tcW w:w="100" w:type="dxa"/>
            <w:vAlign w:val="bottom"/>
            <w:shd w:val="clear" w:color="auto" w:fill="B3B3B3"/>
          </w:tcPr>
          <w:p>
            <w:pPr>
              <w:spacing w:after="0"/>
              <w:rPr>
                <w:sz w:val="20"/>
                <w:szCs w:val="20"/>
                <w:color w:val="auto"/>
              </w:rPr>
            </w:pPr>
          </w:p>
        </w:tc>
        <w:tc>
          <w:tcPr>
            <w:tcW w:w="192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40 %</w:t>
            </w:r>
          </w:p>
        </w:tc>
        <w:tc>
          <w:tcPr>
            <w:tcW w:w="120" w:type="dxa"/>
            <w:vAlign w:val="bottom"/>
            <w:shd w:val="clear" w:color="auto" w:fill="B3B3B3"/>
          </w:tcPr>
          <w:p>
            <w:pPr>
              <w:spacing w:after="0"/>
              <w:rPr>
                <w:sz w:val="20"/>
                <w:szCs w:val="20"/>
                <w:color w:val="auto"/>
              </w:rPr>
            </w:pPr>
          </w:p>
        </w:tc>
        <w:tc>
          <w:tcPr>
            <w:tcW w:w="1940" w:type="dxa"/>
            <w:vAlign w:val="bottom"/>
            <w:tcBorders>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80 %</w:t>
            </w:r>
          </w:p>
        </w:tc>
      </w:tr>
      <w:tr>
        <w:trPr>
          <w:trHeight w:val="222"/>
        </w:trPr>
        <w:tc>
          <w:tcPr>
            <w:tcW w:w="4440" w:type="dxa"/>
            <w:vAlign w:val="bottom"/>
            <w:tcBorders>
              <w:left w:val="single" w:sz="8" w:color="auto"/>
            </w:tcBorders>
            <w:gridSpan w:val="2"/>
          </w:tcPr>
          <w:p>
            <w:pPr>
              <w:ind w:left="40"/>
              <w:spacing w:after="0" w:line="215" w:lineRule="exact"/>
              <w:rPr>
                <w:sz w:val="20"/>
                <w:szCs w:val="20"/>
                <w:color w:val="auto"/>
              </w:rPr>
            </w:pPr>
            <w:r>
              <w:rPr>
                <w:rFonts w:ascii="Calibri" w:cs="Calibri" w:eastAsia="Calibri" w:hAnsi="Calibri"/>
                <w:sz w:val="18"/>
                <w:szCs w:val="18"/>
                <w:color w:val="auto"/>
              </w:rPr>
              <w:t>Richard G. Erstad, General Counsel</w:t>
            </w:r>
          </w:p>
        </w:tc>
        <w:tc>
          <w:tcPr>
            <w:tcW w:w="1940" w:type="dxa"/>
            <w:vAlign w:val="bottom"/>
          </w:tcPr>
          <w:p>
            <w:pPr>
              <w:jc w:val="right"/>
              <w:spacing w:after="0" w:line="215" w:lineRule="exact"/>
              <w:rPr>
                <w:sz w:val="20"/>
                <w:szCs w:val="20"/>
                <w:color w:val="auto"/>
              </w:rPr>
            </w:pPr>
            <w:r>
              <w:rPr>
                <w:rFonts w:ascii="Calibri" w:cs="Calibri" w:eastAsia="Calibri" w:hAnsi="Calibri"/>
                <w:sz w:val="18"/>
                <w:szCs w:val="18"/>
                <w:color w:val="auto"/>
              </w:rPr>
              <w:t>20 %</w:t>
            </w:r>
          </w:p>
        </w:tc>
        <w:tc>
          <w:tcPr>
            <w:tcW w:w="100" w:type="dxa"/>
            <w:vAlign w:val="bottom"/>
          </w:tcPr>
          <w:p>
            <w:pPr>
              <w:spacing w:after="0"/>
              <w:rPr>
                <w:sz w:val="19"/>
                <w:szCs w:val="19"/>
                <w:color w:val="auto"/>
              </w:rPr>
            </w:pPr>
          </w:p>
        </w:tc>
        <w:tc>
          <w:tcPr>
            <w:tcW w:w="1920" w:type="dxa"/>
            <w:vAlign w:val="bottom"/>
          </w:tcPr>
          <w:p>
            <w:pPr>
              <w:jc w:val="right"/>
              <w:spacing w:after="0" w:line="215" w:lineRule="exact"/>
              <w:rPr>
                <w:sz w:val="20"/>
                <w:szCs w:val="20"/>
                <w:color w:val="auto"/>
              </w:rPr>
            </w:pPr>
            <w:r>
              <w:rPr>
                <w:rFonts w:ascii="Calibri" w:cs="Calibri" w:eastAsia="Calibri" w:hAnsi="Calibri"/>
                <w:sz w:val="18"/>
                <w:szCs w:val="18"/>
                <w:color w:val="auto"/>
              </w:rPr>
              <w:t>40 %</w:t>
            </w:r>
          </w:p>
        </w:tc>
        <w:tc>
          <w:tcPr>
            <w:tcW w:w="120" w:type="dxa"/>
            <w:vAlign w:val="bottom"/>
          </w:tcPr>
          <w:p>
            <w:pPr>
              <w:spacing w:after="0"/>
              <w:rPr>
                <w:sz w:val="19"/>
                <w:szCs w:val="19"/>
                <w:color w:val="auto"/>
              </w:rPr>
            </w:pPr>
          </w:p>
        </w:tc>
        <w:tc>
          <w:tcPr>
            <w:tcW w:w="194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80 %</w:t>
            </w:r>
          </w:p>
        </w:tc>
      </w:tr>
      <w:tr>
        <w:trPr>
          <w:trHeight w:val="230"/>
        </w:trPr>
        <w:tc>
          <w:tcPr>
            <w:tcW w:w="444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Calibri" w:cs="Calibri" w:eastAsia="Calibri" w:hAnsi="Calibri"/>
                <w:sz w:val="18"/>
                <w:szCs w:val="18"/>
                <w:color w:val="auto"/>
              </w:rPr>
              <w:t>Douglas A. Lange, Vice President - Water Treatment</w:t>
            </w:r>
          </w:p>
        </w:tc>
        <w:tc>
          <w:tcPr>
            <w:tcW w:w="1940" w:type="dxa"/>
            <w:vAlign w:val="bottom"/>
            <w:tcBorders>
              <w:bottom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20 %</w:t>
            </w:r>
          </w:p>
        </w:tc>
        <w:tc>
          <w:tcPr>
            <w:tcW w:w="100" w:type="dxa"/>
            <w:vAlign w:val="bottom"/>
            <w:tcBorders>
              <w:bottom w:val="single" w:sz="8" w:color="auto"/>
            </w:tcBorders>
            <w:shd w:val="clear" w:color="auto" w:fill="B3B3B3"/>
          </w:tcPr>
          <w:p>
            <w:pPr>
              <w:spacing w:after="0"/>
              <w:rPr>
                <w:sz w:val="20"/>
                <w:szCs w:val="20"/>
                <w:color w:val="auto"/>
              </w:rPr>
            </w:pPr>
          </w:p>
        </w:tc>
        <w:tc>
          <w:tcPr>
            <w:tcW w:w="1920" w:type="dxa"/>
            <w:vAlign w:val="bottom"/>
            <w:tcBorders>
              <w:bottom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40 %</w:t>
            </w:r>
          </w:p>
        </w:tc>
        <w:tc>
          <w:tcPr>
            <w:tcW w:w="120" w:type="dxa"/>
            <w:vAlign w:val="bottom"/>
            <w:tcBorders>
              <w:bottom w:val="single" w:sz="8" w:color="auto"/>
            </w:tcBorders>
            <w:shd w:val="clear" w:color="auto" w:fill="B3B3B3"/>
          </w:tcPr>
          <w:p>
            <w:pPr>
              <w:spacing w:after="0"/>
              <w:rPr>
                <w:sz w:val="20"/>
                <w:szCs w:val="20"/>
                <w:color w:val="auto"/>
              </w:rPr>
            </w:pPr>
          </w:p>
        </w:tc>
        <w:tc>
          <w:tcPr>
            <w:tcW w:w="194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80 %</w:t>
            </w:r>
          </w:p>
        </w:tc>
      </w:tr>
    </w:tbl>
    <w:p>
      <w:pPr>
        <w:spacing w:after="0" w:line="200" w:lineRule="exact"/>
        <w:rPr>
          <w:sz w:val="20"/>
          <w:szCs w:val="20"/>
          <w:color w:val="auto"/>
        </w:rPr>
      </w:pPr>
    </w:p>
    <w:p>
      <w:pPr>
        <w:spacing w:after="0" w:line="210"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The Compensaton Commitee established the payment opportunites for each of the named executve ofcers based on the relatve scope of such named executve ofcer's responsibilites and resultng ability to impact the company’s performance.</w:t>
      </w:r>
    </w:p>
    <w:p>
      <w:pPr>
        <w:spacing w:after="0" w:line="245"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The Compensaton Commitee determined that 100% of the annual cash incentve payment opportunites for each of our named executve ofcers (other than Mr. Lange) for fscal 2024 should be based upon corporate performance against the pre-tax income goal to refect their signifcant company-wide responsibilites and resultng ability to impact the overall success of the company.</w:t>
      </w:r>
    </w:p>
    <w:p>
      <w:pPr>
        <w:spacing w:after="0" w:line="246"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Compensaton Commitee determined that 50% of the annual cash incentve payment opportunity for Mr. Lange for fscal 2024 should be based upon corporate performance against the pre-tax income goal and 50% should be based upon the proftability of his business unit to refect his dual roles as leader of his business unit and as a member of the company’s overall executve management team.</w:t>
      </w:r>
    </w:p>
    <w:p>
      <w:pPr>
        <w:spacing w:after="0" w:line="246" w:lineRule="exact"/>
        <w:rPr>
          <w:sz w:val="20"/>
          <w:szCs w:val="20"/>
          <w:color w:val="auto"/>
        </w:rPr>
      </w:pPr>
    </w:p>
    <w:p>
      <w:pPr>
        <w:jc w:val="both"/>
        <w:ind w:right="60"/>
        <w:spacing w:after="0" w:line="252" w:lineRule="auto"/>
        <w:rPr>
          <w:sz w:val="20"/>
          <w:szCs w:val="20"/>
          <w:color w:val="auto"/>
        </w:rPr>
      </w:pPr>
      <w:r>
        <w:rPr>
          <w:rFonts w:ascii="Calibri" w:cs="Calibri" w:eastAsia="Calibri" w:hAnsi="Calibri"/>
          <w:sz w:val="17"/>
          <w:szCs w:val="17"/>
          <w:color w:val="auto"/>
        </w:rPr>
        <w:t>No annual cash incentve payments are made unless the threshold level of 80% of the respectve target performance level is achieved. Performance between 80% and 100% of the respectve target results in a payout on a sliding scale from 50% of the target level cash incentve payment for achieving exactly 80% of the performance target to 100% of the target level cash incentve payment for achieving exactly the respectve target performance level (</w:t>
      </w:r>
      <w:r>
        <w:rPr>
          <w:rFonts w:ascii="Calibri" w:cs="Calibri" w:eastAsia="Calibri" w:hAnsi="Calibri"/>
          <w:sz w:val="17"/>
          <w:szCs w:val="17"/>
          <w:i w:val="1"/>
          <w:iCs w:val="1"/>
          <w:color w:val="auto"/>
        </w:rPr>
        <w:t>e.g</w:t>
      </w:r>
      <w:r>
        <w:rPr>
          <w:rFonts w:ascii="Calibri" w:cs="Calibri" w:eastAsia="Calibri" w:hAnsi="Calibri"/>
          <w:sz w:val="17"/>
          <w:szCs w:val="17"/>
          <w:color w:val="auto"/>
        </w:rPr>
        <w:t>., achieving 90% of the performance target will lead to a payout of 75% of the target level cash incentve payment). Performance between 100% and 120% of the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9" w:name="page20"/>
    <w:bookmarkEnd w:id="19"/>
    <w:p>
      <w:pPr>
        <w:ind w:right="100"/>
        <w:spacing w:after="0" w:line="235" w:lineRule="auto"/>
        <w:rPr>
          <w:sz w:val="20"/>
          <w:szCs w:val="20"/>
          <w:color w:val="auto"/>
        </w:rPr>
      </w:pPr>
      <w:r>
        <w:rPr>
          <w:rFonts w:ascii="Calibri" w:cs="Calibri" w:eastAsia="Calibri" w:hAnsi="Calibri"/>
          <w:sz w:val="18"/>
          <w:szCs w:val="18"/>
          <w:color w:val="auto"/>
        </w:rPr>
        <w:t>respectve target level results in a payout on a sliding scale from 100% of the target level cash incentve payment for exactly meetng the performance target to 200% of the target level cash incentve payment for exceeding the performance target by 20% (</w:t>
      </w:r>
      <w:r>
        <w:rPr>
          <w:rFonts w:ascii="Calibri" w:cs="Calibri" w:eastAsia="Calibri" w:hAnsi="Calibri"/>
          <w:sz w:val="18"/>
          <w:szCs w:val="18"/>
          <w:i w:val="1"/>
          <w:iCs w:val="1"/>
          <w:color w:val="auto"/>
        </w:rPr>
        <w:t>e.g</w:t>
      </w:r>
      <w:r>
        <w:rPr>
          <w:rFonts w:ascii="Calibri" w:cs="Calibri" w:eastAsia="Calibri" w:hAnsi="Calibri"/>
          <w:sz w:val="18"/>
          <w:szCs w:val="18"/>
          <w:color w:val="auto"/>
        </w:rPr>
        <w:t>., achieving 105% of performance target will lead to a payout of 125% of the target level cash incentve payment). Performance over 120% of the applicable performance target does not result in any additonal annual cash incentve payment.</w:t>
      </w:r>
    </w:p>
    <w:p>
      <w:pPr>
        <w:spacing w:after="0" w:line="246"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i w:val="1"/>
          <w:iCs w:val="1"/>
          <w:color w:val="auto"/>
        </w:rPr>
        <w:t xml:space="preserve">Corporate and Business Unit Financial Measures. </w:t>
      </w:r>
      <w:r>
        <w:rPr>
          <w:rFonts w:ascii="Calibri" w:cs="Calibri" w:eastAsia="Calibri" w:hAnsi="Calibri"/>
          <w:sz w:val="18"/>
          <w:szCs w:val="18"/>
          <w:color w:val="auto"/>
        </w:rPr>
        <w:t>The corporate performance porton of the annual cash incentve payment was based on our company-wide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results for fscal 2024 as measured by income before income taxes, as compared to a targeted level of the same fnancial measure for that period. For our Water Treatment segment (Mr. Lange), the business unit performance porton of the annual cash incentve payment was based on an operatonal measure of business unit proftability for fscal 2024 that measures product sales less the cost of materials including freight in, the freight costs to deliver the product to the customer and the selling costs as compared to a targeted level of such operatonal proftability for that period. In each case, the targeted levels of performance were based on the level of antcipated performance that was derived from the company’s annual operatng plan. The corporate and business unit fnancial goals for fscal 2024 and the actual performance against those goals are summarized below (amounts in thousands).</w:t>
      </w:r>
    </w:p>
    <w:p>
      <w:pPr>
        <w:spacing w:after="0" w:line="89"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740" w:type="dxa"/>
            <w:vAlign w:val="bottom"/>
            <w:tcBorders>
              <w:top w:val="single" w:sz="8" w:color="auto"/>
              <w:lef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center"/>
              <w:ind w:right="100"/>
              <w:spacing w:after="0" w:line="180" w:lineRule="exact"/>
              <w:rPr>
                <w:sz w:val="20"/>
                <w:szCs w:val="20"/>
                <w:color w:val="auto"/>
              </w:rPr>
            </w:pPr>
            <w:r>
              <w:rPr>
                <w:rFonts w:ascii="Calibri" w:cs="Calibri" w:eastAsia="Calibri" w:hAnsi="Calibri"/>
                <w:sz w:val="18"/>
                <w:szCs w:val="18"/>
                <w:b w:val="1"/>
                <w:bCs w:val="1"/>
                <w:color w:val="auto"/>
                <w:w w:val="99"/>
              </w:rPr>
              <w:t>Threshold</w:t>
            </w:r>
          </w:p>
        </w:tc>
        <w:tc>
          <w:tcPr>
            <w:tcW w:w="1500" w:type="dxa"/>
            <w:vAlign w:val="bottom"/>
            <w:tcBorders>
              <w:top w:val="single" w:sz="8" w:color="auto"/>
            </w:tcBorders>
            <w:gridSpan w:val="2"/>
          </w:tcPr>
          <w:p>
            <w:pPr>
              <w:jc w:val="center"/>
              <w:ind w:right="100"/>
              <w:spacing w:after="0" w:line="180" w:lineRule="exact"/>
              <w:rPr>
                <w:sz w:val="20"/>
                <w:szCs w:val="20"/>
                <w:color w:val="auto"/>
              </w:rPr>
            </w:pPr>
            <w:r>
              <w:rPr>
                <w:rFonts w:ascii="Calibri" w:cs="Calibri" w:eastAsia="Calibri" w:hAnsi="Calibri"/>
                <w:sz w:val="18"/>
                <w:szCs w:val="18"/>
                <w:b w:val="1"/>
                <w:bCs w:val="1"/>
                <w:color w:val="auto"/>
                <w:w w:val="91"/>
              </w:rPr>
              <w:t>Target</w:t>
            </w:r>
          </w:p>
        </w:tc>
        <w:tc>
          <w:tcPr>
            <w:tcW w:w="1460" w:type="dxa"/>
            <w:vAlign w:val="bottom"/>
            <w:tcBorders>
              <w:top w:val="single" w:sz="8" w:color="auto"/>
            </w:tcBorders>
            <w:gridSpan w:val="2"/>
          </w:tcPr>
          <w:p>
            <w:pPr>
              <w:jc w:val="center"/>
              <w:ind w:right="120"/>
              <w:spacing w:after="0" w:line="180" w:lineRule="exact"/>
              <w:rPr>
                <w:sz w:val="20"/>
                <w:szCs w:val="20"/>
                <w:color w:val="auto"/>
              </w:rPr>
            </w:pPr>
            <w:r>
              <w:rPr>
                <w:rFonts w:ascii="Calibri" w:cs="Calibri" w:eastAsia="Calibri" w:hAnsi="Calibri"/>
                <w:sz w:val="18"/>
                <w:szCs w:val="18"/>
                <w:b w:val="1"/>
                <w:bCs w:val="1"/>
                <w:color w:val="auto"/>
                <w:w w:val="96"/>
              </w:rPr>
              <w:t>Maximum</w:t>
            </w:r>
          </w:p>
        </w:tc>
        <w:tc>
          <w:tcPr>
            <w:tcW w:w="1400" w:type="dxa"/>
            <w:vAlign w:val="bottom"/>
            <w:tcBorders>
              <w:top w:val="single" w:sz="8" w:color="auto"/>
              <w:right w:val="single" w:sz="8" w:color="auto"/>
            </w:tcBorders>
          </w:tcPr>
          <w:p>
            <w:pPr>
              <w:jc w:val="center"/>
              <w:spacing w:after="0" w:line="180" w:lineRule="exact"/>
              <w:rPr>
                <w:sz w:val="20"/>
                <w:szCs w:val="20"/>
                <w:color w:val="auto"/>
              </w:rPr>
            </w:pPr>
            <w:r>
              <w:rPr>
                <w:rFonts w:ascii="Calibri" w:cs="Calibri" w:eastAsia="Calibri" w:hAnsi="Calibri"/>
                <w:sz w:val="18"/>
                <w:szCs w:val="18"/>
                <w:b w:val="1"/>
                <w:bCs w:val="1"/>
                <w:color w:val="auto"/>
                <w:w w:val="96"/>
              </w:rPr>
              <w:t>Actual</w:t>
            </w:r>
          </w:p>
        </w:tc>
        <w:tc>
          <w:tcPr>
            <w:tcW w:w="0" w:type="dxa"/>
            <w:vAlign w:val="bottom"/>
          </w:tcPr>
          <w:p>
            <w:pPr>
              <w:spacing w:after="0"/>
              <w:rPr>
                <w:sz w:val="1"/>
                <w:szCs w:val="1"/>
                <w:color w:val="auto"/>
              </w:rPr>
            </w:pPr>
          </w:p>
        </w:tc>
      </w:tr>
      <w:tr>
        <w:trPr>
          <w:trHeight w:val="189"/>
        </w:trPr>
        <w:tc>
          <w:tcPr>
            <w:tcW w:w="374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line="189" w:lineRule="exact"/>
              <w:rPr>
                <w:sz w:val="20"/>
                <w:szCs w:val="20"/>
                <w:color w:val="auto"/>
              </w:rPr>
            </w:pPr>
            <w:r>
              <w:rPr>
                <w:rFonts w:ascii="Calibri" w:cs="Calibri" w:eastAsia="Calibri" w:hAnsi="Calibri"/>
                <w:sz w:val="18"/>
                <w:szCs w:val="18"/>
                <w:b w:val="1"/>
                <w:bCs w:val="1"/>
                <w:color w:val="auto"/>
                <w:w w:val="97"/>
              </w:rPr>
              <w:t>Performance</w:t>
            </w:r>
          </w:p>
        </w:tc>
        <w:tc>
          <w:tcPr>
            <w:tcW w:w="1500" w:type="dxa"/>
            <w:vAlign w:val="bottom"/>
            <w:gridSpan w:val="2"/>
          </w:tcPr>
          <w:p>
            <w:pPr>
              <w:jc w:val="center"/>
              <w:ind w:right="120"/>
              <w:spacing w:after="0" w:line="189" w:lineRule="exact"/>
              <w:rPr>
                <w:sz w:val="20"/>
                <w:szCs w:val="20"/>
                <w:color w:val="auto"/>
              </w:rPr>
            </w:pPr>
            <w:r>
              <w:rPr>
                <w:rFonts w:ascii="Calibri" w:cs="Calibri" w:eastAsia="Calibri" w:hAnsi="Calibri"/>
                <w:sz w:val="18"/>
                <w:szCs w:val="18"/>
                <w:b w:val="1"/>
                <w:bCs w:val="1"/>
                <w:color w:val="auto"/>
                <w:w w:val="97"/>
              </w:rPr>
              <w:t>Performance</w:t>
            </w:r>
          </w:p>
        </w:tc>
        <w:tc>
          <w:tcPr>
            <w:tcW w:w="1460" w:type="dxa"/>
            <w:vAlign w:val="bottom"/>
            <w:gridSpan w:val="2"/>
          </w:tcPr>
          <w:p>
            <w:pPr>
              <w:jc w:val="center"/>
              <w:ind w:right="120"/>
              <w:spacing w:after="0" w:line="189" w:lineRule="exact"/>
              <w:rPr>
                <w:sz w:val="20"/>
                <w:szCs w:val="20"/>
                <w:color w:val="auto"/>
              </w:rPr>
            </w:pPr>
            <w:r>
              <w:rPr>
                <w:rFonts w:ascii="Calibri" w:cs="Calibri" w:eastAsia="Calibri" w:hAnsi="Calibri"/>
                <w:sz w:val="18"/>
                <w:szCs w:val="18"/>
                <w:b w:val="1"/>
                <w:bCs w:val="1"/>
                <w:color w:val="auto"/>
                <w:w w:val="97"/>
              </w:rPr>
              <w:t>Performance</w:t>
            </w:r>
          </w:p>
        </w:tc>
        <w:tc>
          <w:tcPr>
            <w:tcW w:w="140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18"/>
                <w:szCs w:val="18"/>
                <w:b w:val="1"/>
                <w:bCs w:val="1"/>
                <w:color w:val="auto"/>
                <w:w w:val="97"/>
              </w:rPr>
              <w:t>Performance</w:t>
            </w:r>
          </w:p>
        </w:tc>
        <w:tc>
          <w:tcPr>
            <w:tcW w:w="0" w:type="dxa"/>
            <w:vAlign w:val="bottom"/>
          </w:tcPr>
          <w:p>
            <w:pPr>
              <w:spacing w:after="0"/>
              <w:rPr>
                <w:sz w:val="1"/>
                <w:szCs w:val="1"/>
                <w:color w:val="auto"/>
              </w:rPr>
            </w:pPr>
          </w:p>
        </w:tc>
      </w:tr>
      <w:tr>
        <w:trPr>
          <w:trHeight w:val="215"/>
        </w:trPr>
        <w:tc>
          <w:tcPr>
            <w:tcW w:w="3840" w:type="dxa"/>
            <w:vAlign w:val="bottom"/>
            <w:tcBorders>
              <w:left w:val="single" w:sz="8" w:color="auto"/>
            </w:tcBorders>
            <w:gridSpan w:val="2"/>
          </w:tcPr>
          <w:p>
            <w:pPr>
              <w:ind w:left="40"/>
              <w:spacing w:after="0" w:line="215" w:lineRule="exact"/>
              <w:rPr>
                <w:sz w:val="20"/>
                <w:szCs w:val="20"/>
                <w:color w:val="auto"/>
              </w:rPr>
            </w:pPr>
            <w:r>
              <w:rPr>
                <w:rFonts w:ascii="Calibri" w:cs="Calibri" w:eastAsia="Calibri" w:hAnsi="Calibri"/>
                <w:sz w:val="18"/>
                <w:szCs w:val="18"/>
                <w:b w:val="1"/>
                <w:bCs w:val="1"/>
                <w:color w:val="auto"/>
              </w:rPr>
              <w:t>Financial Measure</w:t>
            </w:r>
          </w:p>
        </w:tc>
        <w:tc>
          <w:tcPr>
            <w:tcW w:w="1480" w:type="dxa"/>
            <w:vAlign w:val="bottom"/>
            <w:gridSpan w:val="2"/>
          </w:tcPr>
          <w:p>
            <w:pPr>
              <w:jc w:val="center"/>
              <w:ind w:right="100"/>
              <w:spacing w:after="0" w:line="215" w:lineRule="exact"/>
              <w:rPr>
                <w:sz w:val="20"/>
                <w:szCs w:val="20"/>
                <w:color w:val="auto"/>
              </w:rPr>
            </w:pPr>
            <w:r>
              <w:rPr>
                <w:rFonts w:ascii="Calibri" w:cs="Calibri" w:eastAsia="Calibri" w:hAnsi="Calibri"/>
                <w:sz w:val="18"/>
                <w:szCs w:val="18"/>
                <w:b w:val="1"/>
                <w:bCs w:val="1"/>
                <w:color w:val="auto"/>
                <w:w w:val="98"/>
              </w:rPr>
              <w:t>Level</w:t>
            </w:r>
          </w:p>
        </w:tc>
        <w:tc>
          <w:tcPr>
            <w:tcW w:w="1500" w:type="dxa"/>
            <w:vAlign w:val="bottom"/>
            <w:gridSpan w:val="2"/>
          </w:tcPr>
          <w:p>
            <w:pPr>
              <w:jc w:val="center"/>
              <w:ind w:right="120"/>
              <w:spacing w:after="0" w:line="215" w:lineRule="exact"/>
              <w:rPr>
                <w:sz w:val="20"/>
                <w:szCs w:val="20"/>
                <w:color w:val="auto"/>
              </w:rPr>
            </w:pPr>
            <w:r>
              <w:rPr>
                <w:rFonts w:ascii="Calibri" w:cs="Calibri" w:eastAsia="Calibri" w:hAnsi="Calibri"/>
                <w:sz w:val="18"/>
                <w:szCs w:val="18"/>
                <w:b w:val="1"/>
                <w:bCs w:val="1"/>
                <w:color w:val="auto"/>
                <w:w w:val="98"/>
              </w:rPr>
              <w:t>Level</w:t>
            </w:r>
          </w:p>
        </w:tc>
        <w:tc>
          <w:tcPr>
            <w:tcW w:w="1460" w:type="dxa"/>
            <w:vAlign w:val="bottom"/>
            <w:gridSpan w:val="2"/>
          </w:tcPr>
          <w:p>
            <w:pPr>
              <w:jc w:val="center"/>
              <w:ind w:right="120"/>
              <w:spacing w:after="0" w:line="215" w:lineRule="exact"/>
              <w:rPr>
                <w:sz w:val="20"/>
                <w:szCs w:val="20"/>
                <w:color w:val="auto"/>
              </w:rPr>
            </w:pPr>
            <w:r>
              <w:rPr>
                <w:rFonts w:ascii="Calibri" w:cs="Calibri" w:eastAsia="Calibri" w:hAnsi="Calibri"/>
                <w:sz w:val="18"/>
                <w:szCs w:val="18"/>
                <w:b w:val="1"/>
                <w:bCs w:val="1"/>
                <w:color w:val="auto"/>
                <w:w w:val="98"/>
              </w:rPr>
              <w:t>Level</w:t>
            </w:r>
          </w:p>
        </w:tc>
        <w:tc>
          <w:tcPr>
            <w:tcW w:w="14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5"/>
              </w:rPr>
              <w:t>Achieved</w:t>
            </w:r>
          </w:p>
        </w:tc>
        <w:tc>
          <w:tcPr>
            <w:tcW w:w="0" w:type="dxa"/>
            <w:vAlign w:val="bottom"/>
          </w:tcPr>
          <w:p>
            <w:pPr>
              <w:spacing w:after="0"/>
              <w:rPr>
                <w:sz w:val="1"/>
                <w:szCs w:val="1"/>
                <w:color w:val="auto"/>
              </w:rPr>
            </w:pP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40" w:type="dxa"/>
            <w:vAlign w:val="bottom"/>
            <w:tcBorders>
              <w:left w:val="single" w:sz="8" w:color="auto"/>
            </w:tcBorders>
            <w:shd w:val="clear" w:color="auto" w:fill="B3B3B3"/>
          </w:tcPr>
          <w:p>
            <w:pPr>
              <w:ind w:left="40"/>
              <w:spacing w:after="0" w:line="215" w:lineRule="exact"/>
              <w:rPr>
                <w:sz w:val="20"/>
                <w:szCs w:val="20"/>
                <w:color w:val="auto"/>
              </w:rPr>
            </w:pPr>
            <w:r>
              <w:rPr>
                <w:rFonts w:ascii="Calibri" w:cs="Calibri" w:eastAsia="Calibri" w:hAnsi="Calibri"/>
                <w:sz w:val="18"/>
                <w:szCs w:val="18"/>
                <w:color w:val="auto"/>
              </w:rPr>
              <w:t>Income before Income Taxes</w:t>
            </w:r>
          </w:p>
        </w:tc>
        <w:tc>
          <w:tcPr>
            <w:tcW w:w="100" w:type="dxa"/>
            <w:vAlign w:val="bottom"/>
            <w:shd w:val="clear" w:color="auto" w:fill="B3B3B3"/>
          </w:tcPr>
          <w:p>
            <w:pPr>
              <w:spacing w:after="0"/>
              <w:rPr>
                <w:sz w:val="19"/>
                <w:szCs w:val="19"/>
                <w:color w:val="auto"/>
              </w:rPr>
            </w:pPr>
          </w:p>
        </w:tc>
        <w:tc>
          <w:tcPr>
            <w:tcW w:w="138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$59,400</w:t>
            </w:r>
          </w:p>
        </w:tc>
        <w:tc>
          <w:tcPr>
            <w:tcW w:w="100" w:type="dxa"/>
            <w:vAlign w:val="bottom"/>
            <w:shd w:val="clear" w:color="auto" w:fill="B3B3B3"/>
          </w:tcPr>
          <w:p>
            <w:pPr>
              <w:spacing w:after="0"/>
              <w:rPr>
                <w:sz w:val="19"/>
                <w:szCs w:val="19"/>
                <w:color w:val="auto"/>
              </w:rPr>
            </w:pPr>
          </w:p>
        </w:tc>
        <w:tc>
          <w:tcPr>
            <w:tcW w:w="138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$74,250</w:t>
            </w:r>
          </w:p>
        </w:tc>
        <w:tc>
          <w:tcPr>
            <w:tcW w:w="120" w:type="dxa"/>
            <w:vAlign w:val="bottom"/>
            <w:shd w:val="clear" w:color="auto" w:fill="B3B3B3"/>
          </w:tcPr>
          <w:p>
            <w:pPr>
              <w:spacing w:after="0"/>
              <w:rPr>
                <w:sz w:val="19"/>
                <w:szCs w:val="19"/>
                <w:color w:val="auto"/>
              </w:rPr>
            </w:pPr>
          </w:p>
        </w:tc>
        <w:tc>
          <w:tcPr>
            <w:tcW w:w="136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$89,100</w:t>
            </w:r>
          </w:p>
        </w:tc>
        <w:tc>
          <w:tcPr>
            <w:tcW w:w="100" w:type="dxa"/>
            <w:vAlign w:val="bottom"/>
            <w:shd w:val="clear" w:color="auto" w:fill="B3B3B3"/>
          </w:tcPr>
          <w:p>
            <w:pPr>
              <w:spacing w:after="0"/>
              <w:rPr>
                <w:sz w:val="19"/>
                <w:szCs w:val="19"/>
                <w:color w:val="auto"/>
              </w:rPr>
            </w:pPr>
          </w:p>
        </w:tc>
        <w:tc>
          <w:tcPr>
            <w:tcW w:w="1400" w:type="dxa"/>
            <w:vAlign w:val="bottom"/>
            <w:tcBorders>
              <w:right w:val="single" w:sz="8" w:color="auto"/>
            </w:tcBorders>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$104,128</w:t>
            </w:r>
          </w:p>
        </w:tc>
        <w:tc>
          <w:tcPr>
            <w:tcW w:w="0" w:type="dxa"/>
            <w:vAlign w:val="bottom"/>
          </w:tcPr>
          <w:p>
            <w:pPr>
              <w:spacing w:after="0"/>
              <w:rPr>
                <w:sz w:val="1"/>
                <w:szCs w:val="1"/>
                <w:color w:val="auto"/>
              </w:rPr>
            </w:pPr>
          </w:p>
        </w:tc>
      </w:tr>
      <w:tr>
        <w:trPr>
          <w:trHeight w:val="167"/>
        </w:trPr>
        <w:tc>
          <w:tcPr>
            <w:tcW w:w="3840" w:type="dxa"/>
            <w:vAlign w:val="bottom"/>
            <w:tcBorders>
              <w:left w:val="single" w:sz="8" w:color="auto"/>
            </w:tcBorders>
            <w:gridSpan w:val="2"/>
          </w:tcPr>
          <w:p>
            <w:pPr>
              <w:ind w:left="40"/>
              <w:spacing w:after="0" w:line="166" w:lineRule="exact"/>
              <w:rPr>
                <w:sz w:val="20"/>
                <w:szCs w:val="20"/>
                <w:color w:val="auto"/>
              </w:rPr>
            </w:pPr>
            <w:r>
              <w:rPr>
                <w:rFonts w:ascii="Calibri" w:cs="Calibri" w:eastAsia="Calibri" w:hAnsi="Calibri"/>
                <w:sz w:val="18"/>
                <w:szCs w:val="18"/>
                <w:color w:val="auto"/>
              </w:rPr>
              <w:t>Water Treatment Group Operatonal Performance</w:t>
            </w:r>
          </w:p>
        </w:tc>
        <w:tc>
          <w:tcPr>
            <w:tcW w:w="1380" w:type="dxa"/>
            <w:vAlign w:val="bottom"/>
            <w:vMerge w:val="restart"/>
          </w:tcPr>
          <w:p>
            <w:pPr>
              <w:jc w:val="right"/>
              <w:spacing w:after="0"/>
              <w:rPr>
                <w:sz w:val="20"/>
                <w:szCs w:val="20"/>
                <w:color w:val="auto"/>
              </w:rPr>
            </w:pPr>
            <w:r>
              <w:rPr>
                <w:rFonts w:ascii="Calibri" w:cs="Calibri" w:eastAsia="Calibri" w:hAnsi="Calibri"/>
                <w:sz w:val="18"/>
                <w:szCs w:val="18"/>
                <w:color w:val="auto"/>
              </w:rPr>
              <w:t>$45,386</w:t>
            </w: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Calibri" w:cs="Calibri" w:eastAsia="Calibri" w:hAnsi="Calibri"/>
                <w:sz w:val="18"/>
                <w:szCs w:val="18"/>
                <w:color w:val="auto"/>
              </w:rPr>
              <w:t>$56,732</w:t>
            </w:r>
          </w:p>
        </w:tc>
        <w:tc>
          <w:tcPr>
            <w:tcW w:w="1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Calibri" w:cs="Calibri" w:eastAsia="Calibri" w:hAnsi="Calibri"/>
                <w:sz w:val="18"/>
                <w:szCs w:val="18"/>
                <w:color w:val="auto"/>
              </w:rPr>
              <w:t>$68,078</w:t>
            </w:r>
          </w:p>
        </w:tc>
        <w:tc>
          <w:tcPr>
            <w:tcW w:w="100" w:type="dxa"/>
            <w:vAlign w:val="bottom"/>
          </w:tcPr>
          <w:p>
            <w:pPr>
              <w:spacing w:after="0"/>
              <w:rPr>
                <w:sz w:val="14"/>
                <w:szCs w:val="14"/>
                <w:color w:val="auto"/>
              </w:rPr>
            </w:pPr>
          </w:p>
        </w:tc>
        <w:tc>
          <w:tcPr>
            <w:tcW w:w="1400" w:type="dxa"/>
            <w:vAlign w:val="bottom"/>
            <w:tcBorders>
              <w:right w:val="single" w:sz="8" w:color="auto"/>
            </w:tcBorders>
            <w:vMerge w:val="restart"/>
          </w:tcPr>
          <w:p>
            <w:pPr>
              <w:jc w:val="right"/>
              <w:spacing w:after="0"/>
              <w:rPr>
                <w:sz w:val="20"/>
                <w:szCs w:val="20"/>
                <w:color w:val="auto"/>
              </w:rPr>
            </w:pPr>
            <w:r>
              <w:rPr>
                <w:rFonts w:ascii="Calibri" w:cs="Calibri" w:eastAsia="Calibri" w:hAnsi="Calibri"/>
                <w:sz w:val="18"/>
                <w:szCs w:val="18"/>
                <w:color w:val="auto"/>
              </w:rPr>
              <w:t>$70,799</w:t>
            </w:r>
          </w:p>
        </w:tc>
        <w:tc>
          <w:tcPr>
            <w:tcW w:w="0" w:type="dxa"/>
            <w:vAlign w:val="bottom"/>
          </w:tcPr>
          <w:p>
            <w:pPr>
              <w:spacing w:after="0"/>
              <w:rPr>
                <w:sz w:val="1"/>
                <w:szCs w:val="1"/>
                <w:color w:val="auto"/>
              </w:rPr>
            </w:pPr>
          </w:p>
        </w:tc>
      </w:tr>
      <w:tr>
        <w:trPr>
          <w:trHeight w:val="134"/>
        </w:trPr>
        <w:tc>
          <w:tcPr>
            <w:tcW w:w="3840" w:type="dxa"/>
            <w:vAlign w:val="bottom"/>
            <w:tcBorders>
              <w:left w:val="single" w:sz="8" w:color="auto"/>
            </w:tcBorders>
            <w:gridSpan w:val="2"/>
            <w:vMerge w:val="restart"/>
          </w:tcPr>
          <w:p>
            <w:pPr>
              <w:ind w:left="40"/>
              <w:spacing w:after="0" w:line="215" w:lineRule="exact"/>
              <w:rPr>
                <w:sz w:val="20"/>
                <w:szCs w:val="20"/>
                <w:color w:val="auto"/>
              </w:rPr>
            </w:pPr>
            <w:r>
              <w:rPr>
                <w:rFonts w:ascii="Calibri" w:cs="Calibri" w:eastAsia="Calibri" w:hAnsi="Calibri"/>
                <w:sz w:val="18"/>
                <w:szCs w:val="18"/>
                <w:color w:val="auto"/>
              </w:rPr>
              <w:t>Measure</w:t>
            </w:r>
          </w:p>
        </w:tc>
        <w:tc>
          <w:tcPr>
            <w:tcW w:w="1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840" w:type="dxa"/>
            <w:vAlign w:val="bottom"/>
            <w:tcBorders>
              <w:left w:val="single" w:sz="8" w:color="auto"/>
            </w:tcBorders>
            <w:gridSpan w:val="2"/>
            <w:vMerge w:val="continue"/>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3740" w:type="dxa"/>
            <w:vAlign w:val="bottom"/>
            <w:tcBorders>
              <w:left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Compensaton Commitee set these target performance levels to ensure that a substantal porton of each named executve ofcer’s cash compensaton is ted to corporate and business unit performance, as appropriate, and to provide our named executve ofcers with a performance-based opportunity to achieve market-compettve total compensaton. The Compensaton Commitee determined that income before income taxes was the best measure of overall corporate fnancial performance and that the operatonal proftability measure described above was the best measures of business unit fnancial performance.</w:t>
      </w:r>
    </w:p>
    <w:p>
      <w:pPr>
        <w:spacing w:after="0" w:line="24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Because our income before income taxes was greater than the maximum level of performance for the 2024 fscal year, our named executve ofcers received 200% of the targeted payout under the corporate fnancial measure for fscal 2024. Because business unit operatonal proftability performance for the Water Treatment Group was greater than the maximum level of performance, Mr. Lange received 200% of his targeted payout under the business unit fnancial measure.</w:t>
      </w:r>
    </w:p>
    <w:p>
      <w:pPr>
        <w:spacing w:after="0" w:line="235"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Annual Equity Awards</w:t>
      </w:r>
    </w:p>
    <w:p>
      <w:pPr>
        <w:spacing w:after="0" w:line="249" w:lineRule="exact"/>
        <w:rPr>
          <w:sz w:val="20"/>
          <w:szCs w:val="20"/>
          <w:color w:val="auto"/>
        </w:rPr>
      </w:pPr>
    </w:p>
    <w:p>
      <w:pPr>
        <w:spacing w:after="0"/>
        <w:rPr>
          <w:sz w:val="20"/>
          <w:szCs w:val="20"/>
          <w:color w:val="auto"/>
        </w:rPr>
      </w:pPr>
      <w:r>
        <w:rPr>
          <w:rFonts w:ascii="Calibri" w:cs="Calibri" w:eastAsia="Calibri" w:hAnsi="Calibri"/>
          <w:sz w:val="18"/>
          <w:szCs w:val="18"/>
          <w:color w:val="auto"/>
        </w:rPr>
        <w:t>Our equity incentve compensaton program is designed to:</w:t>
      </w:r>
    </w:p>
    <w:p>
      <w:pPr>
        <w:ind w:left="640" w:hanging="308"/>
        <w:spacing w:after="0" w:line="235" w:lineRule="auto"/>
        <w:tabs>
          <w:tab w:leader="none" w:pos="64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align the interests of the partcipants with those of our shareholders,</w:t>
      </w:r>
    </w:p>
    <w:p>
      <w:pPr>
        <w:ind w:left="640" w:hanging="308"/>
        <w:spacing w:after="0" w:line="235" w:lineRule="auto"/>
        <w:tabs>
          <w:tab w:leader="none" w:pos="64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provide incentves for the retenton of our named executve ofcers,</w:t>
      </w:r>
    </w:p>
    <w:p>
      <w:pPr>
        <w:ind w:left="640" w:hanging="308"/>
        <w:spacing w:after="0" w:line="235" w:lineRule="auto"/>
        <w:tabs>
          <w:tab w:leader="none" w:pos="64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establish a minimum level of performance for payouts,</w:t>
      </w:r>
    </w:p>
    <w:p>
      <w:pPr>
        <w:ind w:left="640" w:hanging="308"/>
        <w:spacing w:after="0" w:line="235" w:lineRule="auto"/>
        <w:tabs>
          <w:tab w:leader="none" w:pos="64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provide an opportunity for increased payouts for performance in excess of established targets, and</w:t>
      </w:r>
    </w:p>
    <w:p>
      <w:pPr>
        <w:ind w:left="640" w:hanging="308"/>
        <w:spacing w:after="0" w:line="235" w:lineRule="auto"/>
        <w:tabs>
          <w:tab w:leader="none" w:pos="64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provide an equity incentve program that is compettve with the programs provided by companies with whom we compete for talent.</w:t>
      </w:r>
    </w:p>
    <w:p>
      <w:pPr>
        <w:spacing w:after="0" w:line="245" w:lineRule="exact"/>
        <w:rPr>
          <w:sz w:val="20"/>
          <w:szCs w:val="20"/>
          <w:color w:val="auto"/>
        </w:rPr>
      </w:pPr>
    </w:p>
    <w:p>
      <w:pPr>
        <w:jc w:val="both"/>
        <w:ind w:right="240"/>
        <w:spacing w:after="0" w:line="235" w:lineRule="auto"/>
        <w:rPr>
          <w:sz w:val="20"/>
          <w:szCs w:val="20"/>
          <w:color w:val="auto"/>
        </w:rPr>
      </w:pPr>
      <w:r>
        <w:rPr>
          <w:rFonts w:ascii="Calibri" w:cs="Calibri" w:eastAsia="Calibri" w:hAnsi="Calibri"/>
          <w:sz w:val="18"/>
          <w:szCs w:val="18"/>
          <w:color w:val="auto"/>
        </w:rPr>
        <w:t>For fscal 2024, as had been the case in prior years, the equity incentve compensaton program consisted of grants of performance-based restricted stock units under our 2019 Plan that would vest based on company performance during fscal 2024 and would be setled in shares of restricted stock that would vest afer two more years of service. The Compensaton Commitee determined, with the assistance of McLagan, to contnue grantng performance-based restricted stock units to our named executve ofcers so that a signifcant porton of each named executve ofcer’s compensaton would be performance-based.</w:t>
      </w:r>
    </w:p>
    <w:p>
      <w:pPr>
        <w:spacing w:after="0" w:line="24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For fscal 2024, the target number of shares issued to each named executve ofcer pursuant to his or her performance-based restricted stock unit award was based on a percentage of the executve’s base salary and converted into a target number of shares based on the closing price of a share of our common stock on the date of grant. The resultng awards, approved by the Compensaton Commitee in May 2023, provided that each named executve ofcer would receive up to a maximum number</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0" w:name="page21"/>
    <w:bookmarkEnd w:id="20"/>
    <w:p>
      <w:pPr>
        <w:ind w:right="280"/>
        <w:spacing w:after="0" w:line="235" w:lineRule="auto"/>
        <w:rPr>
          <w:sz w:val="20"/>
          <w:szCs w:val="20"/>
          <w:color w:val="auto"/>
        </w:rPr>
      </w:pPr>
      <w:r>
        <w:rPr>
          <w:rFonts w:ascii="Calibri" w:cs="Calibri" w:eastAsia="Calibri" w:hAnsi="Calibri"/>
          <w:sz w:val="18"/>
          <w:szCs w:val="18"/>
          <w:color w:val="auto"/>
        </w:rPr>
        <w:t>of shares of restricted stock based on our performance during fscal 2024 measured against the same pre-tax income target used in the annual non-equity incentve compensaton awards described above.</w:t>
      </w:r>
    </w:p>
    <w:p>
      <w:pPr>
        <w:spacing w:after="0" w:line="245" w:lineRule="exact"/>
        <w:rPr>
          <w:sz w:val="20"/>
          <w:szCs w:val="20"/>
          <w:color w:val="auto"/>
        </w:rPr>
      </w:pPr>
    </w:p>
    <w:p>
      <w:pPr>
        <w:spacing w:after="0"/>
        <w:rPr>
          <w:sz w:val="20"/>
          <w:szCs w:val="20"/>
          <w:color w:val="auto"/>
        </w:rPr>
      </w:pPr>
      <w:r>
        <w:rPr>
          <w:rFonts w:ascii="Calibri" w:cs="Calibri" w:eastAsia="Calibri" w:hAnsi="Calibri"/>
          <w:sz w:val="17"/>
          <w:szCs w:val="17"/>
          <w:color w:val="auto"/>
        </w:rPr>
        <w:t>The actual number of restricted stock units that would be earned and setled on a one-for-one basis in shares of restricted stock was based on a sliding scale</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for the relevant income above or below the target level, and was subject to minimum threshold and maximum setlement amounts. For fscal 2024, the target</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was set at $74.3 million, the same level as our target used for our non-equity incentve plan arrangement described above. Our actual performance was</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$104.1 million, refectng our actual income before income taxes. If our actual results were less than 80% of the target in fscal 2024, then no restricted stock</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units would be earned and setled in shares of restricted stock. If our actual results were between 80% and 100% of the target in fscal 2024, then a number</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of restricted stock units would have been earned and setled in shares of restricted stock based on a sliding scale between 50% and 100% of the target</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number of shares of restricted stock. If our actual results were between 100% and 120% of the target in fscal 2024, then a number of restricted stock units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would have been earned and setled in shares of restricted stock based on a sliding scale between 100% and 150% of the target number of shares of</w:t>
      </w:r>
    </w:p>
    <w:p>
      <w:pPr>
        <w:spacing w:after="0" w:line="235" w:lineRule="auto"/>
        <w:rPr>
          <w:sz w:val="20"/>
          <w:szCs w:val="20"/>
          <w:color w:val="auto"/>
        </w:rPr>
      </w:pPr>
      <w:r>
        <w:rPr>
          <w:rFonts w:ascii="Calibri" w:cs="Calibri" w:eastAsia="Calibri" w:hAnsi="Calibri"/>
          <w:sz w:val="18"/>
          <w:szCs w:val="18"/>
          <w:color w:val="auto"/>
        </w:rPr>
        <w:t>restricted stock. Because our actual results were greater than the maximum level of performance for the fscal 2024, the named executve ofcers each</w:t>
      </w:r>
    </w:p>
    <w:p>
      <w:pPr>
        <w:spacing w:after="0" w:line="236" w:lineRule="auto"/>
        <w:rPr>
          <w:sz w:val="20"/>
          <w:szCs w:val="20"/>
          <w:color w:val="auto"/>
        </w:rPr>
      </w:pPr>
      <w:r>
        <w:rPr>
          <w:rFonts w:ascii="Calibri" w:cs="Calibri" w:eastAsia="Calibri" w:hAnsi="Calibri"/>
          <w:sz w:val="18"/>
          <w:szCs w:val="18"/>
          <w:color w:val="auto"/>
        </w:rPr>
        <w:t>received restricted stock equal to 150% of the target number of shares of restricted stock.</w:t>
      </w:r>
    </w:p>
    <w:p>
      <w:pPr>
        <w:spacing w:after="0" w:line="245"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The Compensaton Commitee established the following performance-based restricted stock unit award amounts for our named executve ofcers for fscal 2024:</w:t>
      </w:r>
    </w:p>
    <w:p>
      <w:pPr>
        <w:spacing w:after="0" w:line="85"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700" w:type="dxa"/>
            <w:vAlign w:val="bottom"/>
            <w:tcBorders>
              <w:top w:val="single" w:sz="8" w:color="auto"/>
              <w:lef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right w:val="single" w:sz="8" w:color="auto"/>
            </w:tcBorders>
          </w:tcPr>
          <w:p>
            <w:pPr>
              <w:jc w:val="center"/>
              <w:spacing w:after="0" w:line="180" w:lineRule="exact"/>
              <w:rPr>
                <w:sz w:val="20"/>
                <w:szCs w:val="20"/>
                <w:color w:val="auto"/>
              </w:rPr>
            </w:pPr>
            <w:r>
              <w:rPr>
                <w:rFonts w:ascii="Calibri" w:cs="Calibri" w:eastAsia="Calibri" w:hAnsi="Calibri"/>
                <w:sz w:val="18"/>
                <w:szCs w:val="18"/>
                <w:b w:val="1"/>
                <w:bCs w:val="1"/>
                <w:color w:val="auto"/>
                <w:w w:val="97"/>
              </w:rPr>
              <w:t>Units Vested and</w:t>
            </w:r>
          </w:p>
        </w:tc>
      </w:tr>
      <w:tr>
        <w:trPr>
          <w:trHeight w:val="189"/>
        </w:trPr>
        <w:tc>
          <w:tcPr>
            <w:tcW w:w="37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18"/>
                <w:szCs w:val="18"/>
                <w:b w:val="1"/>
                <w:bCs w:val="1"/>
                <w:color w:val="auto"/>
                <w:w w:val="98"/>
              </w:rPr>
              <w:t>Number of Shares</w:t>
            </w:r>
          </w:p>
        </w:tc>
      </w:tr>
      <w:tr>
        <w:trPr>
          <w:trHeight w:val="175"/>
        </w:trPr>
        <w:tc>
          <w:tcPr>
            <w:tcW w:w="37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right w:val="single" w:sz="8" w:color="auto"/>
            </w:tcBorders>
          </w:tcPr>
          <w:p>
            <w:pPr>
              <w:jc w:val="center"/>
              <w:spacing w:after="0" w:line="175" w:lineRule="exact"/>
              <w:rPr>
                <w:sz w:val="20"/>
                <w:szCs w:val="20"/>
                <w:color w:val="auto"/>
              </w:rPr>
            </w:pPr>
            <w:r>
              <w:rPr>
                <w:rFonts w:ascii="Calibri" w:cs="Calibri" w:eastAsia="Calibri" w:hAnsi="Calibri"/>
                <w:sz w:val="18"/>
                <w:szCs w:val="18"/>
                <w:b w:val="1"/>
                <w:bCs w:val="1"/>
                <w:color w:val="auto"/>
                <w:w w:val="96"/>
              </w:rPr>
              <w:t>of Restricted</w:t>
            </w:r>
          </w:p>
        </w:tc>
      </w:tr>
      <w:tr>
        <w:trPr>
          <w:trHeight w:val="176"/>
        </w:trPr>
        <w:tc>
          <w:tcPr>
            <w:tcW w:w="37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right"/>
              <w:ind w:right="350"/>
              <w:spacing w:after="0" w:line="175" w:lineRule="exact"/>
              <w:rPr>
                <w:sz w:val="20"/>
                <w:szCs w:val="20"/>
                <w:color w:val="auto"/>
              </w:rPr>
            </w:pPr>
            <w:r>
              <w:rPr>
                <w:rFonts w:ascii="Calibri" w:cs="Calibri" w:eastAsia="Calibri" w:hAnsi="Calibri"/>
                <w:sz w:val="18"/>
                <w:szCs w:val="18"/>
                <w:b w:val="1"/>
                <w:bCs w:val="1"/>
                <w:color w:val="auto"/>
              </w:rPr>
              <w:t>Target % of</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right w:val="single" w:sz="8" w:color="auto"/>
            </w:tcBorders>
          </w:tcPr>
          <w:p>
            <w:pPr>
              <w:jc w:val="center"/>
              <w:spacing w:after="0" w:line="175" w:lineRule="exact"/>
              <w:rPr>
                <w:sz w:val="20"/>
                <w:szCs w:val="20"/>
                <w:color w:val="auto"/>
              </w:rPr>
            </w:pPr>
            <w:r>
              <w:rPr>
                <w:rFonts w:ascii="Calibri" w:cs="Calibri" w:eastAsia="Calibri" w:hAnsi="Calibri"/>
                <w:sz w:val="18"/>
                <w:szCs w:val="18"/>
                <w:b w:val="1"/>
                <w:bCs w:val="1"/>
                <w:color w:val="auto"/>
                <w:w w:val="98"/>
              </w:rPr>
              <w:t>Stock Actually</w:t>
            </w:r>
          </w:p>
        </w:tc>
      </w:tr>
      <w:tr>
        <w:trPr>
          <w:trHeight w:val="228"/>
        </w:trPr>
        <w:tc>
          <w:tcPr>
            <w:tcW w:w="3800" w:type="dxa"/>
            <w:vAlign w:val="bottom"/>
            <w:tcBorders>
              <w:left w:val="single" w:sz="8" w:color="auto"/>
            </w:tcBorders>
            <w:gridSpan w:val="2"/>
          </w:tcPr>
          <w:p>
            <w:pPr>
              <w:ind w:left="40"/>
              <w:spacing w:after="0"/>
              <w:rPr>
                <w:sz w:val="20"/>
                <w:szCs w:val="20"/>
                <w:color w:val="auto"/>
              </w:rPr>
            </w:pPr>
            <w:r>
              <w:rPr>
                <w:rFonts w:ascii="Calibri" w:cs="Calibri" w:eastAsia="Calibri" w:hAnsi="Calibri"/>
                <w:sz w:val="18"/>
                <w:szCs w:val="18"/>
                <w:b w:val="1"/>
                <w:bCs w:val="1"/>
                <w:color w:val="auto"/>
              </w:rPr>
              <w:t>Positon</w:t>
            </w:r>
          </w:p>
        </w:tc>
        <w:tc>
          <w:tcPr>
            <w:tcW w:w="1580" w:type="dxa"/>
            <w:vAlign w:val="bottom"/>
          </w:tcPr>
          <w:p>
            <w:pPr>
              <w:jc w:val="right"/>
              <w:ind w:right="330"/>
              <w:spacing w:after="0" w:line="215" w:lineRule="exact"/>
              <w:rPr>
                <w:sz w:val="20"/>
                <w:szCs w:val="20"/>
                <w:color w:val="auto"/>
              </w:rPr>
            </w:pPr>
            <w:r>
              <w:rPr>
                <w:rFonts w:ascii="Calibri" w:cs="Calibri" w:eastAsia="Calibri" w:hAnsi="Calibri"/>
                <w:sz w:val="18"/>
                <w:szCs w:val="18"/>
                <w:b w:val="1"/>
                <w:bCs w:val="1"/>
                <w:color w:val="auto"/>
              </w:rPr>
              <w:t>Base Salary</w:t>
            </w:r>
          </w:p>
        </w:tc>
        <w:tc>
          <w:tcPr>
            <w:tcW w:w="1480" w:type="dxa"/>
            <w:vAlign w:val="bottom"/>
            <w:gridSpan w:val="2"/>
          </w:tcPr>
          <w:p>
            <w:pPr>
              <w:ind w:left="120"/>
              <w:spacing w:after="0"/>
              <w:rPr>
                <w:sz w:val="20"/>
                <w:szCs w:val="20"/>
                <w:color w:val="auto"/>
              </w:rPr>
            </w:pPr>
            <w:r>
              <w:rPr>
                <w:rFonts w:ascii="Calibri" w:cs="Calibri" w:eastAsia="Calibri" w:hAnsi="Calibri"/>
                <w:sz w:val="18"/>
                <w:szCs w:val="18"/>
                <w:b w:val="1"/>
                <w:bCs w:val="1"/>
                <w:color w:val="auto"/>
              </w:rPr>
              <w:t>Minimum Units</w:t>
            </w:r>
          </w:p>
        </w:tc>
        <w:tc>
          <w:tcPr>
            <w:tcW w:w="1440" w:type="dxa"/>
            <w:vAlign w:val="bottom"/>
            <w:gridSpan w:val="2"/>
          </w:tcPr>
          <w:p>
            <w:pPr>
              <w:ind w:left="220"/>
              <w:spacing w:after="0"/>
              <w:rPr>
                <w:sz w:val="20"/>
                <w:szCs w:val="20"/>
                <w:color w:val="auto"/>
              </w:rPr>
            </w:pPr>
            <w:r>
              <w:rPr>
                <w:rFonts w:ascii="Calibri" w:cs="Calibri" w:eastAsia="Calibri" w:hAnsi="Calibri"/>
                <w:sz w:val="18"/>
                <w:szCs w:val="18"/>
                <w:b w:val="1"/>
                <w:bCs w:val="1"/>
                <w:color w:val="auto"/>
              </w:rPr>
              <w:t>Target Units</w:t>
            </w:r>
          </w:p>
        </w:tc>
        <w:tc>
          <w:tcPr>
            <w:tcW w:w="146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Maximum Units</w:t>
            </w:r>
          </w:p>
        </w:tc>
        <w:tc>
          <w:tcPr>
            <w:tcW w:w="14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rPr>
              <w:t>Issued</w:t>
            </w:r>
          </w:p>
        </w:tc>
      </w:tr>
      <w:tr>
        <w:trPr>
          <w:trHeight w:val="23"/>
        </w:trPr>
        <w:tc>
          <w:tcPr>
            <w:tcW w:w="37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23"/>
        </w:trPr>
        <w:tc>
          <w:tcPr>
            <w:tcW w:w="3700" w:type="dxa"/>
            <w:vAlign w:val="bottom"/>
            <w:tcBorders>
              <w:left w:val="single" w:sz="8" w:color="auto"/>
            </w:tcBorders>
            <w:shd w:val="clear" w:color="auto" w:fill="B3B3B3"/>
          </w:tcPr>
          <w:p>
            <w:pPr>
              <w:ind w:left="40"/>
              <w:spacing w:after="0" w:line="215" w:lineRule="exact"/>
              <w:rPr>
                <w:sz w:val="20"/>
                <w:szCs w:val="20"/>
                <w:color w:val="auto"/>
              </w:rPr>
            </w:pPr>
            <w:r>
              <w:rPr>
                <w:rFonts w:ascii="Calibri" w:cs="Calibri" w:eastAsia="Calibri" w:hAnsi="Calibri"/>
                <w:sz w:val="18"/>
                <w:szCs w:val="18"/>
                <w:color w:val="auto"/>
              </w:rPr>
              <w:t>Patrick H. Hawkins, Chief Executve Ofcer</w:t>
            </w:r>
          </w:p>
        </w:tc>
        <w:tc>
          <w:tcPr>
            <w:tcW w:w="100" w:type="dxa"/>
            <w:vAlign w:val="bottom"/>
            <w:shd w:val="clear" w:color="auto" w:fill="B3B3B3"/>
          </w:tcPr>
          <w:p>
            <w:pPr>
              <w:spacing w:after="0"/>
              <w:rPr>
                <w:sz w:val="19"/>
                <w:szCs w:val="19"/>
                <w:color w:val="auto"/>
              </w:rPr>
            </w:pPr>
          </w:p>
        </w:tc>
        <w:tc>
          <w:tcPr>
            <w:tcW w:w="1580" w:type="dxa"/>
            <w:vAlign w:val="bottom"/>
            <w:shd w:val="clear" w:color="auto" w:fill="B3B3B3"/>
          </w:tcPr>
          <w:p>
            <w:pPr>
              <w:jc w:val="right"/>
              <w:ind w:right="10"/>
              <w:spacing w:after="0" w:line="215" w:lineRule="exact"/>
              <w:rPr>
                <w:sz w:val="20"/>
                <w:szCs w:val="20"/>
                <w:color w:val="auto"/>
              </w:rPr>
            </w:pPr>
            <w:r>
              <w:rPr>
                <w:rFonts w:ascii="Calibri" w:cs="Calibri" w:eastAsia="Calibri" w:hAnsi="Calibri"/>
                <w:sz w:val="18"/>
                <w:szCs w:val="18"/>
                <w:color w:val="auto"/>
              </w:rPr>
              <w:t>100 %</w:t>
            </w:r>
          </w:p>
        </w:tc>
        <w:tc>
          <w:tcPr>
            <w:tcW w:w="136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7,396</w:t>
            </w:r>
          </w:p>
        </w:tc>
        <w:tc>
          <w:tcPr>
            <w:tcW w:w="12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14,792</w:t>
            </w:r>
          </w:p>
        </w:tc>
        <w:tc>
          <w:tcPr>
            <w:tcW w:w="120" w:type="dxa"/>
            <w:vAlign w:val="bottom"/>
            <w:shd w:val="clear" w:color="auto" w:fill="B3B3B3"/>
          </w:tcPr>
          <w:p>
            <w:pPr>
              <w:spacing w:after="0"/>
              <w:rPr>
                <w:sz w:val="19"/>
                <w:szCs w:val="19"/>
                <w:color w:val="auto"/>
              </w:rPr>
            </w:pPr>
          </w:p>
        </w:tc>
        <w:tc>
          <w:tcPr>
            <w:tcW w:w="136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22,188</w:t>
            </w:r>
          </w:p>
        </w:tc>
        <w:tc>
          <w:tcPr>
            <w:tcW w:w="100" w:type="dxa"/>
            <w:vAlign w:val="bottom"/>
            <w:shd w:val="clear" w:color="auto" w:fill="B3B3B3"/>
          </w:tcPr>
          <w:p>
            <w:pPr>
              <w:spacing w:after="0"/>
              <w:rPr>
                <w:sz w:val="19"/>
                <w:szCs w:val="19"/>
                <w:color w:val="auto"/>
              </w:rPr>
            </w:pPr>
          </w:p>
        </w:tc>
        <w:tc>
          <w:tcPr>
            <w:tcW w:w="1400" w:type="dxa"/>
            <w:vAlign w:val="bottom"/>
            <w:tcBorders>
              <w:right w:val="single" w:sz="8" w:color="auto"/>
            </w:tcBorders>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22,188</w:t>
            </w:r>
          </w:p>
        </w:tc>
      </w:tr>
      <w:tr>
        <w:trPr>
          <w:trHeight w:val="222"/>
        </w:trPr>
        <w:tc>
          <w:tcPr>
            <w:tcW w:w="3800" w:type="dxa"/>
            <w:vAlign w:val="bottom"/>
            <w:tcBorders>
              <w:left w:val="single" w:sz="8" w:color="auto"/>
            </w:tcBorders>
            <w:gridSpan w:val="2"/>
          </w:tcPr>
          <w:p>
            <w:pPr>
              <w:ind w:left="40"/>
              <w:spacing w:after="0" w:line="215" w:lineRule="exact"/>
              <w:rPr>
                <w:sz w:val="20"/>
                <w:szCs w:val="20"/>
                <w:color w:val="auto"/>
              </w:rPr>
            </w:pPr>
            <w:r>
              <w:rPr>
                <w:rFonts w:ascii="Calibri" w:cs="Calibri" w:eastAsia="Calibri" w:hAnsi="Calibri"/>
                <w:sz w:val="18"/>
                <w:szCs w:val="18"/>
                <w:color w:val="auto"/>
              </w:rPr>
              <w:t>Jefrey P. Oldenkamp, Chief Financial Ofcer</w:t>
            </w:r>
          </w:p>
        </w:tc>
        <w:tc>
          <w:tcPr>
            <w:tcW w:w="158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75 %</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4,075</w:t>
            </w:r>
          </w:p>
        </w:tc>
        <w:tc>
          <w:tcPr>
            <w:tcW w:w="120" w:type="dxa"/>
            <w:vAlign w:val="bottom"/>
          </w:tcPr>
          <w:p>
            <w:pPr>
              <w:spacing w:after="0"/>
              <w:rPr>
                <w:sz w:val="19"/>
                <w:szCs w:val="19"/>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8,151</w:t>
            </w:r>
          </w:p>
        </w:tc>
        <w:tc>
          <w:tcPr>
            <w:tcW w:w="120" w:type="dxa"/>
            <w:vAlign w:val="bottom"/>
          </w:tcPr>
          <w:p>
            <w:pPr>
              <w:spacing w:after="0"/>
              <w:rPr>
                <w:sz w:val="19"/>
                <w:szCs w:val="19"/>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12,266</w:t>
            </w:r>
          </w:p>
        </w:tc>
        <w:tc>
          <w:tcPr>
            <w:tcW w:w="100" w:type="dxa"/>
            <w:vAlign w:val="bottom"/>
          </w:tcPr>
          <w:p>
            <w:pPr>
              <w:spacing w:after="0"/>
              <w:rPr>
                <w:sz w:val="19"/>
                <w:szCs w:val="19"/>
                <w:color w:val="auto"/>
              </w:rPr>
            </w:pPr>
          </w:p>
        </w:tc>
        <w:tc>
          <w:tcPr>
            <w:tcW w:w="140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12,266</w:t>
            </w:r>
          </w:p>
        </w:tc>
      </w:tr>
      <w:tr>
        <w:trPr>
          <w:trHeight w:val="237"/>
        </w:trPr>
        <w:tc>
          <w:tcPr>
            <w:tcW w:w="3800" w:type="dxa"/>
            <w:vAlign w:val="bottom"/>
            <w:tcBorders>
              <w:left w:val="single" w:sz="8" w:color="auto"/>
            </w:tcBorders>
            <w:gridSpan w:val="2"/>
            <w:shd w:val="clear" w:color="auto" w:fill="B3B3B3"/>
          </w:tcPr>
          <w:p>
            <w:pPr>
              <w:ind w:left="40"/>
              <w:spacing w:after="0"/>
              <w:rPr>
                <w:sz w:val="20"/>
                <w:szCs w:val="20"/>
                <w:color w:val="auto"/>
              </w:rPr>
            </w:pPr>
            <w:r>
              <w:rPr>
                <w:rFonts w:ascii="Calibri" w:cs="Calibri" w:eastAsia="Calibri" w:hAnsi="Calibri"/>
                <w:sz w:val="18"/>
                <w:szCs w:val="18"/>
                <w:color w:val="auto"/>
              </w:rPr>
              <w:t>Drew M. Grahek, Vice President - Operatons</w:t>
            </w:r>
          </w:p>
        </w:tc>
        <w:tc>
          <w:tcPr>
            <w:tcW w:w="1580" w:type="dxa"/>
            <w:vAlign w:val="bottom"/>
            <w:shd w:val="clear" w:color="auto" w:fill="B3B3B3"/>
          </w:tcPr>
          <w:p>
            <w:pPr>
              <w:jc w:val="right"/>
              <w:ind w:right="10"/>
              <w:spacing w:after="0"/>
              <w:rPr>
                <w:sz w:val="20"/>
                <w:szCs w:val="20"/>
                <w:color w:val="auto"/>
              </w:rPr>
            </w:pPr>
            <w:r>
              <w:rPr>
                <w:rFonts w:ascii="Calibri" w:cs="Calibri" w:eastAsia="Calibri" w:hAnsi="Calibri"/>
                <w:sz w:val="18"/>
                <w:szCs w:val="18"/>
                <w:color w:val="auto"/>
              </w:rPr>
              <w:t>60 %</w:t>
            </w:r>
          </w:p>
        </w:tc>
        <w:tc>
          <w:tcPr>
            <w:tcW w:w="136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2,563</w:t>
            </w:r>
          </w:p>
        </w:tc>
        <w:tc>
          <w:tcPr>
            <w:tcW w:w="120" w:type="dxa"/>
            <w:vAlign w:val="bottom"/>
            <w:shd w:val="clear" w:color="auto" w:fill="B3B3B3"/>
          </w:tcPr>
          <w:p>
            <w:pPr>
              <w:spacing w:after="0"/>
              <w:rPr>
                <w:sz w:val="20"/>
                <w:szCs w:val="20"/>
                <w:color w:val="auto"/>
              </w:rPr>
            </w:pPr>
          </w:p>
        </w:tc>
        <w:tc>
          <w:tcPr>
            <w:tcW w:w="132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5,126</w:t>
            </w:r>
          </w:p>
        </w:tc>
        <w:tc>
          <w:tcPr>
            <w:tcW w:w="120" w:type="dxa"/>
            <w:vAlign w:val="bottom"/>
            <w:shd w:val="clear" w:color="auto" w:fill="B3B3B3"/>
          </w:tcPr>
          <w:p>
            <w:pPr>
              <w:spacing w:after="0"/>
              <w:rPr>
                <w:sz w:val="20"/>
                <w:szCs w:val="20"/>
                <w:color w:val="auto"/>
              </w:rPr>
            </w:pPr>
          </w:p>
        </w:tc>
        <w:tc>
          <w:tcPr>
            <w:tcW w:w="136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7,689</w:t>
            </w:r>
          </w:p>
        </w:tc>
        <w:tc>
          <w:tcPr>
            <w:tcW w:w="100" w:type="dxa"/>
            <w:vAlign w:val="bottom"/>
            <w:shd w:val="clear" w:color="auto" w:fill="B3B3B3"/>
          </w:tcPr>
          <w:p>
            <w:pPr>
              <w:spacing w:after="0"/>
              <w:rPr>
                <w:sz w:val="20"/>
                <w:szCs w:val="20"/>
                <w:color w:val="auto"/>
              </w:rPr>
            </w:pPr>
          </w:p>
        </w:tc>
        <w:tc>
          <w:tcPr>
            <w:tcW w:w="1400" w:type="dxa"/>
            <w:vAlign w:val="bottom"/>
            <w:tcBorders>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7,689</w:t>
            </w:r>
          </w:p>
        </w:tc>
      </w:tr>
      <w:tr>
        <w:trPr>
          <w:trHeight w:val="222"/>
        </w:trPr>
        <w:tc>
          <w:tcPr>
            <w:tcW w:w="3800" w:type="dxa"/>
            <w:vAlign w:val="bottom"/>
            <w:tcBorders>
              <w:left w:val="single" w:sz="8" w:color="auto"/>
            </w:tcBorders>
            <w:gridSpan w:val="2"/>
          </w:tcPr>
          <w:p>
            <w:pPr>
              <w:ind w:left="40"/>
              <w:spacing w:after="0" w:line="215" w:lineRule="exact"/>
              <w:rPr>
                <w:sz w:val="20"/>
                <w:szCs w:val="20"/>
                <w:color w:val="auto"/>
              </w:rPr>
            </w:pPr>
            <w:r>
              <w:rPr>
                <w:rFonts w:ascii="Calibri" w:cs="Calibri" w:eastAsia="Calibri" w:hAnsi="Calibri"/>
                <w:sz w:val="18"/>
                <w:szCs w:val="18"/>
                <w:color w:val="auto"/>
              </w:rPr>
              <w:t>Richard G. Erstad, General Counsel</w:t>
            </w:r>
          </w:p>
        </w:tc>
        <w:tc>
          <w:tcPr>
            <w:tcW w:w="158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65 %</w:t>
            </w: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2,543</w:t>
            </w:r>
          </w:p>
        </w:tc>
        <w:tc>
          <w:tcPr>
            <w:tcW w:w="120" w:type="dxa"/>
            <w:vAlign w:val="bottom"/>
          </w:tcPr>
          <w:p>
            <w:pPr>
              <w:spacing w:after="0"/>
              <w:rPr>
                <w:sz w:val="19"/>
                <w:szCs w:val="19"/>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5,087</w:t>
            </w:r>
          </w:p>
        </w:tc>
        <w:tc>
          <w:tcPr>
            <w:tcW w:w="120" w:type="dxa"/>
            <w:vAlign w:val="bottom"/>
          </w:tcPr>
          <w:p>
            <w:pPr>
              <w:spacing w:after="0"/>
              <w:rPr>
                <w:sz w:val="19"/>
                <w:szCs w:val="19"/>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7,630</w:t>
            </w:r>
          </w:p>
        </w:tc>
        <w:tc>
          <w:tcPr>
            <w:tcW w:w="100" w:type="dxa"/>
            <w:vAlign w:val="bottom"/>
          </w:tcPr>
          <w:p>
            <w:pPr>
              <w:spacing w:after="0"/>
              <w:rPr>
                <w:sz w:val="19"/>
                <w:szCs w:val="19"/>
                <w:color w:val="auto"/>
              </w:rPr>
            </w:pPr>
          </w:p>
        </w:tc>
        <w:tc>
          <w:tcPr>
            <w:tcW w:w="140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7,630</w:t>
            </w:r>
          </w:p>
        </w:tc>
      </w:tr>
      <w:tr>
        <w:trPr>
          <w:trHeight w:val="174"/>
        </w:trPr>
        <w:tc>
          <w:tcPr>
            <w:tcW w:w="3800" w:type="dxa"/>
            <w:vAlign w:val="bottom"/>
            <w:tcBorders>
              <w:left w:val="single" w:sz="8" w:color="auto"/>
            </w:tcBorders>
            <w:gridSpan w:val="2"/>
            <w:shd w:val="clear" w:color="auto" w:fill="B3B3B3"/>
          </w:tcPr>
          <w:p>
            <w:pPr>
              <w:ind w:left="40"/>
              <w:spacing w:after="0" w:line="174" w:lineRule="exact"/>
              <w:rPr>
                <w:sz w:val="20"/>
                <w:szCs w:val="20"/>
                <w:color w:val="auto"/>
              </w:rPr>
            </w:pPr>
            <w:r>
              <w:rPr>
                <w:rFonts w:ascii="Calibri" w:cs="Calibri" w:eastAsia="Calibri" w:hAnsi="Calibri"/>
                <w:sz w:val="18"/>
                <w:szCs w:val="18"/>
                <w:color w:val="auto"/>
              </w:rPr>
              <w:t>Douglas A. Lange, Vice President - Water</w:t>
            </w:r>
          </w:p>
        </w:tc>
        <w:tc>
          <w:tcPr>
            <w:tcW w:w="1580" w:type="dxa"/>
            <w:vAlign w:val="bottom"/>
            <w:shd w:val="clear" w:color="auto" w:fill="B3B3B3"/>
          </w:tcPr>
          <w:p>
            <w:pPr>
              <w:spacing w:after="0"/>
              <w:rPr>
                <w:sz w:val="15"/>
                <w:szCs w:val="15"/>
                <w:color w:val="auto"/>
              </w:rPr>
            </w:pPr>
          </w:p>
        </w:tc>
        <w:tc>
          <w:tcPr>
            <w:tcW w:w="1360" w:type="dxa"/>
            <w:vAlign w:val="bottom"/>
            <w:shd w:val="clear" w:color="auto" w:fill="B3B3B3"/>
          </w:tcPr>
          <w:p>
            <w:pPr>
              <w:spacing w:after="0"/>
              <w:rPr>
                <w:sz w:val="15"/>
                <w:szCs w:val="15"/>
                <w:color w:val="auto"/>
              </w:rPr>
            </w:pPr>
          </w:p>
        </w:tc>
        <w:tc>
          <w:tcPr>
            <w:tcW w:w="120" w:type="dxa"/>
            <w:vAlign w:val="bottom"/>
            <w:shd w:val="clear" w:color="auto" w:fill="B3B3B3"/>
          </w:tcPr>
          <w:p>
            <w:pPr>
              <w:spacing w:after="0"/>
              <w:rPr>
                <w:sz w:val="15"/>
                <w:szCs w:val="15"/>
                <w:color w:val="auto"/>
              </w:rPr>
            </w:pPr>
          </w:p>
        </w:tc>
        <w:tc>
          <w:tcPr>
            <w:tcW w:w="1320" w:type="dxa"/>
            <w:vAlign w:val="bottom"/>
            <w:shd w:val="clear" w:color="auto" w:fill="B3B3B3"/>
          </w:tcPr>
          <w:p>
            <w:pPr>
              <w:spacing w:after="0"/>
              <w:rPr>
                <w:sz w:val="15"/>
                <w:szCs w:val="15"/>
                <w:color w:val="auto"/>
              </w:rPr>
            </w:pPr>
          </w:p>
        </w:tc>
        <w:tc>
          <w:tcPr>
            <w:tcW w:w="120" w:type="dxa"/>
            <w:vAlign w:val="bottom"/>
            <w:shd w:val="clear" w:color="auto" w:fill="B3B3B3"/>
          </w:tcPr>
          <w:p>
            <w:pPr>
              <w:spacing w:after="0"/>
              <w:rPr>
                <w:sz w:val="15"/>
                <w:szCs w:val="15"/>
                <w:color w:val="auto"/>
              </w:rPr>
            </w:pPr>
          </w:p>
        </w:tc>
        <w:tc>
          <w:tcPr>
            <w:tcW w:w="1360" w:type="dxa"/>
            <w:vAlign w:val="bottom"/>
            <w:shd w:val="clear" w:color="auto" w:fill="B3B3B3"/>
          </w:tcPr>
          <w:p>
            <w:pPr>
              <w:spacing w:after="0"/>
              <w:rPr>
                <w:sz w:val="15"/>
                <w:szCs w:val="15"/>
                <w:color w:val="auto"/>
              </w:rPr>
            </w:pPr>
          </w:p>
        </w:tc>
        <w:tc>
          <w:tcPr>
            <w:tcW w:w="100" w:type="dxa"/>
            <w:vAlign w:val="bottom"/>
            <w:shd w:val="clear" w:color="auto" w:fill="B3B3B3"/>
          </w:tcPr>
          <w:p>
            <w:pPr>
              <w:spacing w:after="0"/>
              <w:rPr>
                <w:sz w:val="15"/>
                <w:szCs w:val="15"/>
                <w:color w:val="auto"/>
              </w:rPr>
            </w:pPr>
          </w:p>
        </w:tc>
        <w:tc>
          <w:tcPr>
            <w:tcW w:w="1400" w:type="dxa"/>
            <w:vAlign w:val="bottom"/>
            <w:tcBorders>
              <w:right w:val="single" w:sz="8" w:color="auto"/>
            </w:tcBorders>
            <w:shd w:val="clear" w:color="auto" w:fill="B3B3B3"/>
          </w:tcPr>
          <w:p>
            <w:pPr>
              <w:spacing w:after="0"/>
              <w:rPr>
                <w:sz w:val="15"/>
                <w:szCs w:val="15"/>
                <w:color w:val="auto"/>
              </w:rPr>
            </w:pPr>
          </w:p>
        </w:tc>
      </w:tr>
      <w:tr>
        <w:trPr>
          <w:trHeight w:val="232"/>
        </w:trPr>
        <w:tc>
          <w:tcPr>
            <w:tcW w:w="3800" w:type="dxa"/>
            <w:vAlign w:val="bottom"/>
            <w:tcBorders>
              <w:left w:val="single" w:sz="8" w:color="auto"/>
              <w:bottom w:val="single" w:sz="8" w:color="B3B3B3"/>
            </w:tcBorders>
            <w:gridSpan w:val="2"/>
            <w:shd w:val="clear" w:color="auto" w:fill="B3B3B3"/>
          </w:tcPr>
          <w:p>
            <w:pPr>
              <w:ind w:left="40"/>
              <w:spacing w:after="0" w:line="215" w:lineRule="exact"/>
              <w:rPr>
                <w:sz w:val="20"/>
                <w:szCs w:val="20"/>
                <w:color w:val="auto"/>
              </w:rPr>
            </w:pPr>
            <w:r>
              <w:rPr>
                <w:rFonts w:ascii="Calibri" w:cs="Calibri" w:eastAsia="Calibri" w:hAnsi="Calibri"/>
                <w:sz w:val="18"/>
                <w:szCs w:val="18"/>
                <w:color w:val="auto"/>
              </w:rPr>
              <w:t>Treatment</w:t>
            </w:r>
          </w:p>
        </w:tc>
        <w:tc>
          <w:tcPr>
            <w:tcW w:w="1580" w:type="dxa"/>
            <w:vAlign w:val="bottom"/>
            <w:tcBorders>
              <w:bottom w:val="single" w:sz="8" w:color="B3B3B3"/>
            </w:tcBorders>
            <w:shd w:val="clear" w:color="auto" w:fill="B3B3B3"/>
          </w:tcPr>
          <w:p>
            <w:pPr>
              <w:jc w:val="right"/>
              <w:ind w:right="10"/>
              <w:spacing w:after="0"/>
              <w:rPr>
                <w:sz w:val="20"/>
                <w:szCs w:val="20"/>
                <w:color w:val="auto"/>
              </w:rPr>
            </w:pPr>
            <w:r>
              <w:rPr>
                <w:rFonts w:ascii="Calibri" w:cs="Calibri" w:eastAsia="Calibri" w:hAnsi="Calibri"/>
                <w:sz w:val="18"/>
                <w:szCs w:val="18"/>
                <w:color w:val="auto"/>
              </w:rPr>
              <w:t>60 %</w:t>
            </w:r>
          </w:p>
        </w:tc>
        <w:tc>
          <w:tcPr>
            <w:tcW w:w="1360" w:type="dxa"/>
            <w:vAlign w:val="bottom"/>
            <w:tcBorders>
              <w:bottom w:val="single" w:sz="8" w:color="B3B3B3"/>
            </w:tcBorders>
            <w:shd w:val="clear" w:color="auto" w:fill="B3B3B3"/>
          </w:tcPr>
          <w:p>
            <w:pPr>
              <w:jc w:val="right"/>
              <w:spacing w:after="0"/>
              <w:rPr>
                <w:sz w:val="20"/>
                <w:szCs w:val="20"/>
                <w:color w:val="auto"/>
              </w:rPr>
            </w:pPr>
            <w:r>
              <w:rPr>
                <w:rFonts w:ascii="Calibri" w:cs="Calibri" w:eastAsia="Calibri" w:hAnsi="Calibri"/>
                <w:sz w:val="18"/>
                <w:szCs w:val="18"/>
                <w:color w:val="auto"/>
              </w:rPr>
              <w:t>2,347</w:t>
            </w:r>
          </w:p>
        </w:tc>
        <w:tc>
          <w:tcPr>
            <w:tcW w:w="120" w:type="dxa"/>
            <w:vAlign w:val="bottom"/>
            <w:tcBorders>
              <w:bottom w:val="single" w:sz="8" w:color="B3B3B3"/>
            </w:tcBorders>
            <w:shd w:val="clear" w:color="auto" w:fill="B3B3B3"/>
          </w:tcPr>
          <w:p>
            <w:pPr>
              <w:spacing w:after="0"/>
              <w:rPr>
                <w:sz w:val="20"/>
                <w:szCs w:val="20"/>
                <w:color w:val="auto"/>
              </w:rPr>
            </w:pPr>
          </w:p>
        </w:tc>
        <w:tc>
          <w:tcPr>
            <w:tcW w:w="1320" w:type="dxa"/>
            <w:vAlign w:val="bottom"/>
            <w:tcBorders>
              <w:bottom w:val="single" w:sz="8" w:color="B3B3B3"/>
            </w:tcBorders>
            <w:shd w:val="clear" w:color="auto" w:fill="B3B3B3"/>
          </w:tcPr>
          <w:p>
            <w:pPr>
              <w:jc w:val="right"/>
              <w:spacing w:after="0"/>
              <w:rPr>
                <w:sz w:val="20"/>
                <w:szCs w:val="20"/>
                <w:color w:val="auto"/>
              </w:rPr>
            </w:pPr>
            <w:r>
              <w:rPr>
                <w:rFonts w:ascii="Calibri" w:cs="Calibri" w:eastAsia="Calibri" w:hAnsi="Calibri"/>
                <w:sz w:val="18"/>
                <w:szCs w:val="18"/>
                <w:color w:val="auto"/>
              </w:rPr>
              <w:t>4,695</w:t>
            </w:r>
          </w:p>
        </w:tc>
        <w:tc>
          <w:tcPr>
            <w:tcW w:w="120" w:type="dxa"/>
            <w:vAlign w:val="bottom"/>
            <w:tcBorders>
              <w:bottom w:val="single" w:sz="8" w:color="B3B3B3"/>
            </w:tcBorders>
            <w:shd w:val="clear" w:color="auto" w:fill="B3B3B3"/>
          </w:tcPr>
          <w:p>
            <w:pPr>
              <w:spacing w:after="0"/>
              <w:rPr>
                <w:sz w:val="20"/>
                <w:szCs w:val="20"/>
                <w:color w:val="auto"/>
              </w:rPr>
            </w:pPr>
          </w:p>
        </w:tc>
        <w:tc>
          <w:tcPr>
            <w:tcW w:w="1360" w:type="dxa"/>
            <w:vAlign w:val="bottom"/>
            <w:tcBorders>
              <w:bottom w:val="single" w:sz="8" w:color="B3B3B3"/>
            </w:tcBorders>
            <w:shd w:val="clear" w:color="auto" w:fill="B3B3B3"/>
          </w:tcPr>
          <w:p>
            <w:pPr>
              <w:jc w:val="right"/>
              <w:spacing w:after="0"/>
              <w:rPr>
                <w:sz w:val="20"/>
                <w:szCs w:val="20"/>
                <w:color w:val="auto"/>
              </w:rPr>
            </w:pPr>
            <w:r>
              <w:rPr>
                <w:rFonts w:ascii="Calibri" w:cs="Calibri" w:eastAsia="Calibri" w:hAnsi="Calibri"/>
                <w:sz w:val="18"/>
                <w:szCs w:val="18"/>
                <w:color w:val="auto"/>
              </w:rPr>
              <w:t>7,042</w:t>
            </w:r>
          </w:p>
        </w:tc>
        <w:tc>
          <w:tcPr>
            <w:tcW w:w="100" w:type="dxa"/>
            <w:vAlign w:val="bottom"/>
            <w:tcBorders>
              <w:bottom w:val="single" w:sz="8" w:color="B3B3B3"/>
            </w:tcBorders>
            <w:shd w:val="clear" w:color="auto" w:fill="B3B3B3"/>
          </w:tcPr>
          <w:p>
            <w:pPr>
              <w:spacing w:after="0"/>
              <w:rPr>
                <w:sz w:val="20"/>
                <w:szCs w:val="20"/>
                <w:color w:val="auto"/>
              </w:rPr>
            </w:pPr>
          </w:p>
        </w:tc>
        <w:tc>
          <w:tcPr>
            <w:tcW w:w="1400" w:type="dxa"/>
            <w:vAlign w:val="bottom"/>
            <w:tcBorders>
              <w:bottom w:val="single" w:sz="8" w:color="B3B3B3"/>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7,042</w:t>
            </w:r>
          </w:p>
        </w:tc>
      </w:tr>
      <w:tr>
        <w:trPr>
          <w:trHeight w:val="20"/>
        </w:trPr>
        <w:tc>
          <w:tcPr>
            <w:tcW w:w="37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r>
    </w:tbl>
    <w:p>
      <w:pPr>
        <w:spacing w:after="0" w:line="396" w:lineRule="exact"/>
        <w:rPr>
          <w:sz w:val="20"/>
          <w:szCs w:val="20"/>
          <w:color w:val="auto"/>
        </w:rPr>
      </w:pPr>
    </w:p>
    <w:p>
      <w:pPr>
        <w:spacing w:after="0" w:line="249" w:lineRule="auto"/>
        <w:rPr>
          <w:sz w:val="20"/>
          <w:szCs w:val="20"/>
          <w:color w:val="auto"/>
        </w:rPr>
      </w:pPr>
      <w:r>
        <w:rPr>
          <w:rFonts w:ascii="Calibri" w:cs="Calibri" w:eastAsia="Calibri" w:hAnsi="Calibri"/>
          <w:sz w:val="17"/>
          <w:szCs w:val="17"/>
          <w:color w:val="auto"/>
        </w:rPr>
        <w:t>In the event of a “fundamental change” (as defned below) involving the company, each performance-based restricted stock unit award will vest immediately at 100% of target level if the Compensaton Commitee determines that the fundamental change will not result in the contnuaton of the performance-based restricted stock unit award. Any outstanding shares of restricted stock issued in setlement of vested performance-based restricted stock unit awards will also immediately vest under the same circumstances. If a performance-based restricted stock unit award is contnued afer a fundamental change, but, in connecton with the fundamental change, a named executve ofcer is terminated without cause or resigns for good reason during the applicable performance period or prior to the fnal vestng of the restricted stock, then the performance-based restricted stock unit award or any restricted stock issued in setlement of vested performance-based restricted stock unit awards will vest in the same manner. We believe that these vestng terms in connecton with a fundamental change strike an appropriate balance between company and shareholder concerns about executve retenton in the event of a fundamental change and an executve’s legitmate concerns regarding terminaton or diminuton of dutes as a result of a fundamental change or a change in control. In our 2019 Plan, “fundamental change” generally includes any one of the following, unless otherwise provided in an award agreement:</w:t>
      </w:r>
    </w:p>
    <w:p>
      <w:pPr>
        <w:spacing w:after="0" w:line="2" w:lineRule="exact"/>
        <w:rPr>
          <w:sz w:val="20"/>
          <w:szCs w:val="20"/>
          <w:color w:val="auto"/>
        </w:rPr>
      </w:pPr>
    </w:p>
    <w:p>
      <w:pPr>
        <w:ind w:left="640" w:hanging="308"/>
        <w:spacing w:after="0"/>
        <w:tabs>
          <w:tab w:leader="none" w:pos="64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the consummaton of a corporate transacton, subject to certain exceptons;</w:t>
      </w:r>
    </w:p>
    <w:p>
      <w:pPr>
        <w:spacing w:after="0" w:line="1" w:lineRule="exact"/>
        <w:rPr>
          <w:rFonts w:ascii="Calibri" w:cs="Calibri" w:eastAsia="Calibri" w:hAnsi="Calibri"/>
          <w:sz w:val="18"/>
          <w:szCs w:val="18"/>
          <w:color w:val="auto"/>
        </w:rPr>
      </w:pPr>
    </w:p>
    <w:p>
      <w:pPr>
        <w:ind w:left="660" w:right="160" w:hanging="328"/>
        <w:spacing w:after="0" w:line="235" w:lineRule="auto"/>
        <w:tabs>
          <w:tab w:leader="none" w:pos="653"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any person or group becomes the benefcial owner of more than 50% of the combined votng power of the company, subject to certain exceptons; or</w:t>
      </w:r>
    </w:p>
    <w:p>
      <w:pPr>
        <w:ind w:left="640" w:hanging="308"/>
        <w:spacing w:after="0" w:line="235" w:lineRule="auto"/>
        <w:tabs>
          <w:tab w:leader="none" w:pos="64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contnuing directors cease to consttute a majority of the members of our Board.</w:t>
      </w:r>
    </w:p>
    <w:p>
      <w:pPr>
        <w:spacing w:after="0" w:line="245"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“Corporate transacton” means any dissoluton or liquidaton of the company, sale of substantally all of its assets, merger or consolidaton involving the company, or statutory share exchange involving company stock. Similarly, “contnuing director” means an individual who is, as of the efectve date of the 2019 Plan, a director of the company, or who becomes a director afer such efectve date and whose inital electon, or nominaton for electon by the company’s shareholders, was approved</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ind w:right="240"/>
        <w:spacing w:after="0" w:line="235" w:lineRule="auto"/>
        <w:rPr>
          <w:sz w:val="20"/>
          <w:szCs w:val="20"/>
          <w:color w:val="auto"/>
        </w:rPr>
      </w:pPr>
      <w:r>
        <w:rPr>
          <w:rFonts w:ascii="Calibri" w:cs="Calibri" w:eastAsia="Calibri" w:hAnsi="Calibri"/>
          <w:sz w:val="18"/>
          <w:szCs w:val="18"/>
          <w:color w:val="auto"/>
        </w:rPr>
        <w:t>by at least a majority of the then contnuing directors, but excluding anyone whose inital assumpton of ofce occurs as a result of an actual or threatened electon contest solicitaton of proxies or consents by a person other than our Board.</w:t>
      </w:r>
    </w:p>
    <w:p>
      <w:pPr>
        <w:spacing w:after="0" w:line="23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Severance Arrangements</w:t>
      </w:r>
    </w:p>
    <w:p>
      <w:pPr>
        <w:spacing w:after="0" w:line="11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Our Compensaton Commitee has adopted an Executve Severance Plan covering our Chief Executve Ofcer and certain other key employees, including all of our named executve ofcers. We believe that the benefts provided by the Executve Severance Plan help atract executve talent and create an environment that provides for adequate business transiton, stability and knowledge transfer during tmes of uncertainty or change. The terms of our Executve Severance Plan are described in greater detail under the heading "Potental Payments Upon Terminaton or Change in Control."</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not entered into any employment agreements with any of our named executve ofcers.</w:t>
      </w:r>
    </w:p>
    <w:p>
      <w:pPr>
        <w:spacing w:after="0" w:line="23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Contributon to Retrement Plans</w:t>
      </w:r>
    </w:p>
    <w:p>
      <w:pPr>
        <w:spacing w:after="0" w:line="10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All of our named executve ofcers partcipate in the 401(k) matching component of the Hawkins, Inc. Proft Sharing Plan ("Proft Sharing Plan"), which is available to the majority of our non-bargaining unit employees. Our eligible named executve ofcers who were hired on or before April 1, 2012 and are classifed as “highly compensated employees” as determined by the Internal Revenue Service (“IRS”) also partcipate in our nonqualifed deferred compensaton plan. Messrs. Hawkins and Erstad are the only named executve ofcers eligible to partcipate in the nonqualifed deferred compensaton plan. Named executve ofcers hired afer April 1, 2012 are not eligible to partcipate in the nonqualifed deferred compensaton plan but instead may be eligible to partcipate in the proft sharing component under the Proft Sharing Plan and the Hawkins, Inc. Employee Stock Ownership Plan ("ESOP"). Messrs. Oldenkamp, Grahek and Lange are the only named executve ofcers eligible to partcipate in the proft sharing component under the Proft Sharing Plan and the ESOP. The proft sharing component under the Proft Sharing Plan and the ESOP are tax-qualifed retrement plans under Secton 401(a) of the Internal Revenue Code.</w:t>
      </w:r>
    </w:p>
    <w:p>
      <w:pPr>
        <w:spacing w:after="0" w:line="251"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Under the qualifed retrement plans, our named executve ofcers who are eligible partcipate on the same terms as all other eligible employees, with the annual compensaton that was used to determine plan benefts capped at the federal tax law compensaton limit.</w:t>
      </w:r>
    </w:p>
    <w:p>
      <w:pPr>
        <w:spacing w:after="0" w:line="245"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Under our Proft Sharing Plan, we contributed a percentage of each eligible partcipant’s compensaton to an account maintained for the partcipant under the plan. For fscal 2024, we made proft sharing contributons to the Proft Sharing Plan for each of Messrs. Oldenkamp, Grahek and Lange equal to 2.5% of their compensaton in the plan year, subject to the IRS cap on plan contributons, resultng in a contributon of $8,250 to each of them. Under the 401(k) matching component of the Proft Sharing Plan, employee contributons are matched by the company up to a maximum of fve percent of the partcipant’s eligible earnings, subject to IRS limitatons. Partcipant accounts are credited with the appropriate gains or losses resultng from employee-directed investments made by the plan. During fscal 2024, we made 401(k) matching contributons of $16,500 on behalf of each of Messrs. Hawkins, Oldenkamp, Grahek and Lange, and $14,850 on behalf of Mr. Erstad.</w:t>
      </w:r>
    </w:p>
    <w:p>
      <w:pPr>
        <w:spacing w:after="0" w:line="24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Under our ESOP, we may contribute a percentage of each eligible partcipant’s compensaton to the plan, subject to the IRS cap on plan contributons, which is then credited to individual accounts maintained for partcipants under the plan. For fscal 2024, we made contributons to this plan for each of Mesrs. Oldenkamp, Grahek and Lange equal to 2.5% of their eligible compensaton in the plan year, resultng in a contributon of $8,250 to each of them. Partcipant accounts are credited with the appropriate gains or losses resultng from the investments made by the plan.</w:t>
      </w:r>
    </w:p>
    <w:p>
      <w:pPr>
        <w:spacing w:after="0" w:line="246"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nonqualifed deferred compensaton plan is structured to comply with Secton 409A of the Code. Under the plan, there is no partcipant deferral of income. All contributons to the plan are made by the company, and are fully vested immediately. Distributons under the plan begin six months afer terminaton of employment, and are made in one lump sum, or in installment payments over three or fve years, as chosen by the partcipant prior to their entry into the plan. Partcipant accounts are credited with the appropriate gains or losses resultng from the partcipant-directed investments made under the plan. Partcipants may change their investment selectons on a daily basis. Under the plan, for fscal 2024 we made contributons to this plan equal to 10% of each partcipant’s eligible compensaton in the plan year, subject to the cap as specifed by the plan, resultng in a contributon of $33,000 on behalf of Mr. Hawkins and Mr. Erstad.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2" w:name="page23"/>
    <w:bookmarkEnd w:id="22"/>
    <w:p>
      <w:pPr>
        <w:spacing w:after="0"/>
        <w:rPr>
          <w:sz w:val="20"/>
          <w:szCs w:val="20"/>
          <w:color w:val="auto"/>
        </w:rPr>
      </w:pPr>
      <w:r>
        <w:rPr>
          <w:rFonts w:ascii="Calibri" w:cs="Calibri" w:eastAsia="Calibri" w:hAnsi="Calibri"/>
          <w:sz w:val="20"/>
          <w:szCs w:val="20"/>
          <w:i w:val="1"/>
          <w:iCs w:val="1"/>
          <w:color w:val="auto"/>
        </w:rPr>
        <w:t>Other Benefts</w:t>
      </w:r>
    </w:p>
    <w:p>
      <w:pPr>
        <w:spacing w:after="0" w:line="254"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Compensaton Commitee believes that we must ofer a compettve benefts program to atract and retain our executve ofcers. During fscal 2024, we provided medical and other health and welfare benefts to our named executve ofcers that are generally available to our other employees.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color w:val="auto"/>
        </w:rPr>
        <w:t>The only perquisite we ofer to our named executve ofcers is the personal use of a company car.</w:t>
      </w:r>
    </w:p>
    <w:p>
      <w:pPr>
        <w:spacing w:after="0" w:line="22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Other Agreements and Policies</w:t>
      </w:r>
    </w:p>
    <w:p>
      <w:pPr>
        <w:spacing w:after="0" w:line="238"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Tax Consideratons</w:t>
      </w:r>
    </w:p>
    <w:p>
      <w:pPr>
        <w:spacing w:after="0" w:line="105"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Secton 162(m) of the Internal Revenue Code (the "Code") disallows a tax deducton to public companies for compensaton of more than $1 million paid in any taxable year to each “covered employee,” which includes any person who served as chief executve ofcer or chief fnancial ofcer at any tme, as well as any person who was ever identfed as a covered employee in 2017 or any subsequent year. To the extent the total compensaton of any covered employee exceeds $1 million in a taxable year, the amount in excess of $1 million is not deductble for taxes. While the Compensaton Commitee is mindful of the beneft to us of the deductbility of compensaton, the Compensaton Commitee contnues to believe that shareholder interests are best served if its discreton and fexibility in structuring and awarding compensaton is not restricted, even though some compensaton awards may have resulted in the past, and are expected to result in the future, in non-deductble compensaton expenses to the company. The Compensaton Commitee’s ability to contnue to provide a compettve compensaton package to atract, motvate and retain the company’s most senior executves is considered critcal to the company’s success and to advancing the interests of its shareholders.</w:t>
      </w:r>
    </w:p>
    <w:p>
      <w:pPr>
        <w:spacing w:after="0" w:line="25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Secton 280G of the Code disallows a tax deducton with respect to excess parachute payments to certain executves of companies which undergo a change in control. In additon, Code Secton 4999 imposes a 20% excise tax on the individual with respect to the excess parachute payment. Parachute payments are compensaton linked to or triggered by a change in control and may include, but are not limited to, bonus payments, severance payments, certain fringe benefts, and payments and acceleraton of vestng from long-term incentve plans including stock optons and other equity-based compensaton. Excess parachute payments are parachute payments that exceed a threshold determined under Code Secton 280G based on the executve’s prior compensaton. We do not provide tax gross-ups on income that is deemed made in connecton with a change in control.</w:t>
      </w:r>
    </w:p>
    <w:p>
      <w:pPr>
        <w:spacing w:after="0" w:line="248"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Secton 409A of the Code also afects the payments of certain types of deferred compensaton to key employees and includes requirements relatng to when payments under such arrangements can be made, acceleraton of benefts, and tming of electons under such arrangements. Failure to satsfy these requirements will generally lead to an acceleraton of the tming for including deferred compensaton in an employee’s income, as well as certain penaltes and interest. Our nonqualifed deferred compensaton arrangements are designed to meet the requirements of Secton 409A.</w:t>
      </w:r>
    </w:p>
    <w:p>
      <w:pPr>
        <w:spacing w:after="0" w:line="235"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Risks Arising from Compensaton Policies and Practces</w:t>
      </w:r>
    </w:p>
    <w:p>
      <w:pPr>
        <w:spacing w:after="0" w:line="119"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Our management annually conducts an evaluaton of the risks arising from our company-wide compensaton policies and practces with respect to employees. Management prepared an analysis of our compensaton policies and practces and concluded that they do not create risks that are reasonably likely to have a material adverse efect on our company. In connecton with its risk oversight role, our Compensaton Commitee reviewed and agreed with management’s analysis and conclusions.</w:t>
      </w:r>
    </w:p>
    <w:p>
      <w:pPr>
        <w:spacing w:after="0" w:line="33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Compensaton Commitee Report</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Compensaton Commitee has discussed and reviewed the Compensaton Discussion and Analysis with management. Based upon this review and</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discussion, the Compensaton Commitee recommended to the Board that the Compensaton Discussion and Analysis be included in this proxy statement and</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incorporated by reference in our Annual Report on</w:t>
      </w:r>
    </w:p>
    <w:p>
      <w:pPr>
        <w:spacing w:after="0" w:line="235" w:lineRule="auto"/>
        <w:rPr>
          <w:sz w:val="20"/>
          <w:szCs w:val="20"/>
          <w:color w:val="auto"/>
        </w:rPr>
      </w:pPr>
      <w:r>
        <w:rPr>
          <w:rFonts w:ascii="Calibri" w:cs="Calibri" w:eastAsia="Calibri" w:hAnsi="Calibri"/>
          <w:sz w:val="18"/>
          <w:szCs w:val="18"/>
          <w:color w:val="auto"/>
        </w:rPr>
        <w:t>Form 10-K.</w:t>
      </w:r>
    </w:p>
    <w:p>
      <w:pPr>
        <w:spacing w:after="0" w:line="92" w:lineRule="exact"/>
        <w:rPr>
          <w:sz w:val="20"/>
          <w:szCs w:val="20"/>
          <w:color w:val="auto"/>
        </w:rPr>
      </w:pPr>
    </w:p>
    <w:p>
      <w:pPr>
        <w:ind w:left="2440"/>
        <w:spacing w:after="0"/>
        <w:tabs>
          <w:tab w:leader="none" w:pos="4600" w:val="left"/>
          <w:tab w:leader="none" w:pos="6040" w:val="left"/>
          <w:tab w:leader="none" w:pos="7640" w:val="left"/>
        </w:tabs>
        <w:rPr>
          <w:sz w:val="20"/>
          <w:szCs w:val="20"/>
          <w:color w:val="auto"/>
        </w:rPr>
      </w:pPr>
      <w:r>
        <w:rPr>
          <w:rFonts w:ascii="Calibri" w:cs="Calibri" w:eastAsia="Calibri" w:hAnsi="Calibri"/>
          <w:sz w:val="18"/>
          <w:szCs w:val="18"/>
          <w:i w:val="1"/>
          <w:iCs w:val="1"/>
          <w:color w:val="auto"/>
        </w:rPr>
        <w:t>Mary J. Schumacher (Chair)</w:t>
        <w:tab/>
        <w:t>Yi "Faith" Tang</w:t>
      </w:r>
      <w:r>
        <w:rPr>
          <w:sz w:val="20"/>
          <w:szCs w:val="20"/>
          <w:color w:val="auto"/>
        </w:rPr>
        <w:tab/>
      </w:r>
      <w:r>
        <w:rPr>
          <w:rFonts w:ascii="Calibri" w:cs="Calibri" w:eastAsia="Calibri" w:hAnsi="Calibri"/>
          <w:sz w:val="18"/>
          <w:szCs w:val="18"/>
          <w:i w:val="1"/>
          <w:iCs w:val="1"/>
          <w:color w:val="auto"/>
        </w:rPr>
        <w:t>James T. Thompson</w:t>
        <w:tab/>
        <w:t>Jefrey L.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1544955</wp:posOffset>
            </wp:positionH>
            <wp:positionV relativeFrom="paragraph">
              <wp:posOffset>-18415</wp:posOffset>
            </wp:positionV>
            <wp:extent cx="40525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52570" cy="8255"/>
                    </a:xfrm>
                    <a:prstGeom prst="rect">
                      <a:avLst/>
                    </a:prstGeom>
                    <a:noFill/>
                  </pic:spPr>
                </pic:pic>
              </a:graphicData>
            </a:graphic>
          </wp:anchor>
        </w:drawing>
      </w:r>
    </w:p>
    <w:p>
      <w:pPr>
        <w:spacing w:after="0" w:line="5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i w:val="1"/>
          <w:iCs w:val="1"/>
          <w:color w:val="auto"/>
        </w:rPr>
        <w:t>Compensaton Commitee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23" w:name="page24"/>
    <w:bookmarkEnd w:id="23"/>
    <w:p>
      <w:pPr>
        <w:spacing w:after="0"/>
        <w:rPr>
          <w:sz w:val="20"/>
          <w:szCs w:val="20"/>
          <w:color w:val="auto"/>
        </w:rPr>
      </w:pPr>
      <w:r>
        <w:rPr>
          <w:rFonts w:ascii="Calibri" w:cs="Calibri" w:eastAsia="Calibri" w:hAnsi="Calibri"/>
          <w:sz w:val="22"/>
          <w:szCs w:val="22"/>
          <w:b w:val="1"/>
          <w:bCs w:val="1"/>
          <w:color w:val="auto"/>
        </w:rPr>
        <w:t>Summary Compensaton Table</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compensaton informaton for our last three completed fscal years of our named executve ofcers identfed for fscal 2024.</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2860" w:type="dxa"/>
            <w:vAlign w:val="bottom"/>
            <w:tcBorders>
              <w:top w:val="single" w:sz="8" w:color="auto"/>
              <w:lef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100"/>
              <w:spacing w:after="0" w:line="148" w:lineRule="exact"/>
              <w:rPr>
                <w:sz w:val="20"/>
                <w:szCs w:val="20"/>
                <w:color w:val="auto"/>
              </w:rPr>
            </w:pPr>
            <w:r>
              <w:rPr>
                <w:rFonts w:ascii="Calibri" w:cs="Calibri" w:eastAsia="Calibri" w:hAnsi="Calibri"/>
                <w:sz w:val="14"/>
                <w:szCs w:val="14"/>
                <w:b w:val="1"/>
                <w:bCs w:val="1"/>
                <w:color w:val="auto"/>
              </w:rPr>
              <w:t>Non-Equity</w:t>
            </w:r>
          </w:p>
        </w:tc>
        <w:tc>
          <w:tcPr>
            <w:tcW w:w="1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Calibri" w:cs="Calibri" w:eastAsia="Calibri" w:hAnsi="Calibri"/>
                <w:sz w:val="14"/>
                <w:szCs w:val="14"/>
                <w:b w:val="1"/>
                <w:bCs w:val="1"/>
                <w:color w:val="auto"/>
              </w:rPr>
              <w:t>Stock</w:t>
            </w:r>
          </w:p>
        </w:tc>
        <w:tc>
          <w:tcPr>
            <w:tcW w:w="1420" w:type="dxa"/>
            <w:vAlign w:val="bottom"/>
            <w:gridSpan w:val="2"/>
          </w:tcPr>
          <w:p>
            <w:pPr>
              <w:jc w:val="center"/>
              <w:ind w:right="100"/>
              <w:spacing w:after="0" w:line="149" w:lineRule="exact"/>
              <w:rPr>
                <w:sz w:val="20"/>
                <w:szCs w:val="20"/>
                <w:color w:val="auto"/>
              </w:rPr>
            </w:pPr>
            <w:r>
              <w:rPr>
                <w:rFonts w:ascii="Calibri" w:cs="Calibri" w:eastAsia="Calibri" w:hAnsi="Calibri"/>
                <w:sz w:val="14"/>
                <w:szCs w:val="14"/>
                <w:b w:val="1"/>
                <w:bCs w:val="1"/>
                <w:color w:val="auto"/>
              </w:rPr>
              <w:t>Incentve Plan</w:t>
            </w:r>
          </w:p>
        </w:tc>
        <w:tc>
          <w:tcPr>
            <w:tcW w:w="1420" w:type="dxa"/>
            <w:vAlign w:val="bottom"/>
            <w:gridSpan w:val="2"/>
          </w:tcPr>
          <w:p>
            <w:pPr>
              <w:jc w:val="center"/>
              <w:ind w:right="100"/>
              <w:spacing w:after="0" w:line="149" w:lineRule="exact"/>
              <w:rPr>
                <w:sz w:val="20"/>
                <w:szCs w:val="20"/>
                <w:color w:val="auto"/>
              </w:rPr>
            </w:pPr>
            <w:r>
              <w:rPr>
                <w:rFonts w:ascii="Calibri" w:cs="Calibri" w:eastAsia="Calibri" w:hAnsi="Calibri"/>
                <w:sz w:val="14"/>
                <w:szCs w:val="14"/>
                <w:b w:val="1"/>
                <w:bCs w:val="1"/>
                <w:color w:val="auto"/>
                <w:w w:val="99"/>
              </w:rPr>
              <w:t>All Other</w:t>
            </w:r>
          </w:p>
        </w:tc>
        <w:tc>
          <w:tcPr>
            <w:tcW w:w="1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6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300"/>
              <w:spacing w:after="0" w:line="136" w:lineRule="exact"/>
              <w:rPr>
                <w:sz w:val="20"/>
                <w:szCs w:val="20"/>
                <w:color w:val="auto"/>
              </w:rPr>
            </w:pPr>
            <w:r>
              <w:rPr>
                <w:rFonts w:ascii="Calibri" w:cs="Calibri" w:eastAsia="Calibri" w:hAnsi="Calibri"/>
                <w:sz w:val="14"/>
                <w:szCs w:val="14"/>
                <w:b w:val="1"/>
                <w:bCs w:val="1"/>
                <w:color w:val="auto"/>
              </w:rPr>
              <w:t>Salary</w:t>
            </w:r>
          </w:p>
        </w:tc>
        <w:tc>
          <w:tcPr>
            <w:tcW w:w="1160" w:type="dxa"/>
            <w:vAlign w:val="bottom"/>
            <w:gridSpan w:val="2"/>
          </w:tcPr>
          <w:p>
            <w:pPr>
              <w:jc w:val="center"/>
              <w:ind w:right="100"/>
              <w:spacing w:after="0" w:line="136" w:lineRule="exact"/>
              <w:rPr>
                <w:sz w:val="20"/>
                <w:szCs w:val="20"/>
                <w:color w:val="auto"/>
              </w:rPr>
            </w:pPr>
            <w:r>
              <w:rPr>
                <w:rFonts w:ascii="Calibri" w:cs="Calibri" w:eastAsia="Calibri" w:hAnsi="Calibri"/>
                <w:sz w:val="14"/>
                <w:szCs w:val="14"/>
                <w:b w:val="1"/>
                <w:bCs w:val="1"/>
                <w:color w:val="auto"/>
              </w:rPr>
              <w:t>Awards</w:t>
            </w:r>
          </w:p>
        </w:tc>
        <w:tc>
          <w:tcPr>
            <w:tcW w:w="1420" w:type="dxa"/>
            <w:vAlign w:val="bottom"/>
            <w:gridSpan w:val="2"/>
          </w:tcPr>
          <w:p>
            <w:pPr>
              <w:jc w:val="center"/>
              <w:ind w:right="120"/>
              <w:spacing w:after="0" w:line="136" w:lineRule="exact"/>
              <w:rPr>
                <w:sz w:val="20"/>
                <w:szCs w:val="20"/>
                <w:color w:val="auto"/>
              </w:rPr>
            </w:pPr>
            <w:r>
              <w:rPr>
                <w:rFonts w:ascii="Calibri" w:cs="Calibri" w:eastAsia="Calibri" w:hAnsi="Calibri"/>
                <w:sz w:val="14"/>
                <w:szCs w:val="14"/>
                <w:b w:val="1"/>
                <w:bCs w:val="1"/>
                <w:color w:val="auto"/>
              </w:rPr>
              <w:t>Compensaton</w:t>
            </w:r>
          </w:p>
        </w:tc>
        <w:tc>
          <w:tcPr>
            <w:tcW w:w="1420" w:type="dxa"/>
            <w:vAlign w:val="bottom"/>
            <w:gridSpan w:val="2"/>
          </w:tcPr>
          <w:p>
            <w:pPr>
              <w:jc w:val="center"/>
              <w:ind w:right="100"/>
              <w:spacing w:after="0" w:line="136" w:lineRule="exact"/>
              <w:rPr>
                <w:sz w:val="20"/>
                <w:szCs w:val="20"/>
                <w:color w:val="auto"/>
              </w:rPr>
            </w:pPr>
            <w:r>
              <w:rPr>
                <w:rFonts w:ascii="Calibri" w:cs="Calibri" w:eastAsia="Calibri" w:hAnsi="Calibri"/>
                <w:sz w:val="14"/>
                <w:szCs w:val="14"/>
                <w:b w:val="1"/>
                <w:bCs w:val="1"/>
                <w:color w:val="auto"/>
              </w:rPr>
              <w:t>Compensaton</w:t>
            </w:r>
          </w:p>
        </w:tc>
        <w:tc>
          <w:tcPr>
            <w:tcW w:w="1280" w:type="dxa"/>
            <w:vAlign w:val="bottom"/>
            <w:tcBorders>
              <w:right w:val="single" w:sz="8" w:color="auto"/>
            </w:tcBorders>
          </w:tcPr>
          <w:p>
            <w:pPr>
              <w:jc w:val="right"/>
              <w:ind w:right="412"/>
              <w:spacing w:after="0" w:line="136" w:lineRule="exact"/>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860" w:type="dxa"/>
            <w:vAlign w:val="bottom"/>
            <w:tcBorders>
              <w:left w:val="single" w:sz="8" w:color="auto"/>
            </w:tcBorders>
          </w:tcPr>
          <w:p>
            <w:pPr>
              <w:ind w:left="40"/>
              <w:spacing w:after="0"/>
              <w:rPr>
                <w:sz w:val="20"/>
                <w:szCs w:val="20"/>
                <w:color w:val="auto"/>
              </w:rPr>
            </w:pPr>
            <w:r>
              <w:rPr>
                <w:rFonts w:ascii="Calibri" w:cs="Calibri" w:eastAsia="Calibri" w:hAnsi="Calibri"/>
                <w:sz w:val="14"/>
                <w:szCs w:val="14"/>
                <w:b w:val="1"/>
                <w:bCs w:val="1"/>
                <w:color w:val="auto"/>
              </w:rPr>
              <w:t>Name and Principal Positon</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Fiscal Year</w:t>
            </w:r>
          </w:p>
        </w:tc>
        <w:tc>
          <w:tcPr>
            <w:tcW w:w="960" w:type="dxa"/>
            <w:vAlign w:val="bottom"/>
          </w:tcPr>
          <w:p>
            <w:pPr>
              <w:ind w:left="400"/>
              <w:spacing w:after="0"/>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($)(a)</w:t>
            </w:r>
          </w:p>
        </w:tc>
        <w:tc>
          <w:tcPr>
            <w:tcW w:w="142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w w:val="99"/>
              </w:rPr>
              <w:t>($)(b)</w:t>
            </w:r>
          </w:p>
        </w:tc>
        <w:tc>
          <w:tcPr>
            <w:tcW w:w="142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($)(c)</w:t>
            </w:r>
          </w:p>
        </w:tc>
        <w:tc>
          <w:tcPr>
            <w:tcW w:w="1280" w:type="dxa"/>
            <w:vAlign w:val="bottom"/>
            <w:tcBorders>
              <w:right w:val="single" w:sz="8" w:color="auto"/>
            </w:tcBorders>
          </w:tcPr>
          <w:p>
            <w:pPr>
              <w:jc w:val="right"/>
              <w:ind w:right="472"/>
              <w:spacing w:after="0"/>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33"/>
        </w:trPr>
        <w:tc>
          <w:tcPr>
            <w:tcW w:w="286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860" w:type="dxa"/>
            <w:vAlign w:val="bottom"/>
            <w:tcBorders>
              <w:left w:val="single" w:sz="8" w:color="auto"/>
            </w:tcBorders>
            <w:shd w:val="clear" w:color="auto" w:fill="B3B3B3"/>
          </w:tcPr>
          <w:p>
            <w:pPr>
              <w:ind w:left="40"/>
              <w:spacing w:after="0" w:line="208" w:lineRule="exact"/>
              <w:rPr>
                <w:sz w:val="20"/>
                <w:szCs w:val="20"/>
                <w:color w:val="auto"/>
              </w:rPr>
            </w:pPr>
            <w:r>
              <w:rPr>
                <w:rFonts w:ascii="Calibri" w:cs="Calibri" w:eastAsia="Calibri" w:hAnsi="Calibri"/>
                <w:sz w:val="18"/>
                <w:szCs w:val="18"/>
                <w:color w:val="auto"/>
              </w:rPr>
              <w:t>Patrick H. Hawkins</w:t>
            </w:r>
          </w:p>
        </w:tc>
        <w:tc>
          <w:tcPr>
            <w:tcW w:w="100" w:type="dxa"/>
            <w:vAlign w:val="bottom"/>
            <w:shd w:val="clear" w:color="auto" w:fill="B3B3B3"/>
          </w:tcPr>
          <w:p>
            <w:pPr>
              <w:spacing w:after="0"/>
              <w:rPr>
                <w:sz w:val="18"/>
                <w:szCs w:val="18"/>
                <w:color w:val="auto"/>
              </w:rPr>
            </w:pPr>
          </w:p>
        </w:tc>
        <w:tc>
          <w:tcPr>
            <w:tcW w:w="660" w:type="dxa"/>
            <w:vAlign w:val="bottom"/>
            <w:shd w:val="clear" w:color="auto" w:fill="B3B3B3"/>
          </w:tcPr>
          <w:p>
            <w:pPr>
              <w:jc w:val="right"/>
              <w:spacing w:after="0" w:line="208" w:lineRule="exact"/>
              <w:rPr>
                <w:sz w:val="20"/>
                <w:szCs w:val="20"/>
                <w:color w:val="auto"/>
              </w:rPr>
            </w:pPr>
            <w:r>
              <w:rPr>
                <w:rFonts w:ascii="Calibri" w:cs="Calibri" w:eastAsia="Calibri" w:hAnsi="Calibri"/>
                <w:sz w:val="18"/>
                <w:szCs w:val="18"/>
                <w:color w:val="auto"/>
              </w:rPr>
              <w:t>2024</w:t>
            </w:r>
          </w:p>
        </w:tc>
        <w:tc>
          <w:tcPr>
            <w:tcW w:w="120" w:type="dxa"/>
            <w:vAlign w:val="bottom"/>
            <w:shd w:val="clear" w:color="auto" w:fill="B3B3B3"/>
          </w:tcPr>
          <w:p>
            <w:pPr>
              <w:spacing w:after="0"/>
              <w:rPr>
                <w:sz w:val="18"/>
                <w:szCs w:val="18"/>
                <w:color w:val="auto"/>
              </w:rPr>
            </w:pPr>
          </w:p>
        </w:tc>
        <w:tc>
          <w:tcPr>
            <w:tcW w:w="960" w:type="dxa"/>
            <w:vAlign w:val="bottom"/>
            <w:shd w:val="clear" w:color="auto" w:fill="B3B3B3"/>
          </w:tcPr>
          <w:p>
            <w:pPr>
              <w:ind w:left="300"/>
              <w:spacing w:after="0" w:line="208" w:lineRule="exact"/>
              <w:rPr>
                <w:sz w:val="20"/>
                <w:szCs w:val="20"/>
                <w:color w:val="auto"/>
              </w:rPr>
            </w:pPr>
            <w:r>
              <w:rPr>
                <w:rFonts w:ascii="Calibri" w:cs="Calibri" w:eastAsia="Calibri" w:hAnsi="Calibri"/>
                <w:sz w:val="18"/>
                <w:szCs w:val="18"/>
                <w:color w:val="auto"/>
              </w:rPr>
              <w:t>637,000</w:t>
            </w:r>
          </w:p>
        </w:tc>
        <w:tc>
          <w:tcPr>
            <w:tcW w:w="100" w:type="dxa"/>
            <w:vAlign w:val="bottom"/>
            <w:shd w:val="clear" w:color="auto" w:fill="B3B3B3"/>
          </w:tcPr>
          <w:p>
            <w:pPr>
              <w:spacing w:after="0"/>
              <w:rPr>
                <w:sz w:val="18"/>
                <w:szCs w:val="18"/>
                <w:color w:val="auto"/>
              </w:rPr>
            </w:pPr>
          </w:p>
        </w:tc>
        <w:tc>
          <w:tcPr>
            <w:tcW w:w="1060" w:type="dxa"/>
            <w:vAlign w:val="bottom"/>
            <w:shd w:val="clear" w:color="auto" w:fill="B3B3B3"/>
          </w:tcPr>
          <w:p>
            <w:pPr>
              <w:jc w:val="right"/>
              <w:spacing w:after="0" w:line="208" w:lineRule="exact"/>
              <w:rPr>
                <w:sz w:val="20"/>
                <w:szCs w:val="20"/>
                <w:color w:val="auto"/>
              </w:rPr>
            </w:pPr>
            <w:r>
              <w:rPr>
                <w:rFonts w:ascii="Calibri" w:cs="Calibri" w:eastAsia="Calibri" w:hAnsi="Calibri"/>
                <w:sz w:val="18"/>
                <w:szCs w:val="18"/>
                <w:color w:val="auto"/>
              </w:rPr>
              <w:t>636,944</w:t>
            </w:r>
          </w:p>
        </w:tc>
        <w:tc>
          <w:tcPr>
            <w:tcW w:w="100" w:type="dxa"/>
            <w:vAlign w:val="bottom"/>
            <w:shd w:val="clear" w:color="auto" w:fill="B3B3B3"/>
          </w:tcPr>
          <w:p>
            <w:pPr>
              <w:spacing w:after="0"/>
              <w:rPr>
                <w:sz w:val="18"/>
                <w:szCs w:val="18"/>
                <w:color w:val="auto"/>
              </w:rPr>
            </w:pPr>
          </w:p>
        </w:tc>
        <w:tc>
          <w:tcPr>
            <w:tcW w:w="1320" w:type="dxa"/>
            <w:vAlign w:val="bottom"/>
            <w:shd w:val="clear" w:color="auto" w:fill="B3B3B3"/>
          </w:tcPr>
          <w:p>
            <w:pPr>
              <w:jc w:val="right"/>
              <w:spacing w:after="0" w:line="208" w:lineRule="exact"/>
              <w:rPr>
                <w:sz w:val="20"/>
                <w:szCs w:val="20"/>
                <w:color w:val="auto"/>
              </w:rPr>
            </w:pPr>
            <w:r>
              <w:rPr>
                <w:rFonts w:ascii="Calibri" w:cs="Calibri" w:eastAsia="Calibri" w:hAnsi="Calibri"/>
                <w:sz w:val="18"/>
                <w:szCs w:val="18"/>
                <w:color w:val="auto"/>
              </w:rPr>
              <w:t>1,274,000</w:t>
            </w:r>
          </w:p>
        </w:tc>
        <w:tc>
          <w:tcPr>
            <w:tcW w:w="100" w:type="dxa"/>
            <w:vAlign w:val="bottom"/>
            <w:shd w:val="clear" w:color="auto" w:fill="B3B3B3"/>
          </w:tcPr>
          <w:p>
            <w:pPr>
              <w:spacing w:after="0"/>
              <w:rPr>
                <w:sz w:val="18"/>
                <w:szCs w:val="18"/>
                <w:color w:val="auto"/>
              </w:rPr>
            </w:pPr>
          </w:p>
        </w:tc>
        <w:tc>
          <w:tcPr>
            <w:tcW w:w="1320" w:type="dxa"/>
            <w:vAlign w:val="bottom"/>
            <w:shd w:val="clear" w:color="auto" w:fill="B3B3B3"/>
          </w:tcPr>
          <w:p>
            <w:pPr>
              <w:jc w:val="right"/>
              <w:spacing w:after="0" w:line="208" w:lineRule="exact"/>
              <w:rPr>
                <w:sz w:val="20"/>
                <w:szCs w:val="20"/>
                <w:color w:val="auto"/>
              </w:rPr>
            </w:pPr>
            <w:r>
              <w:rPr>
                <w:rFonts w:ascii="Calibri" w:cs="Calibri" w:eastAsia="Calibri" w:hAnsi="Calibri"/>
                <w:sz w:val="18"/>
                <w:szCs w:val="18"/>
                <w:color w:val="auto"/>
              </w:rPr>
              <w:t>68,069</w:t>
            </w:r>
          </w:p>
        </w:tc>
        <w:tc>
          <w:tcPr>
            <w:tcW w:w="100" w:type="dxa"/>
            <w:vAlign w:val="bottom"/>
            <w:shd w:val="clear" w:color="auto" w:fill="B3B3B3"/>
          </w:tcPr>
          <w:p>
            <w:pPr>
              <w:spacing w:after="0"/>
              <w:rPr>
                <w:sz w:val="18"/>
                <w:szCs w:val="18"/>
                <w:color w:val="auto"/>
              </w:rPr>
            </w:pPr>
          </w:p>
        </w:tc>
        <w:tc>
          <w:tcPr>
            <w:tcW w:w="1280" w:type="dxa"/>
            <w:vAlign w:val="bottom"/>
            <w:tcBorders>
              <w:right w:val="single" w:sz="8" w:color="auto"/>
            </w:tcBorders>
            <w:shd w:val="clear" w:color="auto" w:fill="B3B3B3"/>
          </w:tcPr>
          <w:p>
            <w:pPr>
              <w:jc w:val="right"/>
              <w:ind w:right="12"/>
              <w:spacing w:after="0" w:line="208" w:lineRule="exact"/>
              <w:rPr>
                <w:sz w:val="20"/>
                <w:szCs w:val="20"/>
                <w:color w:val="auto"/>
              </w:rPr>
            </w:pPr>
            <w:r>
              <w:rPr>
                <w:rFonts w:ascii="Calibri" w:cs="Calibri" w:eastAsia="Calibri" w:hAnsi="Calibri"/>
                <w:sz w:val="18"/>
                <w:szCs w:val="18"/>
                <w:color w:val="auto"/>
              </w:rPr>
              <w:t>2,616,013</w:t>
            </w:r>
          </w:p>
        </w:tc>
        <w:tc>
          <w:tcPr>
            <w:tcW w:w="0" w:type="dxa"/>
            <w:vAlign w:val="bottom"/>
          </w:tcPr>
          <w:p>
            <w:pPr>
              <w:spacing w:after="0"/>
              <w:rPr>
                <w:sz w:val="1"/>
                <w:szCs w:val="1"/>
                <w:color w:val="auto"/>
              </w:rPr>
            </w:pPr>
          </w:p>
        </w:tc>
      </w:tr>
      <w:tr>
        <w:trPr>
          <w:trHeight w:val="261"/>
        </w:trPr>
        <w:tc>
          <w:tcPr>
            <w:tcW w:w="2860" w:type="dxa"/>
            <w:vAlign w:val="bottom"/>
            <w:tcBorders>
              <w:left w:val="single" w:sz="8" w:color="auto"/>
            </w:tcBorders>
            <w:shd w:val="clear" w:color="auto" w:fill="B3B3B3"/>
          </w:tcPr>
          <w:p>
            <w:pPr>
              <w:ind w:left="160"/>
              <w:spacing w:after="0"/>
              <w:rPr>
                <w:sz w:val="20"/>
                <w:szCs w:val="20"/>
                <w:color w:val="auto"/>
              </w:rPr>
            </w:pPr>
            <w:r>
              <w:rPr>
                <w:rFonts w:ascii="Calibri" w:cs="Calibri" w:eastAsia="Calibri" w:hAnsi="Calibri"/>
                <w:sz w:val="18"/>
                <w:szCs w:val="18"/>
                <w:i w:val="1"/>
                <w:iCs w:val="1"/>
                <w:color w:val="auto"/>
              </w:rPr>
              <w:t>Chief Executve Ofcer and President</w:t>
            </w:r>
          </w:p>
        </w:tc>
        <w:tc>
          <w:tcPr>
            <w:tcW w:w="100" w:type="dxa"/>
            <w:vAlign w:val="bottom"/>
            <w:shd w:val="clear" w:color="auto" w:fill="B3B3B3"/>
          </w:tcPr>
          <w:p>
            <w:pPr>
              <w:spacing w:after="0"/>
              <w:rPr>
                <w:sz w:val="22"/>
                <w:szCs w:val="22"/>
                <w:color w:val="auto"/>
              </w:rPr>
            </w:pPr>
          </w:p>
        </w:tc>
        <w:tc>
          <w:tcPr>
            <w:tcW w:w="66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2023</w:t>
            </w:r>
          </w:p>
        </w:tc>
        <w:tc>
          <w:tcPr>
            <w:tcW w:w="120" w:type="dxa"/>
            <w:vAlign w:val="bottom"/>
            <w:shd w:val="clear" w:color="auto" w:fill="B3B3B3"/>
          </w:tcPr>
          <w:p>
            <w:pPr>
              <w:spacing w:after="0"/>
              <w:rPr>
                <w:sz w:val="22"/>
                <w:szCs w:val="22"/>
                <w:color w:val="auto"/>
              </w:rPr>
            </w:pPr>
          </w:p>
        </w:tc>
        <w:tc>
          <w:tcPr>
            <w:tcW w:w="960" w:type="dxa"/>
            <w:vAlign w:val="bottom"/>
            <w:shd w:val="clear" w:color="auto" w:fill="B3B3B3"/>
          </w:tcPr>
          <w:p>
            <w:pPr>
              <w:ind w:left="300"/>
              <w:spacing w:after="0"/>
              <w:rPr>
                <w:sz w:val="20"/>
                <w:szCs w:val="20"/>
                <w:color w:val="auto"/>
              </w:rPr>
            </w:pPr>
            <w:r>
              <w:rPr>
                <w:rFonts w:ascii="Calibri" w:cs="Calibri" w:eastAsia="Calibri" w:hAnsi="Calibri"/>
                <w:sz w:val="18"/>
                <w:szCs w:val="18"/>
                <w:color w:val="auto"/>
              </w:rPr>
              <w:t>615,000</w:t>
            </w:r>
          </w:p>
        </w:tc>
        <w:tc>
          <w:tcPr>
            <w:tcW w:w="100" w:type="dxa"/>
            <w:vAlign w:val="bottom"/>
            <w:shd w:val="clear" w:color="auto" w:fill="B3B3B3"/>
          </w:tcPr>
          <w:p>
            <w:pPr>
              <w:spacing w:after="0"/>
              <w:rPr>
                <w:sz w:val="22"/>
                <w:szCs w:val="22"/>
                <w:color w:val="auto"/>
              </w:rPr>
            </w:pPr>
          </w:p>
        </w:tc>
        <w:tc>
          <w:tcPr>
            <w:tcW w:w="106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614,952</w:t>
            </w:r>
          </w:p>
        </w:tc>
        <w:tc>
          <w:tcPr>
            <w:tcW w:w="100" w:type="dxa"/>
            <w:vAlign w:val="bottom"/>
            <w:shd w:val="clear" w:color="auto" w:fill="B3B3B3"/>
          </w:tcPr>
          <w:p>
            <w:pPr>
              <w:spacing w:after="0"/>
              <w:rPr>
                <w:sz w:val="22"/>
                <w:szCs w:val="22"/>
                <w:color w:val="auto"/>
              </w:rPr>
            </w:pPr>
          </w:p>
        </w:tc>
        <w:tc>
          <w:tcPr>
            <w:tcW w:w="132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930,495</w:t>
            </w:r>
          </w:p>
        </w:tc>
        <w:tc>
          <w:tcPr>
            <w:tcW w:w="100" w:type="dxa"/>
            <w:vAlign w:val="bottom"/>
            <w:shd w:val="clear" w:color="auto" w:fill="B3B3B3"/>
          </w:tcPr>
          <w:p>
            <w:pPr>
              <w:spacing w:after="0"/>
              <w:rPr>
                <w:sz w:val="22"/>
                <w:szCs w:val="22"/>
                <w:color w:val="auto"/>
              </w:rPr>
            </w:pPr>
          </w:p>
        </w:tc>
        <w:tc>
          <w:tcPr>
            <w:tcW w:w="132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62,962</w:t>
            </w:r>
          </w:p>
        </w:tc>
        <w:tc>
          <w:tcPr>
            <w:tcW w:w="100" w:type="dxa"/>
            <w:vAlign w:val="bottom"/>
            <w:shd w:val="clear" w:color="auto" w:fill="B3B3B3"/>
          </w:tcPr>
          <w:p>
            <w:pPr>
              <w:spacing w:after="0"/>
              <w:rPr>
                <w:sz w:val="22"/>
                <w:szCs w:val="22"/>
                <w:color w:val="auto"/>
              </w:rPr>
            </w:pPr>
          </w:p>
        </w:tc>
        <w:tc>
          <w:tcPr>
            <w:tcW w:w="1280" w:type="dxa"/>
            <w:vAlign w:val="bottom"/>
            <w:tcBorders>
              <w:right w:val="single" w:sz="8" w:color="auto"/>
            </w:tcBorders>
            <w:shd w:val="clear" w:color="auto" w:fill="B3B3B3"/>
          </w:tcPr>
          <w:p>
            <w:pPr>
              <w:jc w:val="right"/>
              <w:ind w:right="12"/>
              <w:spacing w:after="0"/>
              <w:rPr>
                <w:sz w:val="20"/>
                <w:szCs w:val="20"/>
                <w:color w:val="auto"/>
              </w:rPr>
            </w:pPr>
            <w:r>
              <w:rPr>
                <w:rFonts w:ascii="Calibri" w:cs="Calibri" w:eastAsia="Calibri" w:hAnsi="Calibri"/>
                <w:sz w:val="18"/>
                <w:szCs w:val="18"/>
                <w:color w:val="auto"/>
              </w:rPr>
              <w:t>2,223,409</w:t>
            </w:r>
          </w:p>
        </w:tc>
        <w:tc>
          <w:tcPr>
            <w:tcW w:w="0" w:type="dxa"/>
            <w:vAlign w:val="bottom"/>
          </w:tcPr>
          <w:p>
            <w:pPr>
              <w:spacing w:after="0"/>
              <w:rPr>
                <w:sz w:val="1"/>
                <w:szCs w:val="1"/>
                <w:color w:val="auto"/>
              </w:rPr>
            </w:pPr>
          </w:p>
        </w:tc>
      </w:tr>
      <w:tr>
        <w:trPr>
          <w:trHeight w:val="273"/>
        </w:trPr>
        <w:tc>
          <w:tcPr>
            <w:tcW w:w="2860" w:type="dxa"/>
            <w:vAlign w:val="bottom"/>
            <w:tcBorders>
              <w:left w:val="single" w:sz="8" w:color="auto"/>
              <w:bottom w:val="single" w:sz="8" w:color="B3B3B3"/>
            </w:tcBorders>
            <w:shd w:val="clear" w:color="auto" w:fill="B3B3B3"/>
          </w:tcPr>
          <w:p>
            <w:pPr>
              <w:spacing w:after="0"/>
              <w:rPr>
                <w:sz w:val="23"/>
                <w:szCs w:val="23"/>
                <w:color w:val="auto"/>
              </w:rPr>
            </w:pPr>
          </w:p>
        </w:tc>
        <w:tc>
          <w:tcPr>
            <w:tcW w:w="100" w:type="dxa"/>
            <w:vAlign w:val="bottom"/>
            <w:tcBorders>
              <w:bottom w:val="single" w:sz="8" w:color="B3B3B3"/>
            </w:tcBorders>
            <w:shd w:val="clear" w:color="auto" w:fill="B3B3B3"/>
          </w:tcPr>
          <w:p>
            <w:pPr>
              <w:spacing w:after="0"/>
              <w:rPr>
                <w:sz w:val="23"/>
                <w:szCs w:val="23"/>
                <w:color w:val="auto"/>
              </w:rPr>
            </w:pPr>
          </w:p>
        </w:tc>
        <w:tc>
          <w:tcPr>
            <w:tcW w:w="660" w:type="dxa"/>
            <w:vAlign w:val="bottom"/>
            <w:tcBorders>
              <w:bottom w:val="single" w:sz="8" w:color="B3B3B3"/>
            </w:tcBorders>
            <w:shd w:val="clear" w:color="auto" w:fill="B3B3B3"/>
          </w:tcPr>
          <w:p>
            <w:pPr>
              <w:jc w:val="right"/>
              <w:spacing w:after="0"/>
              <w:rPr>
                <w:sz w:val="20"/>
                <w:szCs w:val="20"/>
                <w:color w:val="auto"/>
              </w:rPr>
            </w:pPr>
            <w:r>
              <w:rPr>
                <w:rFonts w:ascii="Calibri" w:cs="Calibri" w:eastAsia="Calibri" w:hAnsi="Calibri"/>
                <w:sz w:val="18"/>
                <w:szCs w:val="18"/>
                <w:color w:val="auto"/>
              </w:rPr>
              <w:t>2022</w:t>
            </w:r>
          </w:p>
        </w:tc>
        <w:tc>
          <w:tcPr>
            <w:tcW w:w="120" w:type="dxa"/>
            <w:vAlign w:val="bottom"/>
            <w:tcBorders>
              <w:bottom w:val="single" w:sz="8" w:color="B3B3B3"/>
            </w:tcBorders>
            <w:shd w:val="clear" w:color="auto" w:fill="B3B3B3"/>
          </w:tcPr>
          <w:p>
            <w:pPr>
              <w:spacing w:after="0"/>
              <w:rPr>
                <w:sz w:val="23"/>
                <w:szCs w:val="23"/>
                <w:color w:val="auto"/>
              </w:rPr>
            </w:pPr>
          </w:p>
        </w:tc>
        <w:tc>
          <w:tcPr>
            <w:tcW w:w="960" w:type="dxa"/>
            <w:vAlign w:val="bottom"/>
            <w:tcBorders>
              <w:bottom w:val="single" w:sz="8" w:color="B3B3B3"/>
            </w:tcBorders>
            <w:shd w:val="clear" w:color="auto" w:fill="B3B3B3"/>
          </w:tcPr>
          <w:p>
            <w:pPr>
              <w:ind w:left="300"/>
              <w:spacing w:after="0"/>
              <w:rPr>
                <w:sz w:val="20"/>
                <w:szCs w:val="20"/>
                <w:color w:val="auto"/>
              </w:rPr>
            </w:pPr>
            <w:r>
              <w:rPr>
                <w:rFonts w:ascii="Calibri" w:cs="Calibri" w:eastAsia="Calibri" w:hAnsi="Calibri"/>
                <w:sz w:val="18"/>
                <w:szCs w:val="18"/>
                <w:color w:val="auto"/>
              </w:rPr>
              <w:t>515,000</w:t>
            </w:r>
          </w:p>
        </w:tc>
        <w:tc>
          <w:tcPr>
            <w:tcW w:w="100" w:type="dxa"/>
            <w:vAlign w:val="bottom"/>
            <w:tcBorders>
              <w:bottom w:val="single" w:sz="8" w:color="B3B3B3"/>
            </w:tcBorders>
            <w:shd w:val="clear" w:color="auto" w:fill="B3B3B3"/>
          </w:tcPr>
          <w:p>
            <w:pPr>
              <w:spacing w:after="0"/>
              <w:rPr>
                <w:sz w:val="23"/>
                <w:szCs w:val="23"/>
                <w:color w:val="auto"/>
              </w:rPr>
            </w:pPr>
          </w:p>
        </w:tc>
        <w:tc>
          <w:tcPr>
            <w:tcW w:w="1060" w:type="dxa"/>
            <w:vAlign w:val="bottom"/>
            <w:tcBorders>
              <w:bottom w:val="single" w:sz="8" w:color="B3B3B3"/>
            </w:tcBorders>
            <w:shd w:val="clear" w:color="auto" w:fill="B3B3B3"/>
          </w:tcPr>
          <w:p>
            <w:pPr>
              <w:jc w:val="right"/>
              <w:spacing w:after="0"/>
              <w:rPr>
                <w:sz w:val="20"/>
                <w:szCs w:val="20"/>
                <w:color w:val="auto"/>
              </w:rPr>
            </w:pPr>
            <w:r>
              <w:rPr>
                <w:rFonts w:ascii="Calibri" w:cs="Calibri" w:eastAsia="Calibri" w:hAnsi="Calibri"/>
                <w:sz w:val="18"/>
                <w:szCs w:val="18"/>
                <w:color w:val="auto"/>
              </w:rPr>
              <w:t>514,950</w:t>
            </w:r>
          </w:p>
        </w:tc>
        <w:tc>
          <w:tcPr>
            <w:tcW w:w="100" w:type="dxa"/>
            <w:vAlign w:val="bottom"/>
            <w:tcBorders>
              <w:bottom w:val="single" w:sz="8" w:color="B3B3B3"/>
            </w:tcBorders>
            <w:shd w:val="clear" w:color="auto" w:fill="B3B3B3"/>
          </w:tcPr>
          <w:p>
            <w:pPr>
              <w:spacing w:after="0"/>
              <w:rPr>
                <w:sz w:val="23"/>
                <w:szCs w:val="23"/>
                <w:color w:val="auto"/>
              </w:rPr>
            </w:pPr>
          </w:p>
        </w:tc>
        <w:tc>
          <w:tcPr>
            <w:tcW w:w="1320" w:type="dxa"/>
            <w:vAlign w:val="bottom"/>
            <w:tcBorders>
              <w:bottom w:val="single" w:sz="8" w:color="B3B3B3"/>
            </w:tcBorders>
            <w:shd w:val="clear" w:color="auto" w:fill="B3B3B3"/>
          </w:tcPr>
          <w:p>
            <w:pPr>
              <w:jc w:val="right"/>
              <w:spacing w:after="0"/>
              <w:rPr>
                <w:sz w:val="20"/>
                <w:szCs w:val="20"/>
                <w:color w:val="auto"/>
              </w:rPr>
            </w:pPr>
            <w:r>
              <w:rPr>
                <w:rFonts w:ascii="Calibri" w:cs="Calibri" w:eastAsia="Calibri" w:hAnsi="Calibri"/>
                <w:sz w:val="18"/>
                <w:szCs w:val="18"/>
                <w:color w:val="auto"/>
              </w:rPr>
              <w:t>1,030,000</w:t>
            </w:r>
          </w:p>
        </w:tc>
        <w:tc>
          <w:tcPr>
            <w:tcW w:w="100" w:type="dxa"/>
            <w:vAlign w:val="bottom"/>
            <w:tcBorders>
              <w:bottom w:val="single" w:sz="8" w:color="B3B3B3"/>
            </w:tcBorders>
            <w:shd w:val="clear" w:color="auto" w:fill="B3B3B3"/>
          </w:tcPr>
          <w:p>
            <w:pPr>
              <w:spacing w:after="0"/>
              <w:rPr>
                <w:sz w:val="23"/>
                <w:szCs w:val="23"/>
                <w:color w:val="auto"/>
              </w:rPr>
            </w:pPr>
          </w:p>
        </w:tc>
        <w:tc>
          <w:tcPr>
            <w:tcW w:w="1320" w:type="dxa"/>
            <w:vAlign w:val="bottom"/>
            <w:tcBorders>
              <w:bottom w:val="single" w:sz="8" w:color="B3B3B3"/>
            </w:tcBorders>
            <w:shd w:val="clear" w:color="auto" w:fill="B3B3B3"/>
          </w:tcPr>
          <w:p>
            <w:pPr>
              <w:jc w:val="right"/>
              <w:spacing w:after="0"/>
              <w:rPr>
                <w:sz w:val="20"/>
                <w:szCs w:val="20"/>
                <w:color w:val="auto"/>
              </w:rPr>
            </w:pPr>
            <w:r>
              <w:rPr>
                <w:rFonts w:ascii="Calibri" w:cs="Calibri" w:eastAsia="Calibri" w:hAnsi="Calibri"/>
                <w:sz w:val="18"/>
                <w:szCs w:val="18"/>
                <w:color w:val="auto"/>
              </w:rPr>
              <w:t>59,515</w:t>
            </w:r>
          </w:p>
        </w:tc>
        <w:tc>
          <w:tcPr>
            <w:tcW w:w="100" w:type="dxa"/>
            <w:vAlign w:val="bottom"/>
            <w:tcBorders>
              <w:bottom w:val="single" w:sz="8" w:color="B3B3B3"/>
            </w:tcBorders>
            <w:shd w:val="clear" w:color="auto" w:fill="B3B3B3"/>
          </w:tcPr>
          <w:p>
            <w:pPr>
              <w:spacing w:after="0"/>
              <w:rPr>
                <w:sz w:val="23"/>
                <w:szCs w:val="23"/>
                <w:color w:val="auto"/>
              </w:rPr>
            </w:pPr>
          </w:p>
        </w:tc>
        <w:tc>
          <w:tcPr>
            <w:tcW w:w="1280" w:type="dxa"/>
            <w:vAlign w:val="bottom"/>
            <w:tcBorders>
              <w:bottom w:val="single" w:sz="8" w:color="B3B3B3"/>
              <w:right w:val="single" w:sz="8" w:color="auto"/>
            </w:tcBorders>
            <w:shd w:val="clear" w:color="auto" w:fill="B3B3B3"/>
          </w:tcPr>
          <w:p>
            <w:pPr>
              <w:jc w:val="right"/>
              <w:ind w:right="12"/>
              <w:spacing w:after="0"/>
              <w:rPr>
                <w:sz w:val="20"/>
                <w:szCs w:val="20"/>
                <w:color w:val="auto"/>
              </w:rPr>
            </w:pPr>
            <w:r>
              <w:rPr>
                <w:rFonts w:ascii="Calibri" w:cs="Calibri" w:eastAsia="Calibri" w:hAnsi="Calibri"/>
                <w:sz w:val="18"/>
                <w:szCs w:val="18"/>
                <w:color w:val="auto"/>
              </w:rPr>
              <w:t>2,119,465</w:t>
            </w:r>
          </w:p>
        </w:tc>
        <w:tc>
          <w:tcPr>
            <w:tcW w:w="0" w:type="dxa"/>
            <w:vAlign w:val="bottom"/>
          </w:tcPr>
          <w:p>
            <w:pPr>
              <w:spacing w:after="0"/>
              <w:rPr>
                <w:sz w:val="1"/>
                <w:szCs w:val="1"/>
                <w:color w:val="auto"/>
              </w:rPr>
            </w:pPr>
          </w:p>
        </w:tc>
      </w:tr>
      <w:tr>
        <w:trPr>
          <w:trHeight w:val="215"/>
        </w:trPr>
        <w:tc>
          <w:tcPr>
            <w:tcW w:w="2860" w:type="dxa"/>
            <w:vAlign w:val="bottom"/>
            <w:tcBorders>
              <w:lef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Jefrey P. Oldenkamp</w:t>
            </w:r>
          </w:p>
        </w:tc>
        <w:tc>
          <w:tcPr>
            <w:tcW w:w="10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2024</w:t>
            </w:r>
          </w:p>
        </w:tc>
        <w:tc>
          <w:tcPr>
            <w:tcW w:w="120" w:type="dxa"/>
            <w:vAlign w:val="bottom"/>
          </w:tcPr>
          <w:p>
            <w:pPr>
              <w:spacing w:after="0"/>
              <w:rPr>
                <w:sz w:val="18"/>
                <w:szCs w:val="18"/>
                <w:color w:val="auto"/>
              </w:rPr>
            </w:pPr>
          </w:p>
        </w:tc>
        <w:tc>
          <w:tcPr>
            <w:tcW w:w="960" w:type="dxa"/>
            <w:vAlign w:val="bottom"/>
          </w:tcPr>
          <w:p>
            <w:pPr>
              <w:ind w:left="300"/>
              <w:spacing w:after="0" w:line="215" w:lineRule="exact"/>
              <w:rPr>
                <w:sz w:val="20"/>
                <w:szCs w:val="20"/>
                <w:color w:val="auto"/>
              </w:rPr>
            </w:pPr>
            <w:r>
              <w:rPr>
                <w:rFonts w:ascii="Calibri" w:cs="Calibri" w:eastAsia="Calibri" w:hAnsi="Calibri"/>
                <w:sz w:val="18"/>
                <w:szCs w:val="18"/>
                <w:color w:val="auto"/>
              </w:rPr>
              <w:t>468,000</w:t>
            </w:r>
          </w:p>
        </w:tc>
        <w:tc>
          <w:tcPr>
            <w:tcW w:w="10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350,982</w:t>
            </w:r>
          </w:p>
        </w:tc>
        <w:tc>
          <w:tcPr>
            <w:tcW w:w="1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702,000</w:t>
            </w:r>
          </w:p>
        </w:tc>
        <w:tc>
          <w:tcPr>
            <w:tcW w:w="1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47,678</w:t>
            </w:r>
          </w:p>
        </w:tc>
        <w:tc>
          <w:tcPr>
            <w:tcW w:w="100" w:type="dxa"/>
            <w:vAlign w:val="bottom"/>
          </w:tcPr>
          <w:p>
            <w:pPr>
              <w:spacing w:after="0"/>
              <w:rPr>
                <w:sz w:val="18"/>
                <w:szCs w:val="18"/>
                <w:color w:val="auto"/>
              </w:rPr>
            </w:pPr>
          </w:p>
        </w:tc>
        <w:tc>
          <w:tcPr>
            <w:tcW w:w="1280" w:type="dxa"/>
            <w:vAlign w:val="bottom"/>
            <w:tcBorders>
              <w:right w:val="single" w:sz="8" w:color="auto"/>
            </w:tcBorders>
          </w:tcPr>
          <w:p>
            <w:pPr>
              <w:jc w:val="right"/>
              <w:ind w:right="12"/>
              <w:spacing w:after="0" w:line="215" w:lineRule="exact"/>
              <w:rPr>
                <w:sz w:val="20"/>
                <w:szCs w:val="20"/>
                <w:color w:val="auto"/>
              </w:rPr>
            </w:pPr>
            <w:r>
              <w:rPr>
                <w:rFonts w:ascii="Calibri" w:cs="Calibri" w:eastAsia="Calibri" w:hAnsi="Calibri"/>
                <w:sz w:val="18"/>
                <w:szCs w:val="18"/>
                <w:color w:val="auto"/>
              </w:rPr>
              <w:t>1,568,660</w:t>
            </w:r>
          </w:p>
        </w:tc>
        <w:tc>
          <w:tcPr>
            <w:tcW w:w="0" w:type="dxa"/>
            <w:vAlign w:val="bottom"/>
          </w:tcPr>
          <w:p>
            <w:pPr>
              <w:spacing w:after="0"/>
              <w:rPr>
                <w:sz w:val="1"/>
                <w:szCs w:val="1"/>
                <w:color w:val="auto"/>
              </w:rPr>
            </w:pPr>
          </w:p>
        </w:tc>
      </w:tr>
      <w:tr>
        <w:trPr>
          <w:trHeight w:val="195"/>
        </w:trPr>
        <w:tc>
          <w:tcPr>
            <w:tcW w:w="2860" w:type="dxa"/>
            <w:vAlign w:val="bottom"/>
            <w:tcBorders>
              <w:left w:val="single" w:sz="8" w:color="auto"/>
            </w:tcBorders>
          </w:tcPr>
          <w:p>
            <w:pPr>
              <w:ind w:left="160"/>
              <w:spacing w:after="0" w:line="195" w:lineRule="exact"/>
              <w:rPr>
                <w:sz w:val="20"/>
                <w:szCs w:val="20"/>
                <w:color w:val="auto"/>
              </w:rPr>
            </w:pPr>
            <w:r>
              <w:rPr>
                <w:rFonts w:ascii="Calibri" w:cs="Calibri" w:eastAsia="Calibri" w:hAnsi="Calibri"/>
                <w:sz w:val="18"/>
                <w:szCs w:val="18"/>
                <w:i w:val="1"/>
                <w:iCs w:val="1"/>
                <w:color w:val="auto"/>
              </w:rPr>
              <w:t>Executve Vice President, Chief</w:t>
            </w:r>
          </w:p>
        </w:tc>
        <w:tc>
          <w:tcPr>
            <w:tcW w:w="760" w:type="dxa"/>
            <w:vAlign w:val="bottom"/>
            <w:gridSpan w:val="2"/>
            <w:vMerge w:val="restart"/>
          </w:tcPr>
          <w:p>
            <w:pPr>
              <w:jc w:val="right"/>
              <w:spacing w:after="0"/>
              <w:rPr>
                <w:sz w:val="20"/>
                <w:szCs w:val="20"/>
                <w:color w:val="auto"/>
              </w:rPr>
            </w:pPr>
            <w:r>
              <w:rPr>
                <w:rFonts w:ascii="Calibri" w:cs="Calibri" w:eastAsia="Calibri" w:hAnsi="Calibri"/>
                <w:sz w:val="18"/>
                <w:szCs w:val="18"/>
                <w:color w:val="auto"/>
              </w:rPr>
              <w:t>2023</w:t>
            </w:r>
          </w:p>
        </w:tc>
        <w:tc>
          <w:tcPr>
            <w:tcW w:w="120" w:type="dxa"/>
            <w:vAlign w:val="bottom"/>
          </w:tcPr>
          <w:p>
            <w:pPr>
              <w:spacing w:after="0"/>
              <w:rPr>
                <w:sz w:val="16"/>
                <w:szCs w:val="16"/>
                <w:color w:val="auto"/>
              </w:rPr>
            </w:pPr>
          </w:p>
        </w:tc>
        <w:tc>
          <w:tcPr>
            <w:tcW w:w="960" w:type="dxa"/>
            <w:vAlign w:val="bottom"/>
            <w:vMerge w:val="restart"/>
          </w:tcPr>
          <w:p>
            <w:pPr>
              <w:ind w:left="300"/>
              <w:spacing w:after="0"/>
              <w:rPr>
                <w:sz w:val="20"/>
                <w:szCs w:val="20"/>
                <w:color w:val="auto"/>
              </w:rPr>
            </w:pPr>
            <w:r>
              <w:rPr>
                <w:rFonts w:ascii="Calibri" w:cs="Calibri" w:eastAsia="Calibri" w:hAnsi="Calibri"/>
                <w:sz w:val="18"/>
                <w:szCs w:val="18"/>
                <w:color w:val="auto"/>
              </w:rPr>
              <w:t>452,000</w:t>
            </w:r>
          </w:p>
        </w:tc>
        <w:tc>
          <w:tcPr>
            <w:tcW w:w="1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Calibri" w:cs="Calibri" w:eastAsia="Calibri" w:hAnsi="Calibri"/>
                <w:sz w:val="18"/>
                <w:szCs w:val="18"/>
                <w:color w:val="auto"/>
              </w:rPr>
              <w:t>338,967</w:t>
            </w:r>
          </w:p>
        </w:tc>
        <w:tc>
          <w:tcPr>
            <w:tcW w:w="1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Calibri" w:cs="Calibri" w:eastAsia="Calibri" w:hAnsi="Calibri"/>
                <w:sz w:val="18"/>
                <w:szCs w:val="18"/>
                <w:color w:val="auto"/>
              </w:rPr>
              <w:t>512,907</w:t>
            </w:r>
          </w:p>
        </w:tc>
        <w:tc>
          <w:tcPr>
            <w:tcW w:w="1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Calibri" w:cs="Calibri" w:eastAsia="Calibri" w:hAnsi="Calibri"/>
                <w:sz w:val="18"/>
                <w:szCs w:val="18"/>
                <w:color w:val="auto"/>
              </w:rPr>
              <w:t>49,009</w:t>
            </w:r>
          </w:p>
        </w:tc>
        <w:tc>
          <w:tcPr>
            <w:tcW w:w="100" w:type="dxa"/>
            <w:vAlign w:val="bottom"/>
          </w:tcPr>
          <w:p>
            <w:pPr>
              <w:spacing w:after="0"/>
              <w:rPr>
                <w:sz w:val="16"/>
                <w:szCs w:val="16"/>
                <w:color w:val="auto"/>
              </w:rPr>
            </w:pPr>
          </w:p>
        </w:tc>
        <w:tc>
          <w:tcPr>
            <w:tcW w:w="1280" w:type="dxa"/>
            <w:vAlign w:val="bottom"/>
            <w:tcBorders>
              <w:right w:val="single" w:sz="8" w:color="auto"/>
            </w:tcBorders>
            <w:vMerge w:val="restart"/>
          </w:tcPr>
          <w:p>
            <w:pPr>
              <w:jc w:val="right"/>
              <w:ind w:right="12"/>
              <w:spacing w:after="0"/>
              <w:rPr>
                <w:sz w:val="20"/>
                <w:szCs w:val="20"/>
                <w:color w:val="auto"/>
              </w:rPr>
            </w:pPr>
            <w:r>
              <w:rPr>
                <w:rFonts w:ascii="Calibri" w:cs="Calibri" w:eastAsia="Calibri" w:hAnsi="Calibri"/>
                <w:sz w:val="18"/>
                <w:szCs w:val="18"/>
                <w:color w:val="auto"/>
              </w:rPr>
              <w:t>1,352,883</w:t>
            </w:r>
          </w:p>
        </w:tc>
        <w:tc>
          <w:tcPr>
            <w:tcW w:w="0" w:type="dxa"/>
            <w:vAlign w:val="bottom"/>
          </w:tcPr>
          <w:p>
            <w:pPr>
              <w:spacing w:after="0"/>
              <w:rPr>
                <w:sz w:val="1"/>
                <w:szCs w:val="1"/>
                <w:color w:val="auto"/>
              </w:rPr>
            </w:pPr>
          </w:p>
        </w:tc>
      </w:tr>
      <w:tr>
        <w:trPr>
          <w:trHeight w:val="107"/>
        </w:trPr>
        <w:tc>
          <w:tcPr>
            <w:tcW w:w="2860" w:type="dxa"/>
            <w:vAlign w:val="bottom"/>
            <w:tcBorders>
              <w:left w:val="single" w:sz="8" w:color="auto"/>
            </w:tcBorders>
            <w:vMerge w:val="restart"/>
          </w:tcPr>
          <w:p>
            <w:pPr>
              <w:ind w:left="160"/>
              <w:spacing w:after="0" w:line="215" w:lineRule="exact"/>
              <w:rPr>
                <w:sz w:val="20"/>
                <w:szCs w:val="20"/>
                <w:color w:val="auto"/>
              </w:rPr>
            </w:pPr>
            <w:r>
              <w:rPr>
                <w:rFonts w:ascii="Calibri" w:cs="Calibri" w:eastAsia="Calibri" w:hAnsi="Calibri"/>
                <w:sz w:val="18"/>
                <w:szCs w:val="18"/>
                <w:i w:val="1"/>
                <w:iCs w:val="1"/>
                <w:color w:val="auto"/>
              </w:rPr>
              <w:t>Financial Ofcer and Treasurer</w:t>
            </w: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60" w:type="dxa"/>
            <w:vAlign w:val="bottom"/>
            <w:tcBorders>
              <w:left w:val="single" w:sz="8" w:color="auto"/>
            </w:tcBorders>
            <w:vMerge w:val="continue"/>
          </w:tcPr>
          <w:p>
            <w:pPr>
              <w:spacing w:after="0"/>
              <w:rPr>
                <w:sz w:val="9"/>
                <w:szCs w:val="9"/>
                <w:color w:val="auto"/>
              </w:rPr>
            </w:pPr>
          </w:p>
        </w:tc>
        <w:tc>
          <w:tcPr>
            <w:tcW w:w="760" w:type="dxa"/>
            <w:vAlign w:val="bottom"/>
            <w:gridSpan w:val="2"/>
            <w:vMerge w:val="restart"/>
          </w:tcPr>
          <w:p>
            <w:pPr>
              <w:jc w:val="right"/>
              <w:spacing w:after="0"/>
              <w:rPr>
                <w:sz w:val="20"/>
                <w:szCs w:val="20"/>
                <w:color w:val="auto"/>
              </w:rPr>
            </w:pPr>
            <w:r>
              <w:rPr>
                <w:rFonts w:ascii="Calibri" w:cs="Calibri" w:eastAsia="Calibri" w:hAnsi="Calibri"/>
                <w:sz w:val="18"/>
                <w:szCs w:val="18"/>
                <w:color w:val="auto"/>
              </w:rPr>
              <w:t>2022</w:t>
            </w:r>
          </w:p>
        </w:tc>
        <w:tc>
          <w:tcPr>
            <w:tcW w:w="120" w:type="dxa"/>
            <w:vAlign w:val="bottom"/>
          </w:tcPr>
          <w:p>
            <w:pPr>
              <w:spacing w:after="0"/>
              <w:rPr>
                <w:sz w:val="9"/>
                <w:szCs w:val="9"/>
                <w:color w:val="auto"/>
              </w:rPr>
            </w:pPr>
          </w:p>
        </w:tc>
        <w:tc>
          <w:tcPr>
            <w:tcW w:w="960" w:type="dxa"/>
            <w:vAlign w:val="bottom"/>
            <w:vMerge w:val="restart"/>
          </w:tcPr>
          <w:p>
            <w:pPr>
              <w:ind w:left="300"/>
              <w:spacing w:after="0"/>
              <w:rPr>
                <w:sz w:val="20"/>
                <w:szCs w:val="20"/>
                <w:color w:val="auto"/>
              </w:rPr>
            </w:pPr>
            <w:r>
              <w:rPr>
                <w:rFonts w:ascii="Calibri" w:cs="Calibri" w:eastAsia="Calibri" w:hAnsi="Calibri"/>
                <w:sz w:val="18"/>
                <w:szCs w:val="18"/>
                <w:color w:val="auto"/>
              </w:rPr>
              <w:t>412,000</w:t>
            </w:r>
          </w:p>
        </w:tc>
        <w:tc>
          <w:tcPr>
            <w:tcW w:w="1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Calibri" w:cs="Calibri" w:eastAsia="Calibri" w:hAnsi="Calibri"/>
                <w:sz w:val="18"/>
                <w:szCs w:val="18"/>
                <w:color w:val="auto"/>
              </w:rPr>
              <w:t>308,989</w:t>
            </w:r>
          </w:p>
        </w:tc>
        <w:tc>
          <w:tcPr>
            <w:tcW w:w="100" w:type="dxa"/>
            <w:vAlign w:val="bottom"/>
          </w:tcPr>
          <w:p>
            <w:pPr>
              <w:spacing w:after="0"/>
              <w:rPr>
                <w:sz w:val="9"/>
                <w:szCs w:val="9"/>
                <w:color w:val="auto"/>
              </w:rPr>
            </w:pPr>
          </w:p>
        </w:tc>
        <w:tc>
          <w:tcPr>
            <w:tcW w:w="1320" w:type="dxa"/>
            <w:vAlign w:val="bottom"/>
            <w:vMerge w:val="restart"/>
          </w:tcPr>
          <w:p>
            <w:pPr>
              <w:jc w:val="right"/>
              <w:spacing w:after="0"/>
              <w:rPr>
                <w:sz w:val="20"/>
                <w:szCs w:val="20"/>
                <w:color w:val="auto"/>
              </w:rPr>
            </w:pPr>
            <w:r>
              <w:rPr>
                <w:rFonts w:ascii="Calibri" w:cs="Calibri" w:eastAsia="Calibri" w:hAnsi="Calibri"/>
                <w:sz w:val="18"/>
                <w:szCs w:val="18"/>
                <w:color w:val="auto"/>
              </w:rPr>
              <w:t>618,000</w:t>
            </w:r>
          </w:p>
        </w:tc>
        <w:tc>
          <w:tcPr>
            <w:tcW w:w="100" w:type="dxa"/>
            <w:vAlign w:val="bottom"/>
          </w:tcPr>
          <w:p>
            <w:pPr>
              <w:spacing w:after="0"/>
              <w:rPr>
                <w:sz w:val="9"/>
                <w:szCs w:val="9"/>
                <w:color w:val="auto"/>
              </w:rPr>
            </w:pPr>
          </w:p>
        </w:tc>
        <w:tc>
          <w:tcPr>
            <w:tcW w:w="1320" w:type="dxa"/>
            <w:vAlign w:val="bottom"/>
            <w:vMerge w:val="restart"/>
          </w:tcPr>
          <w:p>
            <w:pPr>
              <w:jc w:val="right"/>
              <w:spacing w:after="0"/>
              <w:rPr>
                <w:sz w:val="20"/>
                <w:szCs w:val="20"/>
                <w:color w:val="auto"/>
              </w:rPr>
            </w:pPr>
            <w:r>
              <w:rPr>
                <w:rFonts w:ascii="Calibri" w:cs="Calibri" w:eastAsia="Calibri" w:hAnsi="Calibri"/>
                <w:sz w:val="18"/>
                <w:szCs w:val="18"/>
                <w:color w:val="auto"/>
              </w:rPr>
              <w:t>40,055</w:t>
            </w:r>
          </w:p>
        </w:tc>
        <w:tc>
          <w:tcPr>
            <w:tcW w:w="100" w:type="dxa"/>
            <w:vAlign w:val="bottom"/>
          </w:tcPr>
          <w:p>
            <w:pPr>
              <w:spacing w:after="0"/>
              <w:rPr>
                <w:sz w:val="9"/>
                <w:szCs w:val="9"/>
                <w:color w:val="auto"/>
              </w:rPr>
            </w:pPr>
          </w:p>
        </w:tc>
        <w:tc>
          <w:tcPr>
            <w:tcW w:w="1280" w:type="dxa"/>
            <w:vAlign w:val="bottom"/>
            <w:tcBorders>
              <w:right w:val="single" w:sz="8" w:color="auto"/>
            </w:tcBorders>
            <w:vMerge w:val="restart"/>
          </w:tcPr>
          <w:p>
            <w:pPr>
              <w:jc w:val="right"/>
              <w:ind w:right="12"/>
              <w:spacing w:after="0"/>
              <w:rPr>
                <w:sz w:val="20"/>
                <w:szCs w:val="20"/>
                <w:color w:val="auto"/>
              </w:rPr>
            </w:pPr>
            <w:r>
              <w:rPr>
                <w:rFonts w:ascii="Calibri" w:cs="Calibri" w:eastAsia="Calibri" w:hAnsi="Calibri"/>
                <w:sz w:val="18"/>
                <w:szCs w:val="18"/>
                <w:color w:val="auto"/>
              </w:rPr>
              <w:t>1,379,044</w:t>
            </w:r>
          </w:p>
        </w:tc>
        <w:tc>
          <w:tcPr>
            <w:tcW w:w="0" w:type="dxa"/>
            <w:vAlign w:val="bottom"/>
          </w:tcPr>
          <w:p>
            <w:pPr>
              <w:spacing w:after="0"/>
              <w:rPr>
                <w:sz w:val="1"/>
                <w:szCs w:val="1"/>
                <w:color w:val="auto"/>
              </w:rPr>
            </w:pPr>
          </w:p>
        </w:tc>
      </w:tr>
      <w:tr>
        <w:trPr>
          <w:trHeight w:val="162"/>
        </w:trPr>
        <w:tc>
          <w:tcPr>
            <w:tcW w:w="2860" w:type="dxa"/>
            <w:vAlign w:val="bottom"/>
            <w:tcBorders>
              <w:left w:val="single" w:sz="8" w:color="auto"/>
            </w:tcBorders>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Borders>
              <w:left w:val="single" w:sz="8" w:color="auto"/>
            </w:tcBorders>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860" w:type="dxa"/>
            <w:vAlign w:val="bottom"/>
            <w:tcBorders>
              <w:left w:val="single" w:sz="8" w:color="auto"/>
            </w:tcBorders>
            <w:shd w:val="clear" w:color="auto" w:fill="B3B3B3"/>
          </w:tcPr>
          <w:p>
            <w:pPr>
              <w:ind w:left="40"/>
              <w:spacing w:after="0" w:line="215" w:lineRule="exact"/>
              <w:rPr>
                <w:sz w:val="20"/>
                <w:szCs w:val="20"/>
                <w:color w:val="auto"/>
              </w:rPr>
            </w:pPr>
            <w:r>
              <w:rPr>
                <w:rFonts w:ascii="Calibri" w:cs="Calibri" w:eastAsia="Calibri" w:hAnsi="Calibri"/>
                <w:sz w:val="18"/>
                <w:szCs w:val="18"/>
                <w:color w:val="auto"/>
              </w:rPr>
              <w:t>Drew M. Grahek</w:t>
            </w:r>
          </w:p>
        </w:tc>
        <w:tc>
          <w:tcPr>
            <w:tcW w:w="760" w:type="dxa"/>
            <w:vAlign w:val="bottom"/>
            <w:gridSpan w:val="2"/>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2024</w:t>
            </w:r>
          </w:p>
        </w:tc>
        <w:tc>
          <w:tcPr>
            <w:tcW w:w="120" w:type="dxa"/>
            <w:vAlign w:val="bottom"/>
            <w:shd w:val="clear" w:color="auto" w:fill="B3B3B3"/>
          </w:tcPr>
          <w:p>
            <w:pPr>
              <w:spacing w:after="0"/>
              <w:rPr>
                <w:sz w:val="18"/>
                <w:szCs w:val="18"/>
                <w:color w:val="auto"/>
              </w:rPr>
            </w:pPr>
          </w:p>
        </w:tc>
        <w:tc>
          <w:tcPr>
            <w:tcW w:w="960" w:type="dxa"/>
            <w:vAlign w:val="bottom"/>
            <w:shd w:val="clear" w:color="auto" w:fill="B3B3B3"/>
          </w:tcPr>
          <w:p>
            <w:pPr>
              <w:ind w:left="300"/>
              <w:spacing w:after="0" w:line="215" w:lineRule="exact"/>
              <w:rPr>
                <w:sz w:val="20"/>
                <w:szCs w:val="20"/>
                <w:color w:val="auto"/>
              </w:rPr>
            </w:pPr>
            <w:r>
              <w:rPr>
                <w:rFonts w:ascii="Calibri" w:cs="Calibri" w:eastAsia="Calibri" w:hAnsi="Calibri"/>
                <w:sz w:val="18"/>
                <w:szCs w:val="18"/>
                <w:color w:val="auto"/>
              </w:rPr>
              <w:t>368,000</w:t>
            </w:r>
          </w:p>
        </w:tc>
        <w:tc>
          <w:tcPr>
            <w:tcW w:w="100" w:type="dxa"/>
            <w:vAlign w:val="bottom"/>
            <w:shd w:val="clear" w:color="auto" w:fill="B3B3B3"/>
          </w:tcPr>
          <w:p>
            <w:pPr>
              <w:spacing w:after="0"/>
              <w:rPr>
                <w:sz w:val="18"/>
                <w:szCs w:val="18"/>
                <w:color w:val="auto"/>
              </w:rPr>
            </w:pPr>
          </w:p>
        </w:tc>
        <w:tc>
          <w:tcPr>
            <w:tcW w:w="106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220,726</w:t>
            </w:r>
          </w:p>
        </w:tc>
        <w:tc>
          <w:tcPr>
            <w:tcW w:w="100" w:type="dxa"/>
            <w:vAlign w:val="bottom"/>
            <w:shd w:val="clear" w:color="auto" w:fill="B3B3B3"/>
          </w:tcPr>
          <w:p>
            <w:pPr>
              <w:spacing w:after="0"/>
              <w:rPr>
                <w:sz w:val="18"/>
                <w:szCs w:val="18"/>
                <w:color w:val="auto"/>
              </w:rPr>
            </w:pPr>
          </w:p>
        </w:tc>
        <w:tc>
          <w:tcPr>
            <w:tcW w:w="132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294,400</w:t>
            </w:r>
          </w:p>
        </w:tc>
        <w:tc>
          <w:tcPr>
            <w:tcW w:w="100" w:type="dxa"/>
            <w:vAlign w:val="bottom"/>
            <w:shd w:val="clear" w:color="auto" w:fill="B3B3B3"/>
          </w:tcPr>
          <w:p>
            <w:pPr>
              <w:spacing w:after="0"/>
              <w:rPr>
                <w:sz w:val="18"/>
                <w:szCs w:val="18"/>
                <w:color w:val="auto"/>
              </w:rPr>
            </w:pPr>
          </w:p>
        </w:tc>
        <w:tc>
          <w:tcPr>
            <w:tcW w:w="132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48,491</w:t>
            </w:r>
          </w:p>
        </w:tc>
        <w:tc>
          <w:tcPr>
            <w:tcW w:w="100" w:type="dxa"/>
            <w:vAlign w:val="bottom"/>
            <w:shd w:val="clear" w:color="auto" w:fill="B3B3B3"/>
          </w:tcPr>
          <w:p>
            <w:pPr>
              <w:spacing w:after="0"/>
              <w:rPr>
                <w:sz w:val="18"/>
                <w:szCs w:val="18"/>
                <w:color w:val="auto"/>
              </w:rPr>
            </w:pPr>
          </w:p>
        </w:tc>
        <w:tc>
          <w:tcPr>
            <w:tcW w:w="1280" w:type="dxa"/>
            <w:vAlign w:val="bottom"/>
            <w:tcBorders>
              <w:right w:val="single" w:sz="8" w:color="auto"/>
            </w:tcBorders>
            <w:shd w:val="clear" w:color="auto" w:fill="B3B3B3"/>
          </w:tcPr>
          <w:p>
            <w:pPr>
              <w:jc w:val="right"/>
              <w:ind w:right="12"/>
              <w:spacing w:after="0" w:line="215" w:lineRule="exact"/>
              <w:rPr>
                <w:sz w:val="20"/>
                <w:szCs w:val="20"/>
                <w:color w:val="auto"/>
              </w:rPr>
            </w:pPr>
            <w:r>
              <w:rPr>
                <w:rFonts w:ascii="Calibri" w:cs="Calibri" w:eastAsia="Calibri" w:hAnsi="Calibri"/>
                <w:sz w:val="18"/>
                <w:szCs w:val="18"/>
                <w:color w:val="auto"/>
              </w:rPr>
              <w:t>931,617</w:t>
            </w:r>
          </w:p>
        </w:tc>
        <w:tc>
          <w:tcPr>
            <w:tcW w:w="0" w:type="dxa"/>
            <w:vAlign w:val="bottom"/>
          </w:tcPr>
          <w:p>
            <w:pPr>
              <w:spacing w:after="0"/>
              <w:rPr>
                <w:sz w:val="1"/>
                <w:szCs w:val="1"/>
                <w:color w:val="auto"/>
              </w:rPr>
            </w:pPr>
          </w:p>
        </w:tc>
      </w:tr>
      <w:tr>
        <w:trPr>
          <w:trHeight w:val="261"/>
        </w:trPr>
        <w:tc>
          <w:tcPr>
            <w:tcW w:w="2860" w:type="dxa"/>
            <w:vAlign w:val="bottom"/>
            <w:tcBorders>
              <w:left w:val="single" w:sz="8" w:color="auto"/>
            </w:tcBorders>
            <w:shd w:val="clear" w:color="auto" w:fill="B3B3B3"/>
          </w:tcPr>
          <w:p>
            <w:pPr>
              <w:ind w:left="160"/>
              <w:spacing w:after="0"/>
              <w:rPr>
                <w:sz w:val="20"/>
                <w:szCs w:val="20"/>
                <w:color w:val="auto"/>
              </w:rPr>
            </w:pPr>
            <w:r>
              <w:rPr>
                <w:rFonts w:ascii="Calibri" w:cs="Calibri" w:eastAsia="Calibri" w:hAnsi="Calibri"/>
                <w:sz w:val="18"/>
                <w:szCs w:val="18"/>
                <w:i w:val="1"/>
                <w:iCs w:val="1"/>
                <w:color w:val="auto"/>
              </w:rPr>
              <w:t>Vice President – Operatons</w:t>
            </w:r>
          </w:p>
        </w:tc>
        <w:tc>
          <w:tcPr>
            <w:tcW w:w="100" w:type="dxa"/>
            <w:vAlign w:val="bottom"/>
            <w:shd w:val="clear" w:color="auto" w:fill="B3B3B3"/>
          </w:tcPr>
          <w:p>
            <w:pPr>
              <w:spacing w:after="0"/>
              <w:rPr>
                <w:sz w:val="22"/>
                <w:szCs w:val="22"/>
                <w:color w:val="auto"/>
              </w:rPr>
            </w:pPr>
          </w:p>
        </w:tc>
        <w:tc>
          <w:tcPr>
            <w:tcW w:w="66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2023</w:t>
            </w:r>
          </w:p>
        </w:tc>
        <w:tc>
          <w:tcPr>
            <w:tcW w:w="120" w:type="dxa"/>
            <w:vAlign w:val="bottom"/>
            <w:shd w:val="clear" w:color="auto" w:fill="B3B3B3"/>
          </w:tcPr>
          <w:p>
            <w:pPr>
              <w:spacing w:after="0"/>
              <w:rPr>
                <w:sz w:val="22"/>
                <w:szCs w:val="22"/>
                <w:color w:val="auto"/>
              </w:rPr>
            </w:pPr>
          </w:p>
        </w:tc>
        <w:tc>
          <w:tcPr>
            <w:tcW w:w="960" w:type="dxa"/>
            <w:vAlign w:val="bottom"/>
            <w:shd w:val="clear" w:color="auto" w:fill="B3B3B3"/>
          </w:tcPr>
          <w:p>
            <w:pPr>
              <w:ind w:left="300"/>
              <w:spacing w:after="0"/>
              <w:rPr>
                <w:sz w:val="20"/>
                <w:szCs w:val="20"/>
                <w:color w:val="auto"/>
              </w:rPr>
            </w:pPr>
            <w:r>
              <w:rPr>
                <w:rFonts w:ascii="Calibri" w:cs="Calibri" w:eastAsia="Calibri" w:hAnsi="Calibri"/>
                <w:sz w:val="18"/>
                <w:szCs w:val="18"/>
                <w:color w:val="auto"/>
              </w:rPr>
              <w:t>355,000</w:t>
            </w:r>
          </w:p>
        </w:tc>
        <w:tc>
          <w:tcPr>
            <w:tcW w:w="100" w:type="dxa"/>
            <w:vAlign w:val="bottom"/>
            <w:shd w:val="clear" w:color="auto" w:fill="B3B3B3"/>
          </w:tcPr>
          <w:p>
            <w:pPr>
              <w:spacing w:after="0"/>
              <w:rPr>
                <w:sz w:val="22"/>
                <w:szCs w:val="22"/>
                <w:color w:val="auto"/>
              </w:rPr>
            </w:pPr>
          </w:p>
        </w:tc>
        <w:tc>
          <w:tcPr>
            <w:tcW w:w="106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212,927</w:t>
            </w:r>
          </w:p>
        </w:tc>
        <w:tc>
          <w:tcPr>
            <w:tcW w:w="100" w:type="dxa"/>
            <w:vAlign w:val="bottom"/>
            <w:shd w:val="clear" w:color="auto" w:fill="B3B3B3"/>
          </w:tcPr>
          <w:p>
            <w:pPr>
              <w:spacing w:after="0"/>
              <w:rPr>
                <w:sz w:val="22"/>
                <w:szCs w:val="22"/>
                <w:color w:val="auto"/>
              </w:rPr>
            </w:pPr>
          </w:p>
        </w:tc>
        <w:tc>
          <w:tcPr>
            <w:tcW w:w="132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214,846</w:t>
            </w:r>
          </w:p>
        </w:tc>
        <w:tc>
          <w:tcPr>
            <w:tcW w:w="100" w:type="dxa"/>
            <w:vAlign w:val="bottom"/>
            <w:shd w:val="clear" w:color="auto" w:fill="B3B3B3"/>
          </w:tcPr>
          <w:p>
            <w:pPr>
              <w:spacing w:after="0"/>
              <w:rPr>
                <w:sz w:val="22"/>
                <w:szCs w:val="22"/>
                <w:color w:val="auto"/>
              </w:rPr>
            </w:pPr>
          </w:p>
        </w:tc>
        <w:tc>
          <w:tcPr>
            <w:tcW w:w="132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45,023</w:t>
            </w:r>
          </w:p>
        </w:tc>
        <w:tc>
          <w:tcPr>
            <w:tcW w:w="100" w:type="dxa"/>
            <w:vAlign w:val="bottom"/>
            <w:shd w:val="clear" w:color="auto" w:fill="B3B3B3"/>
          </w:tcPr>
          <w:p>
            <w:pPr>
              <w:spacing w:after="0"/>
              <w:rPr>
                <w:sz w:val="22"/>
                <w:szCs w:val="22"/>
                <w:color w:val="auto"/>
              </w:rPr>
            </w:pPr>
          </w:p>
        </w:tc>
        <w:tc>
          <w:tcPr>
            <w:tcW w:w="1280" w:type="dxa"/>
            <w:vAlign w:val="bottom"/>
            <w:tcBorders>
              <w:right w:val="single" w:sz="8" w:color="auto"/>
            </w:tcBorders>
            <w:shd w:val="clear" w:color="auto" w:fill="B3B3B3"/>
          </w:tcPr>
          <w:p>
            <w:pPr>
              <w:jc w:val="right"/>
              <w:ind w:right="12"/>
              <w:spacing w:after="0"/>
              <w:rPr>
                <w:sz w:val="20"/>
                <w:szCs w:val="20"/>
                <w:color w:val="auto"/>
              </w:rPr>
            </w:pPr>
            <w:r>
              <w:rPr>
                <w:rFonts w:ascii="Calibri" w:cs="Calibri" w:eastAsia="Calibri" w:hAnsi="Calibri"/>
                <w:sz w:val="18"/>
                <w:szCs w:val="18"/>
                <w:color w:val="auto"/>
              </w:rPr>
              <w:t>827,796</w:t>
            </w:r>
          </w:p>
        </w:tc>
        <w:tc>
          <w:tcPr>
            <w:tcW w:w="0" w:type="dxa"/>
            <w:vAlign w:val="bottom"/>
          </w:tcPr>
          <w:p>
            <w:pPr>
              <w:spacing w:after="0"/>
              <w:rPr>
                <w:sz w:val="1"/>
                <w:szCs w:val="1"/>
                <w:color w:val="auto"/>
              </w:rPr>
            </w:pPr>
          </w:p>
        </w:tc>
      </w:tr>
      <w:tr>
        <w:trPr>
          <w:trHeight w:val="273"/>
        </w:trPr>
        <w:tc>
          <w:tcPr>
            <w:tcW w:w="2860" w:type="dxa"/>
            <w:vAlign w:val="bottom"/>
            <w:tcBorders>
              <w:left w:val="single" w:sz="8" w:color="auto"/>
              <w:bottom w:val="single" w:sz="8" w:color="B3B3B3"/>
            </w:tcBorders>
            <w:shd w:val="clear" w:color="auto" w:fill="B3B3B3"/>
          </w:tcPr>
          <w:p>
            <w:pPr>
              <w:spacing w:after="0"/>
              <w:rPr>
                <w:sz w:val="23"/>
                <w:szCs w:val="23"/>
                <w:color w:val="auto"/>
              </w:rPr>
            </w:pPr>
          </w:p>
        </w:tc>
        <w:tc>
          <w:tcPr>
            <w:tcW w:w="100" w:type="dxa"/>
            <w:vAlign w:val="bottom"/>
            <w:tcBorders>
              <w:bottom w:val="single" w:sz="8" w:color="B3B3B3"/>
            </w:tcBorders>
            <w:shd w:val="clear" w:color="auto" w:fill="B3B3B3"/>
          </w:tcPr>
          <w:p>
            <w:pPr>
              <w:spacing w:after="0"/>
              <w:rPr>
                <w:sz w:val="23"/>
                <w:szCs w:val="23"/>
                <w:color w:val="auto"/>
              </w:rPr>
            </w:pPr>
          </w:p>
        </w:tc>
        <w:tc>
          <w:tcPr>
            <w:tcW w:w="660" w:type="dxa"/>
            <w:vAlign w:val="bottom"/>
            <w:tcBorders>
              <w:bottom w:val="single" w:sz="8" w:color="B3B3B3"/>
            </w:tcBorders>
            <w:shd w:val="clear" w:color="auto" w:fill="B3B3B3"/>
          </w:tcPr>
          <w:p>
            <w:pPr>
              <w:jc w:val="right"/>
              <w:spacing w:after="0"/>
              <w:rPr>
                <w:sz w:val="20"/>
                <w:szCs w:val="20"/>
                <w:color w:val="auto"/>
              </w:rPr>
            </w:pPr>
            <w:r>
              <w:rPr>
                <w:rFonts w:ascii="Calibri" w:cs="Calibri" w:eastAsia="Calibri" w:hAnsi="Calibri"/>
                <w:sz w:val="18"/>
                <w:szCs w:val="18"/>
                <w:color w:val="auto"/>
              </w:rPr>
              <w:t>2022</w:t>
            </w:r>
          </w:p>
        </w:tc>
        <w:tc>
          <w:tcPr>
            <w:tcW w:w="120" w:type="dxa"/>
            <w:vAlign w:val="bottom"/>
            <w:tcBorders>
              <w:bottom w:val="single" w:sz="8" w:color="B3B3B3"/>
            </w:tcBorders>
            <w:shd w:val="clear" w:color="auto" w:fill="B3B3B3"/>
          </w:tcPr>
          <w:p>
            <w:pPr>
              <w:spacing w:after="0"/>
              <w:rPr>
                <w:sz w:val="23"/>
                <w:szCs w:val="23"/>
                <w:color w:val="auto"/>
              </w:rPr>
            </w:pPr>
          </w:p>
        </w:tc>
        <w:tc>
          <w:tcPr>
            <w:tcW w:w="960" w:type="dxa"/>
            <w:vAlign w:val="bottom"/>
            <w:tcBorders>
              <w:bottom w:val="single" w:sz="8" w:color="B3B3B3"/>
            </w:tcBorders>
            <w:shd w:val="clear" w:color="auto" w:fill="B3B3B3"/>
          </w:tcPr>
          <w:p>
            <w:pPr>
              <w:ind w:left="300"/>
              <w:spacing w:after="0"/>
              <w:rPr>
                <w:sz w:val="20"/>
                <w:szCs w:val="20"/>
                <w:color w:val="auto"/>
              </w:rPr>
            </w:pPr>
            <w:r>
              <w:rPr>
                <w:rFonts w:ascii="Calibri" w:cs="Calibri" w:eastAsia="Calibri" w:hAnsi="Calibri"/>
                <w:sz w:val="18"/>
                <w:szCs w:val="18"/>
                <w:color w:val="auto"/>
              </w:rPr>
              <w:t>325,000</w:t>
            </w:r>
          </w:p>
        </w:tc>
        <w:tc>
          <w:tcPr>
            <w:tcW w:w="100" w:type="dxa"/>
            <w:vAlign w:val="bottom"/>
            <w:tcBorders>
              <w:bottom w:val="single" w:sz="8" w:color="B3B3B3"/>
            </w:tcBorders>
            <w:shd w:val="clear" w:color="auto" w:fill="B3B3B3"/>
          </w:tcPr>
          <w:p>
            <w:pPr>
              <w:spacing w:after="0"/>
              <w:rPr>
                <w:sz w:val="23"/>
                <w:szCs w:val="23"/>
                <w:color w:val="auto"/>
              </w:rPr>
            </w:pPr>
          </w:p>
        </w:tc>
        <w:tc>
          <w:tcPr>
            <w:tcW w:w="1060" w:type="dxa"/>
            <w:vAlign w:val="bottom"/>
            <w:tcBorders>
              <w:bottom w:val="single" w:sz="8" w:color="B3B3B3"/>
            </w:tcBorders>
            <w:shd w:val="clear" w:color="auto" w:fill="B3B3B3"/>
          </w:tcPr>
          <w:p>
            <w:pPr>
              <w:jc w:val="right"/>
              <w:spacing w:after="0"/>
              <w:rPr>
                <w:sz w:val="20"/>
                <w:szCs w:val="20"/>
                <w:color w:val="auto"/>
              </w:rPr>
            </w:pPr>
            <w:r>
              <w:rPr>
                <w:rFonts w:ascii="Calibri" w:cs="Calibri" w:eastAsia="Calibri" w:hAnsi="Calibri"/>
                <w:sz w:val="18"/>
                <w:szCs w:val="18"/>
                <w:color w:val="auto"/>
              </w:rPr>
              <w:t>194,947</w:t>
            </w:r>
          </w:p>
        </w:tc>
        <w:tc>
          <w:tcPr>
            <w:tcW w:w="100" w:type="dxa"/>
            <w:vAlign w:val="bottom"/>
            <w:tcBorders>
              <w:bottom w:val="single" w:sz="8" w:color="B3B3B3"/>
            </w:tcBorders>
            <w:shd w:val="clear" w:color="auto" w:fill="B3B3B3"/>
          </w:tcPr>
          <w:p>
            <w:pPr>
              <w:spacing w:after="0"/>
              <w:rPr>
                <w:sz w:val="23"/>
                <w:szCs w:val="23"/>
                <w:color w:val="auto"/>
              </w:rPr>
            </w:pPr>
          </w:p>
        </w:tc>
        <w:tc>
          <w:tcPr>
            <w:tcW w:w="1320" w:type="dxa"/>
            <w:vAlign w:val="bottom"/>
            <w:tcBorders>
              <w:bottom w:val="single" w:sz="8" w:color="B3B3B3"/>
            </w:tcBorders>
            <w:shd w:val="clear" w:color="auto" w:fill="B3B3B3"/>
          </w:tcPr>
          <w:p>
            <w:pPr>
              <w:jc w:val="right"/>
              <w:spacing w:after="0"/>
              <w:rPr>
                <w:sz w:val="20"/>
                <w:szCs w:val="20"/>
                <w:color w:val="auto"/>
              </w:rPr>
            </w:pPr>
            <w:r>
              <w:rPr>
                <w:rFonts w:ascii="Calibri" w:cs="Calibri" w:eastAsia="Calibri" w:hAnsi="Calibri"/>
                <w:sz w:val="18"/>
                <w:szCs w:val="18"/>
                <w:color w:val="auto"/>
              </w:rPr>
              <w:t>260,000</w:t>
            </w:r>
          </w:p>
        </w:tc>
        <w:tc>
          <w:tcPr>
            <w:tcW w:w="100" w:type="dxa"/>
            <w:vAlign w:val="bottom"/>
            <w:tcBorders>
              <w:bottom w:val="single" w:sz="8" w:color="B3B3B3"/>
            </w:tcBorders>
            <w:shd w:val="clear" w:color="auto" w:fill="B3B3B3"/>
          </w:tcPr>
          <w:p>
            <w:pPr>
              <w:spacing w:after="0"/>
              <w:rPr>
                <w:sz w:val="23"/>
                <w:szCs w:val="23"/>
                <w:color w:val="auto"/>
              </w:rPr>
            </w:pPr>
          </w:p>
        </w:tc>
        <w:tc>
          <w:tcPr>
            <w:tcW w:w="1320" w:type="dxa"/>
            <w:vAlign w:val="bottom"/>
            <w:tcBorders>
              <w:bottom w:val="single" w:sz="8" w:color="B3B3B3"/>
            </w:tcBorders>
            <w:shd w:val="clear" w:color="auto" w:fill="B3B3B3"/>
          </w:tcPr>
          <w:p>
            <w:pPr>
              <w:jc w:val="right"/>
              <w:spacing w:after="0"/>
              <w:rPr>
                <w:sz w:val="20"/>
                <w:szCs w:val="20"/>
                <w:color w:val="auto"/>
              </w:rPr>
            </w:pPr>
            <w:r>
              <w:rPr>
                <w:rFonts w:ascii="Calibri" w:cs="Calibri" w:eastAsia="Calibri" w:hAnsi="Calibri"/>
                <w:sz w:val="18"/>
                <w:szCs w:val="18"/>
                <w:color w:val="auto"/>
              </w:rPr>
              <w:t>40,810</w:t>
            </w:r>
          </w:p>
        </w:tc>
        <w:tc>
          <w:tcPr>
            <w:tcW w:w="100" w:type="dxa"/>
            <w:vAlign w:val="bottom"/>
            <w:tcBorders>
              <w:bottom w:val="single" w:sz="8" w:color="B3B3B3"/>
            </w:tcBorders>
            <w:shd w:val="clear" w:color="auto" w:fill="B3B3B3"/>
          </w:tcPr>
          <w:p>
            <w:pPr>
              <w:spacing w:after="0"/>
              <w:rPr>
                <w:sz w:val="23"/>
                <w:szCs w:val="23"/>
                <w:color w:val="auto"/>
              </w:rPr>
            </w:pPr>
          </w:p>
        </w:tc>
        <w:tc>
          <w:tcPr>
            <w:tcW w:w="1280" w:type="dxa"/>
            <w:vAlign w:val="bottom"/>
            <w:tcBorders>
              <w:bottom w:val="single" w:sz="8" w:color="B3B3B3"/>
              <w:right w:val="single" w:sz="8" w:color="auto"/>
            </w:tcBorders>
            <w:shd w:val="clear" w:color="auto" w:fill="B3B3B3"/>
          </w:tcPr>
          <w:p>
            <w:pPr>
              <w:jc w:val="right"/>
              <w:ind w:right="12"/>
              <w:spacing w:after="0"/>
              <w:rPr>
                <w:sz w:val="20"/>
                <w:szCs w:val="20"/>
                <w:color w:val="auto"/>
              </w:rPr>
            </w:pPr>
            <w:r>
              <w:rPr>
                <w:rFonts w:ascii="Calibri" w:cs="Calibri" w:eastAsia="Calibri" w:hAnsi="Calibri"/>
                <w:sz w:val="18"/>
                <w:szCs w:val="18"/>
                <w:color w:val="auto"/>
              </w:rPr>
              <w:t>820,757</w:t>
            </w:r>
          </w:p>
        </w:tc>
        <w:tc>
          <w:tcPr>
            <w:tcW w:w="0" w:type="dxa"/>
            <w:vAlign w:val="bottom"/>
          </w:tcPr>
          <w:p>
            <w:pPr>
              <w:spacing w:after="0"/>
              <w:rPr>
                <w:sz w:val="1"/>
                <w:szCs w:val="1"/>
                <w:color w:val="auto"/>
              </w:rPr>
            </w:pPr>
          </w:p>
        </w:tc>
      </w:tr>
      <w:tr>
        <w:trPr>
          <w:trHeight w:val="215"/>
        </w:trPr>
        <w:tc>
          <w:tcPr>
            <w:tcW w:w="2860" w:type="dxa"/>
            <w:vAlign w:val="bottom"/>
            <w:tcBorders>
              <w:lef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Richard G. Erstad</w:t>
            </w:r>
          </w:p>
        </w:tc>
        <w:tc>
          <w:tcPr>
            <w:tcW w:w="10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2024</w:t>
            </w:r>
          </w:p>
        </w:tc>
        <w:tc>
          <w:tcPr>
            <w:tcW w:w="120" w:type="dxa"/>
            <w:vAlign w:val="bottom"/>
          </w:tcPr>
          <w:p>
            <w:pPr>
              <w:spacing w:after="0"/>
              <w:rPr>
                <w:sz w:val="18"/>
                <w:szCs w:val="18"/>
                <w:color w:val="auto"/>
              </w:rPr>
            </w:pPr>
          </w:p>
        </w:tc>
        <w:tc>
          <w:tcPr>
            <w:tcW w:w="960" w:type="dxa"/>
            <w:vAlign w:val="bottom"/>
          </w:tcPr>
          <w:p>
            <w:pPr>
              <w:ind w:left="300"/>
              <w:spacing w:after="0" w:line="215" w:lineRule="exact"/>
              <w:rPr>
                <w:sz w:val="20"/>
                <w:szCs w:val="20"/>
                <w:color w:val="auto"/>
              </w:rPr>
            </w:pPr>
            <w:r>
              <w:rPr>
                <w:rFonts w:ascii="Calibri" w:cs="Calibri" w:eastAsia="Calibri" w:hAnsi="Calibri"/>
                <w:sz w:val="18"/>
                <w:szCs w:val="18"/>
                <w:color w:val="auto"/>
              </w:rPr>
              <w:t>337,000</w:t>
            </w:r>
          </w:p>
        </w:tc>
        <w:tc>
          <w:tcPr>
            <w:tcW w:w="10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219,046</w:t>
            </w:r>
          </w:p>
        </w:tc>
        <w:tc>
          <w:tcPr>
            <w:tcW w:w="1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269,600</w:t>
            </w:r>
          </w:p>
        </w:tc>
        <w:tc>
          <w:tcPr>
            <w:tcW w:w="1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62,561</w:t>
            </w:r>
          </w:p>
        </w:tc>
        <w:tc>
          <w:tcPr>
            <w:tcW w:w="100" w:type="dxa"/>
            <w:vAlign w:val="bottom"/>
          </w:tcPr>
          <w:p>
            <w:pPr>
              <w:spacing w:after="0"/>
              <w:rPr>
                <w:sz w:val="18"/>
                <w:szCs w:val="18"/>
                <w:color w:val="auto"/>
              </w:rPr>
            </w:pPr>
          </w:p>
        </w:tc>
        <w:tc>
          <w:tcPr>
            <w:tcW w:w="1280" w:type="dxa"/>
            <w:vAlign w:val="bottom"/>
            <w:tcBorders>
              <w:right w:val="single" w:sz="8" w:color="auto"/>
            </w:tcBorders>
          </w:tcPr>
          <w:p>
            <w:pPr>
              <w:jc w:val="right"/>
              <w:ind w:right="12"/>
              <w:spacing w:after="0" w:line="215" w:lineRule="exact"/>
              <w:rPr>
                <w:sz w:val="20"/>
                <w:szCs w:val="20"/>
                <w:color w:val="auto"/>
              </w:rPr>
            </w:pPr>
            <w:r>
              <w:rPr>
                <w:rFonts w:ascii="Calibri" w:cs="Calibri" w:eastAsia="Calibri" w:hAnsi="Calibri"/>
                <w:sz w:val="18"/>
                <w:szCs w:val="18"/>
                <w:color w:val="auto"/>
              </w:rPr>
              <w:t>888,207</w:t>
            </w:r>
          </w:p>
        </w:tc>
        <w:tc>
          <w:tcPr>
            <w:tcW w:w="0" w:type="dxa"/>
            <w:vAlign w:val="bottom"/>
          </w:tcPr>
          <w:p>
            <w:pPr>
              <w:spacing w:after="0"/>
              <w:rPr>
                <w:sz w:val="1"/>
                <w:szCs w:val="1"/>
                <w:color w:val="auto"/>
              </w:rPr>
            </w:pPr>
          </w:p>
        </w:tc>
      </w:tr>
      <w:tr>
        <w:trPr>
          <w:trHeight w:val="217"/>
        </w:trPr>
        <w:tc>
          <w:tcPr>
            <w:tcW w:w="2860" w:type="dxa"/>
            <w:vAlign w:val="bottom"/>
            <w:tcBorders>
              <w:left w:val="single" w:sz="8" w:color="auto"/>
            </w:tcBorders>
          </w:tcPr>
          <w:p>
            <w:pPr>
              <w:ind w:left="160"/>
              <w:spacing w:after="0" w:line="217" w:lineRule="exact"/>
              <w:rPr>
                <w:sz w:val="20"/>
                <w:szCs w:val="20"/>
                <w:color w:val="auto"/>
              </w:rPr>
            </w:pPr>
            <w:r>
              <w:rPr>
                <w:rFonts w:ascii="Calibri" w:cs="Calibri" w:eastAsia="Calibri" w:hAnsi="Calibri"/>
                <w:sz w:val="18"/>
                <w:szCs w:val="18"/>
                <w:i w:val="1"/>
                <w:iCs w:val="1"/>
                <w:color w:val="auto"/>
              </w:rPr>
              <w:t>Vice President, General Counsel and</w:t>
            </w:r>
          </w:p>
        </w:tc>
        <w:tc>
          <w:tcPr>
            <w:tcW w:w="760" w:type="dxa"/>
            <w:vAlign w:val="bottom"/>
            <w:gridSpan w:val="2"/>
          </w:tcPr>
          <w:p>
            <w:pPr>
              <w:jc w:val="right"/>
              <w:spacing w:after="0" w:line="217" w:lineRule="exact"/>
              <w:rPr>
                <w:sz w:val="20"/>
                <w:szCs w:val="20"/>
                <w:color w:val="auto"/>
              </w:rPr>
            </w:pPr>
            <w:r>
              <w:rPr>
                <w:rFonts w:ascii="Calibri" w:cs="Calibri" w:eastAsia="Calibri" w:hAnsi="Calibri"/>
                <w:sz w:val="18"/>
                <w:szCs w:val="18"/>
                <w:color w:val="auto"/>
              </w:rPr>
              <w:t>2023</w:t>
            </w:r>
          </w:p>
        </w:tc>
        <w:tc>
          <w:tcPr>
            <w:tcW w:w="120" w:type="dxa"/>
            <w:vAlign w:val="bottom"/>
          </w:tcPr>
          <w:p>
            <w:pPr>
              <w:spacing w:after="0"/>
              <w:rPr>
                <w:sz w:val="18"/>
                <w:szCs w:val="18"/>
                <w:color w:val="auto"/>
              </w:rPr>
            </w:pPr>
          </w:p>
        </w:tc>
        <w:tc>
          <w:tcPr>
            <w:tcW w:w="960" w:type="dxa"/>
            <w:vAlign w:val="bottom"/>
          </w:tcPr>
          <w:p>
            <w:pPr>
              <w:ind w:left="300"/>
              <w:spacing w:after="0" w:line="217" w:lineRule="exact"/>
              <w:rPr>
                <w:sz w:val="20"/>
                <w:szCs w:val="20"/>
                <w:color w:val="auto"/>
              </w:rPr>
            </w:pPr>
            <w:r>
              <w:rPr>
                <w:rFonts w:ascii="Calibri" w:cs="Calibri" w:eastAsia="Calibri" w:hAnsi="Calibri"/>
                <w:sz w:val="18"/>
                <w:szCs w:val="18"/>
                <w:color w:val="auto"/>
              </w:rPr>
              <w:t>325,000</w:t>
            </w:r>
          </w:p>
        </w:tc>
        <w:tc>
          <w:tcPr>
            <w:tcW w:w="100" w:type="dxa"/>
            <w:vAlign w:val="bottom"/>
          </w:tcPr>
          <w:p>
            <w:pPr>
              <w:spacing w:after="0"/>
              <w:rPr>
                <w:sz w:val="18"/>
                <w:szCs w:val="18"/>
                <w:color w:val="auto"/>
              </w:rPr>
            </w:pPr>
          </w:p>
        </w:tc>
        <w:tc>
          <w:tcPr>
            <w:tcW w:w="1060" w:type="dxa"/>
            <w:vAlign w:val="bottom"/>
          </w:tcPr>
          <w:p>
            <w:pPr>
              <w:jc w:val="right"/>
              <w:spacing w:after="0" w:line="217" w:lineRule="exact"/>
              <w:rPr>
                <w:sz w:val="20"/>
                <w:szCs w:val="20"/>
                <w:color w:val="auto"/>
              </w:rPr>
            </w:pPr>
            <w:r>
              <w:rPr>
                <w:rFonts w:ascii="Calibri" w:cs="Calibri" w:eastAsia="Calibri" w:hAnsi="Calibri"/>
                <w:sz w:val="18"/>
                <w:szCs w:val="18"/>
                <w:color w:val="auto"/>
              </w:rPr>
              <w:t>211,241</w:t>
            </w:r>
          </w:p>
        </w:tc>
        <w:tc>
          <w:tcPr>
            <w:tcW w:w="100" w:type="dxa"/>
            <w:vAlign w:val="bottom"/>
          </w:tcPr>
          <w:p>
            <w:pPr>
              <w:spacing w:after="0"/>
              <w:rPr>
                <w:sz w:val="18"/>
                <w:szCs w:val="18"/>
                <w:color w:val="auto"/>
              </w:rPr>
            </w:pPr>
          </w:p>
        </w:tc>
        <w:tc>
          <w:tcPr>
            <w:tcW w:w="1320" w:type="dxa"/>
            <w:vAlign w:val="bottom"/>
          </w:tcPr>
          <w:p>
            <w:pPr>
              <w:jc w:val="right"/>
              <w:spacing w:after="0" w:line="217" w:lineRule="exact"/>
              <w:rPr>
                <w:sz w:val="20"/>
                <w:szCs w:val="20"/>
                <w:color w:val="auto"/>
              </w:rPr>
            </w:pPr>
            <w:r>
              <w:rPr>
                <w:rFonts w:ascii="Calibri" w:cs="Calibri" w:eastAsia="Calibri" w:hAnsi="Calibri"/>
                <w:sz w:val="18"/>
                <w:szCs w:val="18"/>
                <w:color w:val="auto"/>
              </w:rPr>
              <w:t>196,690</w:t>
            </w:r>
          </w:p>
        </w:tc>
        <w:tc>
          <w:tcPr>
            <w:tcW w:w="100" w:type="dxa"/>
            <w:vAlign w:val="bottom"/>
          </w:tcPr>
          <w:p>
            <w:pPr>
              <w:spacing w:after="0"/>
              <w:rPr>
                <w:sz w:val="18"/>
                <w:szCs w:val="18"/>
                <w:color w:val="auto"/>
              </w:rPr>
            </w:pPr>
          </w:p>
        </w:tc>
        <w:tc>
          <w:tcPr>
            <w:tcW w:w="1320" w:type="dxa"/>
            <w:vAlign w:val="bottom"/>
          </w:tcPr>
          <w:p>
            <w:pPr>
              <w:jc w:val="right"/>
              <w:spacing w:after="0" w:line="217" w:lineRule="exact"/>
              <w:rPr>
                <w:sz w:val="20"/>
                <w:szCs w:val="20"/>
                <w:color w:val="auto"/>
              </w:rPr>
            </w:pPr>
            <w:r>
              <w:rPr>
                <w:rFonts w:ascii="Calibri" w:cs="Calibri" w:eastAsia="Calibri" w:hAnsi="Calibri"/>
                <w:sz w:val="18"/>
                <w:szCs w:val="18"/>
                <w:color w:val="auto"/>
              </w:rPr>
              <w:t>59,950</w:t>
            </w:r>
          </w:p>
        </w:tc>
        <w:tc>
          <w:tcPr>
            <w:tcW w:w="100" w:type="dxa"/>
            <w:vAlign w:val="bottom"/>
          </w:tcPr>
          <w:p>
            <w:pPr>
              <w:spacing w:after="0"/>
              <w:rPr>
                <w:sz w:val="18"/>
                <w:szCs w:val="18"/>
                <w:color w:val="auto"/>
              </w:rPr>
            </w:pPr>
          </w:p>
        </w:tc>
        <w:tc>
          <w:tcPr>
            <w:tcW w:w="1280" w:type="dxa"/>
            <w:vAlign w:val="bottom"/>
            <w:tcBorders>
              <w:right w:val="single" w:sz="8" w:color="auto"/>
            </w:tcBorders>
          </w:tcPr>
          <w:p>
            <w:pPr>
              <w:jc w:val="right"/>
              <w:ind w:right="12"/>
              <w:spacing w:after="0" w:line="217" w:lineRule="exact"/>
              <w:rPr>
                <w:sz w:val="20"/>
                <w:szCs w:val="20"/>
                <w:color w:val="auto"/>
              </w:rPr>
            </w:pPr>
            <w:r>
              <w:rPr>
                <w:rFonts w:ascii="Calibri" w:cs="Calibri" w:eastAsia="Calibri" w:hAnsi="Calibri"/>
                <w:sz w:val="18"/>
                <w:szCs w:val="18"/>
                <w:color w:val="auto"/>
              </w:rPr>
              <w:t>792,881</w:t>
            </w:r>
          </w:p>
        </w:tc>
        <w:tc>
          <w:tcPr>
            <w:tcW w:w="0" w:type="dxa"/>
            <w:vAlign w:val="bottom"/>
          </w:tcPr>
          <w:p>
            <w:pPr>
              <w:spacing w:after="0"/>
              <w:rPr>
                <w:sz w:val="1"/>
                <w:szCs w:val="1"/>
                <w:color w:val="auto"/>
              </w:rPr>
            </w:pPr>
          </w:p>
        </w:tc>
      </w:tr>
      <w:tr>
        <w:trPr>
          <w:trHeight w:val="215"/>
        </w:trPr>
        <w:tc>
          <w:tcPr>
            <w:tcW w:w="2860" w:type="dxa"/>
            <w:vAlign w:val="bottom"/>
            <w:tcBorders>
              <w:left w:val="single" w:sz="8" w:color="auto"/>
            </w:tcBorders>
          </w:tcPr>
          <w:p>
            <w:pPr>
              <w:ind w:left="160"/>
              <w:spacing w:after="0" w:line="215" w:lineRule="exact"/>
              <w:rPr>
                <w:sz w:val="20"/>
                <w:szCs w:val="20"/>
                <w:color w:val="auto"/>
              </w:rPr>
            </w:pPr>
            <w:r>
              <w:rPr>
                <w:rFonts w:ascii="Calibri" w:cs="Calibri" w:eastAsia="Calibri" w:hAnsi="Calibri"/>
                <w:sz w:val="18"/>
                <w:szCs w:val="18"/>
                <w:i w:val="1"/>
                <w:iCs w:val="1"/>
                <w:color w:val="auto"/>
              </w:rPr>
              <w:t>Secretary</w:t>
            </w:r>
          </w:p>
        </w:tc>
        <w:tc>
          <w:tcPr>
            <w:tcW w:w="760" w:type="dxa"/>
            <w:vAlign w:val="bottom"/>
            <w:gridSpan w:val="2"/>
            <w:vMerge w:val="restart"/>
          </w:tcPr>
          <w:p>
            <w:pPr>
              <w:jc w:val="right"/>
              <w:spacing w:after="0"/>
              <w:rPr>
                <w:sz w:val="20"/>
                <w:szCs w:val="20"/>
                <w:color w:val="auto"/>
              </w:rPr>
            </w:pPr>
            <w:r>
              <w:rPr>
                <w:rFonts w:ascii="Calibri" w:cs="Calibri" w:eastAsia="Calibri" w:hAnsi="Calibri"/>
                <w:sz w:val="18"/>
                <w:szCs w:val="18"/>
                <w:color w:val="auto"/>
              </w:rPr>
              <w:t>2022</w:t>
            </w:r>
          </w:p>
        </w:tc>
        <w:tc>
          <w:tcPr>
            <w:tcW w:w="120" w:type="dxa"/>
            <w:vAlign w:val="bottom"/>
          </w:tcPr>
          <w:p>
            <w:pPr>
              <w:spacing w:after="0"/>
              <w:rPr>
                <w:sz w:val="18"/>
                <w:szCs w:val="18"/>
                <w:color w:val="auto"/>
              </w:rPr>
            </w:pPr>
          </w:p>
        </w:tc>
        <w:tc>
          <w:tcPr>
            <w:tcW w:w="960" w:type="dxa"/>
            <w:vAlign w:val="bottom"/>
            <w:vMerge w:val="restart"/>
          </w:tcPr>
          <w:p>
            <w:pPr>
              <w:ind w:left="300"/>
              <w:spacing w:after="0"/>
              <w:rPr>
                <w:sz w:val="20"/>
                <w:szCs w:val="20"/>
                <w:color w:val="auto"/>
              </w:rPr>
            </w:pPr>
            <w:r>
              <w:rPr>
                <w:rFonts w:ascii="Calibri" w:cs="Calibri" w:eastAsia="Calibri" w:hAnsi="Calibri"/>
                <w:sz w:val="18"/>
                <w:szCs w:val="18"/>
                <w:color w:val="auto"/>
              </w:rPr>
              <w:t>298,200</w:t>
            </w:r>
          </w:p>
        </w:tc>
        <w:tc>
          <w:tcPr>
            <w:tcW w:w="10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Calibri" w:cs="Calibri" w:eastAsia="Calibri" w:hAnsi="Calibri"/>
                <w:sz w:val="18"/>
                <w:szCs w:val="18"/>
                <w:color w:val="auto"/>
              </w:rPr>
              <w:t>193,804</w:t>
            </w:r>
          </w:p>
        </w:tc>
        <w:tc>
          <w:tcPr>
            <w:tcW w:w="10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Calibri" w:cs="Calibri" w:eastAsia="Calibri" w:hAnsi="Calibri"/>
                <w:sz w:val="18"/>
                <w:szCs w:val="18"/>
                <w:color w:val="auto"/>
              </w:rPr>
              <w:t>238,560</w:t>
            </w:r>
          </w:p>
        </w:tc>
        <w:tc>
          <w:tcPr>
            <w:tcW w:w="10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Calibri" w:cs="Calibri" w:eastAsia="Calibri" w:hAnsi="Calibri"/>
                <w:sz w:val="18"/>
                <w:szCs w:val="18"/>
                <w:color w:val="auto"/>
              </w:rPr>
              <w:t>58,459</w:t>
            </w:r>
          </w:p>
        </w:tc>
        <w:tc>
          <w:tcPr>
            <w:tcW w:w="100" w:type="dxa"/>
            <w:vAlign w:val="bottom"/>
          </w:tcPr>
          <w:p>
            <w:pPr>
              <w:spacing w:after="0"/>
              <w:rPr>
                <w:sz w:val="18"/>
                <w:szCs w:val="18"/>
                <w:color w:val="auto"/>
              </w:rPr>
            </w:pPr>
          </w:p>
        </w:tc>
        <w:tc>
          <w:tcPr>
            <w:tcW w:w="1280" w:type="dxa"/>
            <w:vAlign w:val="bottom"/>
            <w:tcBorders>
              <w:right w:val="single" w:sz="8" w:color="auto"/>
            </w:tcBorders>
            <w:vMerge w:val="restart"/>
          </w:tcPr>
          <w:p>
            <w:pPr>
              <w:jc w:val="right"/>
              <w:ind w:right="12"/>
              <w:spacing w:after="0"/>
              <w:rPr>
                <w:sz w:val="20"/>
                <w:szCs w:val="20"/>
                <w:color w:val="auto"/>
              </w:rPr>
            </w:pPr>
            <w:r>
              <w:rPr>
                <w:rFonts w:ascii="Calibri" w:cs="Calibri" w:eastAsia="Calibri" w:hAnsi="Calibri"/>
                <w:sz w:val="18"/>
                <w:szCs w:val="18"/>
                <w:color w:val="auto"/>
              </w:rPr>
              <w:t>789,023</w:t>
            </w:r>
          </w:p>
        </w:tc>
        <w:tc>
          <w:tcPr>
            <w:tcW w:w="0" w:type="dxa"/>
            <w:vAlign w:val="bottom"/>
          </w:tcPr>
          <w:p>
            <w:pPr>
              <w:spacing w:after="0"/>
              <w:rPr>
                <w:sz w:val="1"/>
                <w:szCs w:val="1"/>
                <w:color w:val="auto"/>
              </w:rPr>
            </w:pPr>
          </w:p>
        </w:tc>
      </w:tr>
      <w:tr>
        <w:trPr>
          <w:trHeight w:val="99"/>
        </w:trPr>
        <w:tc>
          <w:tcPr>
            <w:tcW w:w="2860" w:type="dxa"/>
            <w:vAlign w:val="bottom"/>
            <w:tcBorders>
              <w:left w:val="single" w:sz="8" w:color="auto"/>
            </w:tcBorders>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860" w:type="dxa"/>
            <w:vAlign w:val="bottom"/>
            <w:tcBorders>
              <w:left w:val="single" w:sz="8" w:color="auto"/>
            </w:tcBorders>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860" w:type="dxa"/>
            <w:vAlign w:val="bottom"/>
            <w:tcBorders>
              <w:left w:val="single" w:sz="8" w:color="auto"/>
            </w:tcBorders>
            <w:shd w:val="clear" w:color="auto" w:fill="B6B6B6"/>
          </w:tcPr>
          <w:p>
            <w:pPr>
              <w:ind w:left="40"/>
              <w:spacing w:after="0" w:line="215" w:lineRule="exact"/>
              <w:rPr>
                <w:sz w:val="20"/>
                <w:szCs w:val="20"/>
                <w:color w:val="auto"/>
              </w:rPr>
            </w:pPr>
            <w:r>
              <w:rPr>
                <w:rFonts w:ascii="Calibri" w:cs="Calibri" w:eastAsia="Calibri" w:hAnsi="Calibri"/>
                <w:sz w:val="18"/>
                <w:szCs w:val="18"/>
                <w:color w:val="auto"/>
              </w:rPr>
              <w:t>Douglas A. Lange (d)</w:t>
            </w:r>
          </w:p>
        </w:tc>
        <w:tc>
          <w:tcPr>
            <w:tcW w:w="760" w:type="dxa"/>
            <w:vAlign w:val="bottom"/>
            <w:gridSpan w:val="2"/>
            <w:shd w:val="clear" w:color="auto" w:fill="B6B6B6"/>
          </w:tcPr>
          <w:p>
            <w:pPr>
              <w:jc w:val="right"/>
              <w:spacing w:after="0" w:line="215" w:lineRule="exact"/>
              <w:rPr>
                <w:sz w:val="20"/>
                <w:szCs w:val="20"/>
                <w:color w:val="auto"/>
              </w:rPr>
            </w:pPr>
            <w:r>
              <w:rPr>
                <w:rFonts w:ascii="Calibri" w:cs="Calibri" w:eastAsia="Calibri" w:hAnsi="Calibri"/>
                <w:sz w:val="18"/>
                <w:szCs w:val="18"/>
                <w:color w:val="auto"/>
              </w:rPr>
              <w:t>2024</w:t>
            </w:r>
          </w:p>
        </w:tc>
        <w:tc>
          <w:tcPr>
            <w:tcW w:w="120" w:type="dxa"/>
            <w:vAlign w:val="bottom"/>
            <w:shd w:val="clear" w:color="auto" w:fill="B6B6B6"/>
          </w:tcPr>
          <w:p>
            <w:pPr>
              <w:spacing w:after="0"/>
              <w:rPr>
                <w:sz w:val="18"/>
                <w:szCs w:val="18"/>
                <w:color w:val="auto"/>
              </w:rPr>
            </w:pPr>
          </w:p>
        </w:tc>
        <w:tc>
          <w:tcPr>
            <w:tcW w:w="960" w:type="dxa"/>
            <w:vAlign w:val="bottom"/>
            <w:shd w:val="clear" w:color="auto" w:fill="B6B6B6"/>
          </w:tcPr>
          <w:p>
            <w:pPr>
              <w:ind w:left="300"/>
              <w:spacing w:after="0" w:line="215" w:lineRule="exact"/>
              <w:rPr>
                <w:sz w:val="20"/>
                <w:szCs w:val="20"/>
                <w:color w:val="auto"/>
              </w:rPr>
            </w:pPr>
            <w:r>
              <w:rPr>
                <w:rFonts w:ascii="Calibri" w:cs="Calibri" w:eastAsia="Calibri" w:hAnsi="Calibri"/>
                <w:sz w:val="18"/>
                <w:szCs w:val="18"/>
                <w:color w:val="auto"/>
              </w:rPr>
              <w:t>337,000</w:t>
            </w:r>
          </w:p>
        </w:tc>
        <w:tc>
          <w:tcPr>
            <w:tcW w:w="100" w:type="dxa"/>
            <w:vAlign w:val="bottom"/>
            <w:shd w:val="clear" w:color="auto" w:fill="B6B6B6"/>
          </w:tcPr>
          <w:p>
            <w:pPr>
              <w:spacing w:after="0"/>
              <w:rPr>
                <w:sz w:val="18"/>
                <w:szCs w:val="18"/>
                <w:color w:val="auto"/>
              </w:rPr>
            </w:pPr>
          </w:p>
        </w:tc>
        <w:tc>
          <w:tcPr>
            <w:tcW w:w="1060" w:type="dxa"/>
            <w:vAlign w:val="bottom"/>
            <w:shd w:val="clear" w:color="auto" w:fill="B6B6B6"/>
          </w:tcPr>
          <w:p>
            <w:pPr>
              <w:jc w:val="right"/>
              <w:spacing w:after="0" w:line="215" w:lineRule="exact"/>
              <w:rPr>
                <w:sz w:val="20"/>
                <w:szCs w:val="20"/>
                <w:color w:val="auto"/>
              </w:rPr>
            </w:pPr>
            <w:r>
              <w:rPr>
                <w:rFonts w:ascii="Calibri" w:cs="Calibri" w:eastAsia="Calibri" w:hAnsi="Calibri"/>
                <w:sz w:val="18"/>
                <w:szCs w:val="18"/>
                <w:color w:val="auto"/>
              </w:rPr>
              <w:t>202,167</w:t>
            </w:r>
          </w:p>
        </w:tc>
        <w:tc>
          <w:tcPr>
            <w:tcW w:w="100" w:type="dxa"/>
            <w:vAlign w:val="bottom"/>
            <w:shd w:val="clear" w:color="auto" w:fill="B6B6B6"/>
          </w:tcPr>
          <w:p>
            <w:pPr>
              <w:spacing w:after="0"/>
              <w:rPr>
                <w:sz w:val="18"/>
                <w:szCs w:val="18"/>
                <w:color w:val="auto"/>
              </w:rPr>
            </w:pPr>
          </w:p>
        </w:tc>
        <w:tc>
          <w:tcPr>
            <w:tcW w:w="1320" w:type="dxa"/>
            <w:vAlign w:val="bottom"/>
            <w:shd w:val="clear" w:color="auto" w:fill="B6B6B6"/>
          </w:tcPr>
          <w:p>
            <w:pPr>
              <w:jc w:val="right"/>
              <w:spacing w:after="0" w:line="215" w:lineRule="exact"/>
              <w:rPr>
                <w:sz w:val="20"/>
                <w:szCs w:val="20"/>
                <w:color w:val="auto"/>
              </w:rPr>
            </w:pPr>
            <w:r>
              <w:rPr>
                <w:rFonts w:ascii="Calibri" w:cs="Calibri" w:eastAsia="Calibri" w:hAnsi="Calibri"/>
                <w:sz w:val="18"/>
                <w:szCs w:val="18"/>
                <w:color w:val="auto"/>
              </w:rPr>
              <w:t>269,600</w:t>
            </w:r>
          </w:p>
        </w:tc>
        <w:tc>
          <w:tcPr>
            <w:tcW w:w="100" w:type="dxa"/>
            <w:vAlign w:val="bottom"/>
            <w:shd w:val="clear" w:color="auto" w:fill="B6B6B6"/>
          </w:tcPr>
          <w:p>
            <w:pPr>
              <w:spacing w:after="0"/>
              <w:rPr>
                <w:sz w:val="18"/>
                <w:szCs w:val="18"/>
                <w:color w:val="auto"/>
              </w:rPr>
            </w:pPr>
          </w:p>
        </w:tc>
        <w:tc>
          <w:tcPr>
            <w:tcW w:w="1320" w:type="dxa"/>
            <w:vAlign w:val="bottom"/>
            <w:shd w:val="clear" w:color="auto" w:fill="B6B6B6"/>
          </w:tcPr>
          <w:p>
            <w:pPr>
              <w:jc w:val="right"/>
              <w:spacing w:after="0" w:line="215" w:lineRule="exact"/>
              <w:rPr>
                <w:sz w:val="20"/>
                <w:szCs w:val="20"/>
                <w:color w:val="auto"/>
              </w:rPr>
            </w:pPr>
            <w:r>
              <w:rPr>
                <w:rFonts w:ascii="Calibri" w:cs="Calibri" w:eastAsia="Calibri" w:hAnsi="Calibri"/>
                <w:sz w:val="18"/>
                <w:szCs w:val="18"/>
                <w:color w:val="auto"/>
              </w:rPr>
              <w:t>43,666</w:t>
            </w:r>
          </w:p>
        </w:tc>
        <w:tc>
          <w:tcPr>
            <w:tcW w:w="100" w:type="dxa"/>
            <w:vAlign w:val="bottom"/>
            <w:shd w:val="clear" w:color="auto" w:fill="B6B6B6"/>
          </w:tcPr>
          <w:p>
            <w:pPr>
              <w:spacing w:after="0"/>
              <w:rPr>
                <w:sz w:val="18"/>
                <w:szCs w:val="18"/>
                <w:color w:val="auto"/>
              </w:rPr>
            </w:pPr>
          </w:p>
        </w:tc>
        <w:tc>
          <w:tcPr>
            <w:tcW w:w="1280" w:type="dxa"/>
            <w:vAlign w:val="bottom"/>
            <w:tcBorders>
              <w:right w:val="single" w:sz="8" w:color="auto"/>
            </w:tcBorders>
            <w:shd w:val="clear" w:color="auto" w:fill="B6B6B6"/>
          </w:tcPr>
          <w:p>
            <w:pPr>
              <w:jc w:val="right"/>
              <w:ind w:right="12"/>
              <w:spacing w:after="0" w:line="215" w:lineRule="exact"/>
              <w:rPr>
                <w:sz w:val="20"/>
                <w:szCs w:val="20"/>
                <w:color w:val="auto"/>
              </w:rPr>
            </w:pPr>
            <w:r>
              <w:rPr>
                <w:rFonts w:ascii="Calibri" w:cs="Calibri" w:eastAsia="Calibri" w:hAnsi="Calibri"/>
                <w:sz w:val="18"/>
                <w:szCs w:val="18"/>
                <w:color w:val="auto"/>
              </w:rPr>
              <w:t>852,433</w:t>
            </w:r>
          </w:p>
        </w:tc>
        <w:tc>
          <w:tcPr>
            <w:tcW w:w="0" w:type="dxa"/>
            <w:vAlign w:val="bottom"/>
          </w:tcPr>
          <w:p>
            <w:pPr>
              <w:spacing w:after="0"/>
              <w:rPr>
                <w:sz w:val="1"/>
                <w:szCs w:val="1"/>
                <w:color w:val="auto"/>
              </w:rPr>
            </w:pPr>
          </w:p>
        </w:tc>
      </w:tr>
      <w:tr>
        <w:trPr>
          <w:trHeight w:val="224"/>
        </w:trPr>
        <w:tc>
          <w:tcPr>
            <w:tcW w:w="2860" w:type="dxa"/>
            <w:vAlign w:val="bottom"/>
            <w:tcBorders>
              <w:left w:val="single" w:sz="8" w:color="auto"/>
              <w:bottom w:val="single" w:sz="8" w:color="B6B6B6"/>
            </w:tcBorders>
            <w:shd w:val="clear" w:color="auto" w:fill="B6B6B6"/>
          </w:tcPr>
          <w:p>
            <w:pPr>
              <w:ind w:left="160"/>
              <w:spacing w:after="0"/>
              <w:rPr>
                <w:sz w:val="20"/>
                <w:szCs w:val="20"/>
                <w:color w:val="auto"/>
              </w:rPr>
            </w:pPr>
            <w:r>
              <w:rPr>
                <w:rFonts w:ascii="Calibri" w:cs="Calibri" w:eastAsia="Calibri" w:hAnsi="Calibri"/>
                <w:sz w:val="18"/>
                <w:szCs w:val="18"/>
                <w:i w:val="1"/>
                <w:iCs w:val="1"/>
                <w:color w:val="auto"/>
              </w:rPr>
              <w:t>Vice President – Water Treatment</w:t>
            </w:r>
          </w:p>
        </w:tc>
        <w:tc>
          <w:tcPr>
            <w:tcW w:w="100" w:type="dxa"/>
            <w:vAlign w:val="bottom"/>
            <w:tcBorders>
              <w:bottom w:val="single" w:sz="8" w:color="B6B6B6"/>
            </w:tcBorders>
            <w:shd w:val="clear" w:color="auto" w:fill="B6B6B6"/>
          </w:tcPr>
          <w:p>
            <w:pPr>
              <w:spacing w:after="0"/>
              <w:rPr>
                <w:sz w:val="19"/>
                <w:szCs w:val="19"/>
                <w:color w:val="auto"/>
              </w:rPr>
            </w:pPr>
          </w:p>
        </w:tc>
        <w:tc>
          <w:tcPr>
            <w:tcW w:w="660" w:type="dxa"/>
            <w:vAlign w:val="bottom"/>
            <w:tcBorders>
              <w:bottom w:val="single" w:sz="8" w:color="B6B6B6"/>
            </w:tcBorders>
            <w:shd w:val="clear" w:color="auto" w:fill="B6B6B6"/>
          </w:tcPr>
          <w:p>
            <w:pPr>
              <w:spacing w:after="0"/>
              <w:rPr>
                <w:sz w:val="19"/>
                <w:szCs w:val="19"/>
                <w:color w:val="auto"/>
              </w:rPr>
            </w:pPr>
          </w:p>
        </w:tc>
        <w:tc>
          <w:tcPr>
            <w:tcW w:w="120" w:type="dxa"/>
            <w:vAlign w:val="bottom"/>
            <w:tcBorders>
              <w:bottom w:val="single" w:sz="8" w:color="B6B6B6"/>
            </w:tcBorders>
            <w:shd w:val="clear" w:color="auto" w:fill="B6B6B6"/>
          </w:tcPr>
          <w:p>
            <w:pPr>
              <w:spacing w:after="0"/>
              <w:rPr>
                <w:sz w:val="19"/>
                <w:szCs w:val="19"/>
                <w:color w:val="auto"/>
              </w:rPr>
            </w:pPr>
          </w:p>
        </w:tc>
        <w:tc>
          <w:tcPr>
            <w:tcW w:w="96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106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132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132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1280" w:type="dxa"/>
            <w:vAlign w:val="bottom"/>
            <w:tcBorders>
              <w:bottom w:val="single" w:sz="8" w:color="B6B6B6"/>
              <w:right w:val="single" w:sz="8" w:color="auto"/>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420" w:hanging="412"/>
        <w:spacing w:after="0" w:line="249" w:lineRule="auto"/>
        <w:tabs>
          <w:tab w:leader="none" w:pos="404" w:val="left"/>
        </w:tabs>
        <w:numPr>
          <w:ilvl w:val="0"/>
          <w:numId w:val="17"/>
        </w:numPr>
        <w:rPr>
          <w:rFonts w:ascii="Calibri" w:cs="Calibri" w:eastAsia="Calibri" w:hAnsi="Calibri"/>
          <w:sz w:val="17"/>
          <w:szCs w:val="17"/>
          <w:color w:val="auto"/>
        </w:rPr>
      </w:pPr>
      <w:r>
        <w:rPr>
          <w:rFonts w:ascii="Calibri" w:cs="Calibri" w:eastAsia="Calibri" w:hAnsi="Calibri"/>
          <w:sz w:val="17"/>
          <w:szCs w:val="17"/>
          <w:color w:val="auto"/>
        </w:rPr>
        <w:t xml:space="preserve">Amounts represent the aggregate grant date fair value of awards made each fscal year, as computed in accordance with Financial Accountng Standards Board (FASB) Accountng Standards Codifcaton (ASC) Topic 718. See Note 9, </w:t>
      </w:r>
      <w:r>
        <w:rPr>
          <w:rFonts w:ascii="Calibri" w:cs="Calibri" w:eastAsia="Calibri" w:hAnsi="Calibri"/>
          <w:sz w:val="17"/>
          <w:szCs w:val="17"/>
          <w:i w:val="1"/>
          <w:iCs w:val="1"/>
          <w:color w:val="auto"/>
        </w:rPr>
        <w:t>Share-Based Compensaton</w:t>
      </w:r>
      <w:r>
        <w:rPr>
          <w:rFonts w:ascii="Calibri" w:cs="Calibri" w:eastAsia="Calibri" w:hAnsi="Calibri"/>
          <w:sz w:val="17"/>
          <w:szCs w:val="17"/>
          <w:color w:val="auto"/>
        </w:rPr>
        <w:t>, to our audited fnancial statements included in our Annual Report on Form 10-K for fscal 2024 for a descripton of our accountng for these awards and the assumptons used in valuing the awards.</w:t>
      </w:r>
    </w:p>
    <w:p>
      <w:pPr>
        <w:spacing w:after="0" w:line="2" w:lineRule="exact"/>
        <w:rPr>
          <w:rFonts w:ascii="Calibri" w:cs="Calibri" w:eastAsia="Calibri" w:hAnsi="Calibri"/>
          <w:sz w:val="17"/>
          <w:szCs w:val="17"/>
          <w:color w:val="auto"/>
        </w:rPr>
      </w:pPr>
    </w:p>
    <w:p>
      <w:pPr>
        <w:ind w:left="420" w:right="180"/>
        <w:spacing w:after="0" w:line="235" w:lineRule="auto"/>
        <w:rPr>
          <w:rFonts w:ascii="Calibri" w:cs="Calibri" w:eastAsia="Calibri" w:hAnsi="Calibri"/>
          <w:sz w:val="17"/>
          <w:szCs w:val="17"/>
          <w:color w:val="auto"/>
        </w:rPr>
      </w:pPr>
      <w:r>
        <w:rPr>
          <w:rFonts w:ascii="Calibri" w:cs="Calibri" w:eastAsia="Calibri" w:hAnsi="Calibri"/>
          <w:sz w:val="18"/>
          <w:szCs w:val="18"/>
          <w:color w:val="auto"/>
        </w:rPr>
        <w:t>The value is computed based on the estmated probable outcome of the applicable performance conditons as of the grant date. The following table shows the grant date fair values of the performance-based restricted unit awards granted in fscal 2024 as reported, and what such values would have been assuming the highest level of performance conditons would be achieved:</w:t>
      </w:r>
    </w:p>
    <w:p>
      <w:pPr>
        <w:spacing w:after="0" w:line="32" w:lineRule="exact"/>
        <w:rPr>
          <w:sz w:val="20"/>
          <w:szCs w:val="20"/>
          <w:color w:val="auto"/>
        </w:rPr>
      </w:pPr>
    </w:p>
    <w:tbl>
      <w:tblPr>
        <w:tblLayout w:type="fixed"/>
        <w:tblInd w:w="430" w:type="dxa"/>
        <w:tblCellMar>
          <w:top w:w="0" w:type="dxa"/>
          <w:left w:w="0" w:type="dxa"/>
          <w:bottom w:w="0" w:type="dxa"/>
          <w:right w:w="0" w:type="dxa"/>
        </w:tblCellMar>
      </w:tblPr>
      <w:tr>
        <w:trPr>
          <w:trHeight w:val="183"/>
        </w:trPr>
        <w:tc>
          <w:tcPr>
            <w:tcW w:w="5480" w:type="dxa"/>
            <w:vAlign w:val="bottom"/>
            <w:tcBorders>
              <w:top w:val="single" w:sz="8" w:color="auto"/>
              <w:left w:val="single" w:sz="8" w:color="auto"/>
            </w:tcBorders>
            <w:gridSpan w:val="2"/>
          </w:tcPr>
          <w:p>
            <w:pPr>
              <w:ind w:left="20"/>
              <w:spacing w:after="0"/>
              <w:rPr>
                <w:sz w:val="20"/>
                <w:szCs w:val="20"/>
                <w:color w:val="auto"/>
              </w:rPr>
            </w:pPr>
            <w:r>
              <w:rPr>
                <w:rFonts w:ascii="Calibri" w:cs="Calibri" w:eastAsia="Calibri" w:hAnsi="Calibri"/>
                <w:sz w:val="14"/>
                <w:szCs w:val="14"/>
                <w:b w:val="1"/>
                <w:bCs w:val="1"/>
                <w:color w:val="auto"/>
              </w:rPr>
              <w:t>Name</w:t>
            </w: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ind w:left="60"/>
              <w:spacing w:after="0"/>
              <w:rPr>
                <w:sz w:val="20"/>
                <w:szCs w:val="20"/>
                <w:color w:val="auto"/>
              </w:rPr>
            </w:pPr>
            <w:r>
              <w:rPr>
                <w:rFonts w:ascii="Calibri" w:cs="Calibri" w:eastAsia="Calibri" w:hAnsi="Calibri"/>
                <w:sz w:val="14"/>
                <w:szCs w:val="14"/>
                <w:b w:val="1"/>
                <w:bCs w:val="1"/>
                <w:color w:val="auto"/>
              </w:rPr>
              <w:t>Amount Reported</w:t>
            </w: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right w:val="single" w:sz="8" w:color="auto"/>
            </w:tcBorders>
          </w:tcPr>
          <w:p>
            <w:pPr>
              <w:jc w:val="right"/>
              <w:ind w:right="153"/>
              <w:spacing w:after="0"/>
              <w:rPr>
                <w:sz w:val="20"/>
                <w:szCs w:val="20"/>
                <w:color w:val="auto"/>
              </w:rPr>
            </w:pPr>
            <w:r>
              <w:rPr>
                <w:rFonts w:ascii="Calibri" w:cs="Calibri" w:eastAsia="Calibri" w:hAnsi="Calibri"/>
                <w:sz w:val="14"/>
                <w:szCs w:val="14"/>
                <w:b w:val="1"/>
                <w:bCs w:val="1"/>
                <w:color w:val="auto"/>
              </w:rPr>
              <w:t>Maximum Amount</w:t>
            </w:r>
          </w:p>
        </w:tc>
      </w:tr>
      <w:tr>
        <w:trPr>
          <w:trHeight w:val="33"/>
        </w:trPr>
        <w:tc>
          <w:tcPr>
            <w:tcW w:w="536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23"/>
        </w:trPr>
        <w:tc>
          <w:tcPr>
            <w:tcW w:w="5360" w:type="dxa"/>
            <w:vAlign w:val="bottom"/>
            <w:tcBorders>
              <w:left w:val="single" w:sz="8" w:color="auto"/>
            </w:tcBorders>
            <w:shd w:val="clear" w:color="auto" w:fill="B3B3B3"/>
          </w:tcPr>
          <w:p>
            <w:pPr>
              <w:ind w:left="20"/>
              <w:spacing w:after="0" w:line="215" w:lineRule="exact"/>
              <w:rPr>
                <w:sz w:val="20"/>
                <w:szCs w:val="20"/>
                <w:color w:val="auto"/>
              </w:rPr>
            </w:pPr>
            <w:r>
              <w:rPr>
                <w:rFonts w:ascii="Calibri" w:cs="Calibri" w:eastAsia="Calibri" w:hAnsi="Calibri"/>
                <w:sz w:val="18"/>
                <w:szCs w:val="18"/>
                <w:color w:val="auto"/>
              </w:rPr>
              <w:t>Patrick H. Hawkins</w:t>
            </w:r>
          </w:p>
        </w:tc>
        <w:tc>
          <w:tcPr>
            <w:tcW w:w="120" w:type="dxa"/>
            <w:vAlign w:val="bottom"/>
            <w:shd w:val="clear" w:color="auto" w:fill="B3B3B3"/>
          </w:tcPr>
          <w:p>
            <w:pPr>
              <w:spacing w:after="0"/>
              <w:rPr>
                <w:sz w:val="19"/>
                <w:szCs w:val="19"/>
                <w:color w:val="auto"/>
              </w:rPr>
            </w:pPr>
          </w:p>
        </w:tc>
        <w:tc>
          <w:tcPr>
            <w:tcW w:w="14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636,944</w:t>
            </w:r>
          </w:p>
        </w:tc>
        <w:tc>
          <w:tcPr>
            <w:tcW w:w="120" w:type="dxa"/>
            <w:vAlign w:val="bottom"/>
            <w:shd w:val="clear" w:color="auto" w:fill="B3B3B3"/>
          </w:tcPr>
          <w:p>
            <w:pPr>
              <w:spacing w:after="0"/>
              <w:rPr>
                <w:sz w:val="19"/>
                <w:szCs w:val="19"/>
                <w:color w:val="auto"/>
              </w:rPr>
            </w:pPr>
          </w:p>
        </w:tc>
        <w:tc>
          <w:tcPr>
            <w:tcW w:w="16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Borders>
              <w:right w:val="single" w:sz="8" w:color="auto"/>
            </w:tcBorders>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955,415</w:t>
            </w:r>
          </w:p>
        </w:tc>
      </w:tr>
      <w:tr>
        <w:trPr>
          <w:trHeight w:val="222"/>
        </w:trPr>
        <w:tc>
          <w:tcPr>
            <w:tcW w:w="5480" w:type="dxa"/>
            <w:vAlign w:val="bottom"/>
            <w:tcBorders>
              <w:left w:val="single" w:sz="8" w:color="auto"/>
            </w:tcBorders>
            <w:gridSpan w:val="2"/>
          </w:tcPr>
          <w:p>
            <w:pPr>
              <w:ind w:left="20"/>
              <w:spacing w:after="0" w:line="215" w:lineRule="exact"/>
              <w:rPr>
                <w:sz w:val="20"/>
                <w:szCs w:val="20"/>
                <w:color w:val="auto"/>
              </w:rPr>
            </w:pPr>
            <w:r>
              <w:rPr>
                <w:rFonts w:ascii="Calibri" w:cs="Calibri" w:eastAsia="Calibri" w:hAnsi="Calibri"/>
                <w:sz w:val="18"/>
                <w:szCs w:val="18"/>
                <w:color w:val="auto"/>
              </w:rPr>
              <w:t>Jefrey P. Oldenkamp</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350,982</w:t>
            </w:r>
          </w:p>
        </w:tc>
        <w:tc>
          <w:tcPr>
            <w:tcW w:w="120" w:type="dxa"/>
            <w:vAlign w:val="bottom"/>
          </w:tcPr>
          <w:p>
            <w:pPr>
              <w:spacing w:after="0"/>
              <w:rPr>
                <w:sz w:val="19"/>
                <w:szCs w:val="19"/>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526,430</w:t>
            </w:r>
          </w:p>
        </w:tc>
      </w:tr>
      <w:tr>
        <w:trPr>
          <w:trHeight w:val="237"/>
        </w:trPr>
        <w:tc>
          <w:tcPr>
            <w:tcW w:w="5480" w:type="dxa"/>
            <w:vAlign w:val="bottom"/>
            <w:tcBorders>
              <w:left w:val="single" w:sz="8" w:color="auto"/>
            </w:tcBorders>
            <w:gridSpan w:val="2"/>
            <w:shd w:val="clear" w:color="auto" w:fill="B3B3B3"/>
          </w:tcPr>
          <w:p>
            <w:pPr>
              <w:ind w:left="20"/>
              <w:spacing w:after="0"/>
              <w:rPr>
                <w:sz w:val="20"/>
                <w:szCs w:val="20"/>
                <w:color w:val="auto"/>
              </w:rPr>
            </w:pPr>
            <w:r>
              <w:rPr>
                <w:rFonts w:ascii="Calibri" w:cs="Calibri" w:eastAsia="Calibri" w:hAnsi="Calibri"/>
                <w:sz w:val="18"/>
                <w:szCs w:val="18"/>
                <w:color w:val="auto"/>
              </w:rPr>
              <w:t>Drew M. Grahek</w:t>
            </w:r>
          </w:p>
        </w:tc>
        <w:tc>
          <w:tcPr>
            <w:tcW w:w="14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w w:val="87"/>
              </w:rPr>
              <w:t>$</w:t>
            </w:r>
          </w:p>
        </w:tc>
        <w:tc>
          <w:tcPr>
            <w:tcW w:w="132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220,726</w:t>
            </w:r>
          </w:p>
        </w:tc>
        <w:tc>
          <w:tcPr>
            <w:tcW w:w="120" w:type="dxa"/>
            <w:vAlign w:val="bottom"/>
            <w:shd w:val="clear" w:color="auto" w:fill="B3B3B3"/>
          </w:tcPr>
          <w:p>
            <w:pPr>
              <w:spacing w:after="0"/>
              <w:rPr>
                <w:sz w:val="20"/>
                <w:szCs w:val="20"/>
                <w:color w:val="auto"/>
              </w:rPr>
            </w:pPr>
          </w:p>
        </w:tc>
        <w:tc>
          <w:tcPr>
            <w:tcW w:w="16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w w:val="87"/>
              </w:rPr>
              <w:t>$</w:t>
            </w:r>
          </w:p>
        </w:tc>
        <w:tc>
          <w:tcPr>
            <w:tcW w:w="1440" w:type="dxa"/>
            <w:vAlign w:val="bottom"/>
            <w:tcBorders>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331,088</w:t>
            </w:r>
          </w:p>
        </w:tc>
      </w:tr>
      <w:tr>
        <w:trPr>
          <w:trHeight w:val="222"/>
        </w:trPr>
        <w:tc>
          <w:tcPr>
            <w:tcW w:w="5480" w:type="dxa"/>
            <w:vAlign w:val="bottom"/>
            <w:tcBorders>
              <w:left w:val="single" w:sz="8" w:color="auto"/>
            </w:tcBorders>
            <w:gridSpan w:val="2"/>
          </w:tcPr>
          <w:p>
            <w:pPr>
              <w:ind w:left="20"/>
              <w:spacing w:after="0" w:line="215" w:lineRule="exact"/>
              <w:rPr>
                <w:sz w:val="20"/>
                <w:szCs w:val="20"/>
                <w:color w:val="auto"/>
              </w:rPr>
            </w:pPr>
            <w:r>
              <w:rPr>
                <w:rFonts w:ascii="Calibri" w:cs="Calibri" w:eastAsia="Calibri" w:hAnsi="Calibri"/>
                <w:sz w:val="18"/>
                <w:szCs w:val="18"/>
                <w:color w:val="auto"/>
              </w:rPr>
              <w:t>Richard G. Erstad</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219,046</w:t>
            </w:r>
          </w:p>
        </w:tc>
        <w:tc>
          <w:tcPr>
            <w:tcW w:w="120" w:type="dxa"/>
            <w:vAlign w:val="bottom"/>
          </w:tcPr>
          <w:p>
            <w:pPr>
              <w:spacing w:after="0"/>
              <w:rPr>
                <w:sz w:val="19"/>
                <w:szCs w:val="19"/>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328,526</w:t>
            </w:r>
          </w:p>
        </w:tc>
      </w:tr>
      <w:tr>
        <w:trPr>
          <w:trHeight w:val="230"/>
        </w:trPr>
        <w:tc>
          <w:tcPr>
            <w:tcW w:w="5480" w:type="dxa"/>
            <w:vAlign w:val="bottom"/>
            <w:tcBorders>
              <w:left w:val="single" w:sz="8" w:color="auto"/>
              <w:bottom w:val="single" w:sz="8" w:color="auto"/>
            </w:tcBorders>
            <w:gridSpan w:val="2"/>
            <w:shd w:val="clear" w:color="auto" w:fill="B3B3B3"/>
          </w:tcPr>
          <w:p>
            <w:pPr>
              <w:ind w:left="20"/>
              <w:spacing w:after="0"/>
              <w:rPr>
                <w:sz w:val="20"/>
                <w:szCs w:val="20"/>
                <w:color w:val="auto"/>
              </w:rPr>
            </w:pPr>
            <w:r>
              <w:rPr>
                <w:rFonts w:ascii="Calibri" w:cs="Calibri" w:eastAsia="Calibri" w:hAnsi="Calibri"/>
                <w:sz w:val="18"/>
                <w:szCs w:val="18"/>
                <w:color w:val="auto"/>
              </w:rPr>
              <w:t>Douglas A. Lange</w:t>
            </w:r>
          </w:p>
        </w:tc>
        <w:tc>
          <w:tcPr>
            <w:tcW w:w="140" w:type="dxa"/>
            <w:vAlign w:val="bottom"/>
            <w:tcBorders>
              <w:bottom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w w:val="87"/>
              </w:rPr>
              <w:t>$</w:t>
            </w:r>
          </w:p>
        </w:tc>
        <w:tc>
          <w:tcPr>
            <w:tcW w:w="1320" w:type="dxa"/>
            <w:vAlign w:val="bottom"/>
            <w:tcBorders>
              <w:bottom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202,167</w:t>
            </w:r>
          </w:p>
        </w:tc>
        <w:tc>
          <w:tcPr>
            <w:tcW w:w="120" w:type="dxa"/>
            <w:vAlign w:val="bottom"/>
            <w:tcBorders>
              <w:bottom w:val="single" w:sz="8" w:color="auto"/>
            </w:tcBorders>
            <w:shd w:val="clear" w:color="auto" w:fill="B3B3B3"/>
          </w:tcPr>
          <w:p>
            <w:pPr>
              <w:spacing w:after="0"/>
              <w:rPr>
                <w:sz w:val="20"/>
                <w:szCs w:val="20"/>
                <w:color w:val="auto"/>
              </w:rPr>
            </w:pPr>
          </w:p>
        </w:tc>
        <w:tc>
          <w:tcPr>
            <w:tcW w:w="160" w:type="dxa"/>
            <w:vAlign w:val="bottom"/>
            <w:tcBorders>
              <w:bottom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w w:val="87"/>
              </w:rPr>
              <w:t>$</w:t>
            </w:r>
          </w:p>
        </w:tc>
        <w:tc>
          <w:tcPr>
            <w:tcW w:w="144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303,207</w:t>
            </w:r>
          </w:p>
        </w:tc>
      </w:tr>
    </w:tbl>
    <w:p>
      <w:pPr>
        <w:spacing w:after="0" w:line="153" w:lineRule="exact"/>
        <w:rPr>
          <w:sz w:val="20"/>
          <w:szCs w:val="20"/>
          <w:color w:val="auto"/>
        </w:rPr>
      </w:pPr>
    </w:p>
    <w:p>
      <w:pPr>
        <w:ind w:left="420" w:right="520" w:hanging="412"/>
        <w:spacing w:after="0" w:line="235" w:lineRule="auto"/>
        <w:tabs>
          <w:tab w:leader="none" w:pos="372"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See the descripton of target levels of corporate performance and business unit performance, as described under “Annual Non-Equity Incentve Compensaton” in the Compensaton Discussion and Analysis above. The amounts reported for fscal 2024 were paid in fscal 2025 promptly afer approval by the Compensaton Commitee.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24" w:name="page25"/>
    <w:bookmarkEnd w:id="24"/>
    <w:p>
      <w:pPr>
        <w:ind w:left="340" w:hanging="332"/>
        <w:spacing w:after="0"/>
        <w:tabs>
          <w:tab w:leader="none" w:pos="34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Amounts of All Other Compensaton reported for fscal 2024 include:</w:t>
      </w:r>
    </w:p>
    <w:p>
      <w:pPr>
        <w:spacing w:after="0" w:line="1" w:lineRule="exact"/>
        <w:rPr>
          <w:rFonts w:ascii="Calibri" w:cs="Calibri" w:eastAsia="Calibri" w:hAnsi="Calibri"/>
          <w:sz w:val="18"/>
          <w:szCs w:val="18"/>
          <w:color w:val="auto"/>
        </w:rPr>
      </w:pPr>
    </w:p>
    <w:p>
      <w:pPr>
        <w:ind w:left="740" w:right="280" w:hanging="327"/>
        <w:spacing w:after="0" w:line="235" w:lineRule="auto"/>
        <w:tabs>
          <w:tab w:leader="none" w:pos="733" w:val="left"/>
        </w:tabs>
        <w:numPr>
          <w:ilvl w:val="1"/>
          <w:numId w:val="19"/>
        </w:numPr>
        <w:rPr>
          <w:rFonts w:ascii="Calibri" w:cs="Calibri" w:eastAsia="Calibri" w:hAnsi="Calibri"/>
          <w:sz w:val="18"/>
          <w:szCs w:val="18"/>
          <w:color w:val="auto"/>
        </w:rPr>
      </w:pPr>
      <w:r>
        <w:rPr>
          <w:rFonts w:ascii="Calibri" w:cs="Calibri" w:eastAsia="Calibri" w:hAnsi="Calibri"/>
          <w:sz w:val="18"/>
          <w:szCs w:val="18"/>
          <w:color w:val="auto"/>
        </w:rPr>
        <w:t>Contributons by the company on behalf of each of each of our named executve ofcers to our nonqualifed deferred compensaton plan, proft sharing plan, ESOP and employer 401(k) matching component of our Proft Sharing Plan, if applicable, as set forth below.</w:t>
      </w:r>
    </w:p>
    <w:p>
      <w:pPr>
        <w:spacing w:after="0" w:line="31" w:lineRule="exact"/>
        <w:rPr>
          <w:sz w:val="20"/>
          <w:szCs w:val="20"/>
          <w:color w:val="auto"/>
        </w:rPr>
      </w:pPr>
    </w:p>
    <w:tbl>
      <w:tblPr>
        <w:tblLayout w:type="fixed"/>
        <w:tblInd w:w="750" w:type="dxa"/>
        <w:tblCellMar>
          <w:top w:w="0" w:type="dxa"/>
          <w:left w:w="0" w:type="dxa"/>
          <w:bottom w:w="0" w:type="dxa"/>
          <w:right w:w="0" w:type="dxa"/>
        </w:tblCellMar>
      </w:tblPr>
      <w:tr>
        <w:trPr>
          <w:trHeight w:val="135"/>
        </w:trPr>
        <w:tc>
          <w:tcPr>
            <w:tcW w:w="2820" w:type="dxa"/>
            <w:vAlign w:val="bottom"/>
            <w:tcBorders>
              <w:top w:val="single" w:sz="8" w:color="auto"/>
              <w:left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0" w:type="dxa"/>
            <w:vAlign w:val="bottom"/>
            <w:tcBorders>
              <w:top w:val="single" w:sz="8" w:color="auto"/>
              <w:right w:val="single" w:sz="8" w:color="auto"/>
            </w:tcBorders>
            <w:gridSpan w:val="2"/>
          </w:tcPr>
          <w:p>
            <w:pPr>
              <w:ind w:left="100"/>
              <w:spacing w:after="0" w:line="135" w:lineRule="exact"/>
              <w:rPr>
                <w:sz w:val="20"/>
                <w:szCs w:val="20"/>
                <w:color w:val="auto"/>
              </w:rPr>
            </w:pPr>
            <w:r>
              <w:rPr>
                <w:rFonts w:ascii="Calibri" w:cs="Calibri" w:eastAsia="Calibri" w:hAnsi="Calibri"/>
                <w:sz w:val="14"/>
                <w:szCs w:val="14"/>
                <w:b w:val="1"/>
                <w:bCs w:val="1"/>
                <w:color w:val="auto"/>
              </w:rPr>
              <w:t>Employer 401(k) Matching</w:t>
            </w:r>
          </w:p>
        </w:tc>
        <w:tc>
          <w:tcPr>
            <w:tcW w:w="0" w:type="dxa"/>
            <w:vAlign w:val="bottom"/>
          </w:tcPr>
          <w:p>
            <w:pPr>
              <w:spacing w:after="0"/>
              <w:rPr>
                <w:sz w:val="1"/>
                <w:szCs w:val="1"/>
                <w:color w:val="auto"/>
              </w:rPr>
            </w:pPr>
          </w:p>
        </w:tc>
      </w:tr>
      <w:tr>
        <w:trPr>
          <w:trHeight w:val="149"/>
        </w:trPr>
        <w:tc>
          <w:tcPr>
            <w:tcW w:w="2980" w:type="dxa"/>
            <w:vAlign w:val="bottom"/>
            <w:tcBorders>
              <w:left w:val="single" w:sz="8" w:color="auto"/>
            </w:tcBorders>
            <w:gridSpan w:val="2"/>
            <w:vMerge w:val="restart"/>
          </w:tcPr>
          <w:p>
            <w:pPr>
              <w:ind w:left="20"/>
              <w:spacing w:after="0"/>
              <w:rPr>
                <w:sz w:val="20"/>
                <w:szCs w:val="20"/>
                <w:color w:val="auto"/>
              </w:rPr>
            </w:pPr>
            <w:r>
              <w:rPr>
                <w:rFonts w:ascii="Calibri" w:cs="Calibri" w:eastAsia="Calibri" w:hAnsi="Calibri"/>
                <w:sz w:val="14"/>
                <w:szCs w:val="14"/>
                <w:b w:val="1"/>
                <w:bCs w:val="1"/>
                <w:color w:val="auto"/>
              </w:rPr>
              <w:t>Name</w:t>
            </w:r>
          </w:p>
        </w:tc>
        <w:tc>
          <w:tcPr>
            <w:tcW w:w="16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Calibri" w:cs="Calibri" w:eastAsia="Calibri" w:hAnsi="Calibri"/>
                <w:sz w:val="14"/>
                <w:szCs w:val="14"/>
                <w:b w:val="1"/>
                <w:bCs w:val="1"/>
                <w:color w:val="auto"/>
              </w:rPr>
              <w:t>Nonqualifed Deferred</w:t>
            </w:r>
          </w:p>
        </w:tc>
        <w:tc>
          <w:tcPr>
            <w:tcW w:w="12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Calibri" w:cs="Calibri" w:eastAsia="Calibri" w:hAnsi="Calibri"/>
                <w:sz w:val="14"/>
                <w:szCs w:val="14"/>
                <w:b w:val="1"/>
                <w:bCs w:val="1"/>
                <w:color w:val="auto"/>
              </w:rPr>
              <w:t>Proft Sharing Plan</w:t>
            </w:r>
          </w:p>
        </w:tc>
        <w:tc>
          <w:tcPr>
            <w:tcW w:w="92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rPr>
              <w:t>ESOP</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Borders>
              <w:right w:val="single" w:sz="8" w:color="auto"/>
            </w:tcBorders>
            <w:gridSpan w:val="2"/>
          </w:tcPr>
          <w:p>
            <w:pPr>
              <w:ind w:left="40"/>
              <w:spacing w:after="0" w:line="149" w:lineRule="exact"/>
              <w:rPr>
                <w:sz w:val="20"/>
                <w:szCs w:val="20"/>
                <w:color w:val="auto"/>
              </w:rPr>
            </w:pPr>
            <w:r>
              <w:rPr>
                <w:rFonts w:ascii="Calibri" w:cs="Calibri" w:eastAsia="Calibri" w:hAnsi="Calibri"/>
                <w:sz w:val="14"/>
                <w:szCs w:val="14"/>
                <w:b w:val="1"/>
                <w:bCs w:val="1"/>
                <w:color w:val="auto"/>
              </w:rPr>
              <w:t>Component of Proft Sharing</w:t>
            </w:r>
          </w:p>
        </w:tc>
        <w:tc>
          <w:tcPr>
            <w:tcW w:w="0" w:type="dxa"/>
            <w:vAlign w:val="bottom"/>
          </w:tcPr>
          <w:p>
            <w:pPr>
              <w:spacing w:after="0"/>
              <w:rPr>
                <w:sz w:val="1"/>
                <w:szCs w:val="1"/>
                <w:color w:val="auto"/>
              </w:rPr>
            </w:pPr>
          </w:p>
        </w:tc>
      </w:tr>
      <w:tr>
        <w:trPr>
          <w:trHeight w:val="170"/>
        </w:trPr>
        <w:tc>
          <w:tcPr>
            <w:tcW w:w="2980" w:type="dxa"/>
            <w:vAlign w:val="bottom"/>
            <w:tcBorders>
              <w:lef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Compensaton Plan</w:t>
            </w: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Borders>
              <w:right w:val="single" w:sz="8" w:color="auto"/>
            </w:tcBorders>
          </w:tcPr>
          <w:p>
            <w:pPr>
              <w:jc w:val="right"/>
              <w:ind w:right="693"/>
              <w:spacing w:after="0"/>
              <w:rPr>
                <w:sz w:val="20"/>
                <w:szCs w:val="20"/>
                <w:color w:val="auto"/>
              </w:rPr>
            </w:pPr>
            <w:r>
              <w:rPr>
                <w:rFonts w:ascii="Calibri" w:cs="Calibri" w:eastAsia="Calibri" w:hAnsi="Calibri"/>
                <w:sz w:val="14"/>
                <w:szCs w:val="14"/>
                <w:b w:val="1"/>
                <w:bCs w:val="1"/>
                <w:color w:val="auto"/>
              </w:rPr>
              <w:t>Plan</w:t>
            </w:r>
          </w:p>
        </w:tc>
        <w:tc>
          <w:tcPr>
            <w:tcW w:w="0" w:type="dxa"/>
            <w:vAlign w:val="bottom"/>
          </w:tcPr>
          <w:p>
            <w:pPr>
              <w:spacing w:after="0"/>
              <w:rPr>
                <w:sz w:val="1"/>
                <w:szCs w:val="1"/>
                <w:color w:val="auto"/>
              </w:rPr>
            </w:pPr>
          </w:p>
        </w:tc>
      </w:tr>
      <w:tr>
        <w:trPr>
          <w:trHeight w:val="71"/>
        </w:trPr>
        <w:tc>
          <w:tcPr>
            <w:tcW w:w="2820" w:type="dxa"/>
            <w:vAlign w:val="bottom"/>
            <w:tcBorders>
              <w:left w:val="single" w:sz="8" w:color="auto"/>
              <w:bottom w:val="single" w:sz="8" w:color="auto"/>
            </w:tcBorders>
          </w:tcPr>
          <w:p>
            <w:pPr>
              <w:spacing w:after="0"/>
              <w:rPr>
                <w:sz w:val="5"/>
                <w:szCs w:val="5"/>
                <w:color w:val="auto"/>
              </w:rPr>
            </w:pPr>
          </w:p>
        </w:tc>
        <w:tc>
          <w:tcPr>
            <w:tcW w:w="160" w:type="dxa"/>
            <w:vAlign w:val="bottom"/>
            <w:tcBorders>
              <w:bottom w:val="single" w:sz="8" w:color="B3B3B3"/>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00" w:type="dxa"/>
            <w:vAlign w:val="bottom"/>
            <w:tcBorders>
              <w:bottom w:val="single" w:sz="8" w:color="B3B3B3"/>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B3B3B3"/>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B3B3B3"/>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820" w:type="dxa"/>
            <w:vAlign w:val="bottom"/>
            <w:tcBorders>
              <w:top w:val="single" w:sz="8" w:color="B3B3B3"/>
              <w:left w:val="single" w:sz="8" w:color="auto"/>
            </w:tcBorders>
            <w:shd w:val="clear" w:color="auto" w:fill="B3B3B3"/>
          </w:tcPr>
          <w:p>
            <w:pPr>
              <w:ind w:left="20"/>
              <w:spacing w:after="0" w:line="195" w:lineRule="exact"/>
              <w:rPr>
                <w:sz w:val="20"/>
                <w:szCs w:val="20"/>
                <w:color w:val="auto"/>
              </w:rPr>
            </w:pPr>
            <w:r>
              <w:rPr>
                <w:rFonts w:ascii="Calibri" w:cs="Calibri" w:eastAsia="Calibri" w:hAnsi="Calibri"/>
                <w:sz w:val="18"/>
                <w:szCs w:val="18"/>
                <w:color w:val="auto"/>
              </w:rPr>
              <w:t>Patrick H. Hawkins</w:t>
            </w:r>
          </w:p>
        </w:tc>
        <w:tc>
          <w:tcPr>
            <w:tcW w:w="160" w:type="dxa"/>
            <w:vAlign w:val="bottom"/>
            <w:tcBorders>
              <w:top w:val="single" w:sz="8" w:color="B3B3B3"/>
            </w:tcBorders>
            <w:shd w:val="clear" w:color="auto" w:fill="B3B3B3"/>
          </w:tcPr>
          <w:p>
            <w:pPr>
              <w:spacing w:after="0"/>
              <w:rPr>
                <w:sz w:val="17"/>
                <w:szCs w:val="17"/>
                <w:color w:val="auto"/>
              </w:rPr>
            </w:pPr>
          </w:p>
        </w:tc>
        <w:tc>
          <w:tcPr>
            <w:tcW w:w="160" w:type="dxa"/>
            <w:vAlign w:val="bottom"/>
            <w:tcBorders>
              <w:top w:val="single" w:sz="8" w:color="B3B3B3"/>
            </w:tcBorders>
            <w:shd w:val="clear" w:color="auto" w:fill="B3B3B3"/>
          </w:tcPr>
          <w:p>
            <w:pPr>
              <w:jc w:val="right"/>
              <w:spacing w:after="0" w:line="195" w:lineRule="exact"/>
              <w:rPr>
                <w:sz w:val="20"/>
                <w:szCs w:val="20"/>
                <w:color w:val="auto"/>
              </w:rPr>
            </w:pPr>
            <w:r>
              <w:rPr>
                <w:rFonts w:ascii="Calibri" w:cs="Calibri" w:eastAsia="Calibri" w:hAnsi="Calibri"/>
                <w:sz w:val="18"/>
                <w:szCs w:val="18"/>
                <w:color w:val="auto"/>
                <w:w w:val="87"/>
              </w:rPr>
              <w:t>$</w:t>
            </w:r>
          </w:p>
        </w:tc>
        <w:tc>
          <w:tcPr>
            <w:tcW w:w="1560" w:type="dxa"/>
            <w:vAlign w:val="bottom"/>
            <w:tcBorders>
              <w:top w:val="single" w:sz="8" w:color="B3B3B3"/>
            </w:tcBorders>
            <w:shd w:val="clear" w:color="auto" w:fill="B3B3B3"/>
          </w:tcPr>
          <w:p>
            <w:pPr>
              <w:jc w:val="right"/>
              <w:spacing w:after="0" w:line="195" w:lineRule="exact"/>
              <w:rPr>
                <w:sz w:val="20"/>
                <w:szCs w:val="20"/>
                <w:color w:val="auto"/>
              </w:rPr>
            </w:pPr>
            <w:r>
              <w:rPr>
                <w:rFonts w:ascii="Calibri" w:cs="Calibri" w:eastAsia="Calibri" w:hAnsi="Calibri"/>
                <w:sz w:val="18"/>
                <w:szCs w:val="18"/>
                <w:color w:val="auto"/>
              </w:rPr>
              <w:t>33,000</w:t>
            </w:r>
          </w:p>
        </w:tc>
        <w:tc>
          <w:tcPr>
            <w:tcW w:w="100" w:type="dxa"/>
            <w:vAlign w:val="bottom"/>
            <w:tcBorders>
              <w:top w:val="single" w:sz="8" w:color="B3B3B3"/>
            </w:tcBorders>
            <w:shd w:val="clear" w:color="auto" w:fill="B3B3B3"/>
          </w:tcPr>
          <w:p>
            <w:pPr>
              <w:spacing w:after="0"/>
              <w:rPr>
                <w:sz w:val="17"/>
                <w:szCs w:val="17"/>
                <w:color w:val="auto"/>
              </w:rPr>
            </w:pPr>
          </w:p>
        </w:tc>
        <w:tc>
          <w:tcPr>
            <w:tcW w:w="120" w:type="dxa"/>
            <w:vAlign w:val="bottom"/>
            <w:tcBorders>
              <w:top w:val="single" w:sz="8" w:color="B3B3B3"/>
            </w:tcBorders>
            <w:shd w:val="clear" w:color="auto" w:fill="B3B3B3"/>
          </w:tcPr>
          <w:p>
            <w:pPr>
              <w:jc w:val="right"/>
              <w:spacing w:after="0" w:line="195" w:lineRule="exact"/>
              <w:rPr>
                <w:sz w:val="20"/>
                <w:szCs w:val="20"/>
                <w:color w:val="auto"/>
              </w:rPr>
            </w:pPr>
            <w:r>
              <w:rPr>
                <w:rFonts w:ascii="Calibri" w:cs="Calibri" w:eastAsia="Calibri" w:hAnsi="Calibri"/>
                <w:sz w:val="18"/>
                <w:szCs w:val="18"/>
                <w:color w:val="auto"/>
              </w:rPr>
              <w:t>$</w:t>
            </w:r>
          </w:p>
        </w:tc>
        <w:tc>
          <w:tcPr>
            <w:tcW w:w="1220" w:type="dxa"/>
            <w:vAlign w:val="bottom"/>
            <w:tcBorders>
              <w:top w:val="single" w:sz="8" w:color="B3B3B3"/>
            </w:tcBorders>
            <w:shd w:val="clear" w:color="auto" w:fill="B3B3B3"/>
          </w:tcPr>
          <w:p>
            <w:pPr>
              <w:jc w:val="right"/>
              <w:spacing w:after="0" w:line="195" w:lineRule="exact"/>
              <w:rPr>
                <w:sz w:val="20"/>
                <w:szCs w:val="20"/>
                <w:color w:val="auto"/>
              </w:rPr>
            </w:pPr>
            <w:r>
              <w:rPr>
                <w:rFonts w:ascii="Calibri" w:cs="Calibri" w:eastAsia="Calibri" w:hAnsi="Calibri"/>
                <w:sz w:val="18"/>
                <w:szCs w:val="18"/>
                <w:color w:val="auto"/>
              </w:rPr>
              <w:t>—</w:t>
            </w:r>
          </w:p>
        </w:tc>
        <w:tc>
          <w:tcPr>
            <w:tcW w:w="100" w:type="dxa"/>
            <w:vAlign w:val="bottom"/>
            <w:tcBorders>
              <w:top w:val="single" w:sz="8" w:color="B3B3B3"/>
            </w:tcBorders>
            <w:shd w:val="clear" w:color="auto" w:fill="B3B3B3"/>
          </w:tcPr>
          <w:p>
            <w:pPr>
              <w:spacing w:after="0"/>
              <w:rPr>
                <w:sz w:val="17"/>
                <w:szCs w:val="17"/>
                <w:color w:val="auto"/>
              </w:rPr>
            </w:pPr>
          </w:p>
        </w:tc>
        <w:tc>
          <w:tcPr>
            <w:tcW w:w="920" w:type="dxa"/>
            <w:vAlign w:val="bottom"/>
            <w:tcBorders>
              <w:top w:val="single" w:sz="8" w:color="B3B3B3"/>
            </w:tcBorders>
            <w:shd w:val="clear" w:color="auto" w:fill="B3B3B3"/>
          </w:tcPr>
          <w:p>
            <w:pPr>
              <w:jc w:val="right"/>
              <w:ind w:right="713"/>
              <w:spacing w:after="0" w:line="195" w:lineRule="exact"/>
              <w:rPr>
                <w:sz w:val="20"/>
                <w:szCs w:val="20"/>
                <w:color w:val="auto"/>
              </w:rPr>
            </w:pPr>
            <w:r>
              <w:rPr>
                <w:rFonts w:ascii="Calibri" w:cs="Calibri" w:eastAsia="Calibri" w:hAnsi="Calibri"/>
                <w:sz w:val="18"/>
                <w:szCs w:val="18"/>
                <w:color w:val="auto"/>
              </w:rPr>
              <w:t>$</w:t>
            </w:r>
          </w:p>
        </w:tc>
        <w:tc>
          <w:tcPr>
            <w:tcW w:w="500" w:type="dxa"/>
            <w:vAlign w:val="bottom"/>
            <w:tcBorders>
              <w:top w:val="single" w:sz="8" w:color="B3B3B3"/>
            </w:tcBorders>
            <w:shd w:val="clear" w:color="auto" w:fill="B3B3B3"/>
          </w:tcPr>
          <w:p>
            <w:pPr>
              <w:jc w:val="right"/>
              <w:spacing w:after="0" w:line="195" w:lineRule="exact"/>
              <w:rPr>
                <w:sz w:val="20"/>
                <w:szCs w:val="20"/>
                <w:color w:val="auto"/>
              </w:rPr>
            </w:pPr>
            <w:r>
              <w:rPr>
                <w:rFonts w:ascii="Calibri" w:cs="Calibri" w:eastAsia="Calibri" w:hAnsi="Calibri"/>
                <w:sz w:val="18"/>
                <w:szCs w:val="18"/>
                <w:color w:val="auto"/>
              </w:rPr>
              <w:t>—</w:t>
            </w:r>
          </w:p>
        </w:tc>
        <w:tc>
          <w:tcPr>
            <w:tcW w:w="120" w:type="dxa"/>
            <w:vAlign w:val="bottom"/>
            <w:tcBorders>
              <w:top w:val="single" w:sz="8" w:color="B3B3B3"/>
            </w:tcBorders>
            <w:shd w:val="clear" w:color="auto" w:fill="B3B3B3"/>
          </w:tcPr>
          <w:p>
            <w:pPr>
              <w:spacing w:after="0"/>
              <w:rPr>
                <w:sz w:val="17"/>
                <w:szCs w:val="17"/>
                <w:color w:val="auto"/>
              </w:rPr>
            </w:pPr>
          </w:p>
        </w:tc>
        <w:tc>
          <w:tcPr>
            <w:tcW w:w="420" w:type="dxa"/>
            <w:vAlign w:val="bottom"/>
            <w:tcBorders>
              <w:top w:val="single" w:sz="8" w:color="auto"/>
            </w:tcBorders>
            <w:shd w:val="clear" w:color="auto" w:fill="B3B3B3"/>
          </w:tcPr>
          <w:p>
            <w:pPr>
              <w:ind w:left="20"/>
              <w:spacing w:after="0" w:line="203" w:lineRule="exact"/>
              <w:rPr>
                <w:sz w:val="20"/>
                <w:szCs w:val="20"/>
                <w:color w:val="auto"/>
              </w:rPr>
            </w:pPr>
            <w:r>
              <w:rPr>
                <w:rFonts w:ascii="Calibri" w:cs="Calibri" w:eastAsia="Calibri" w:hAnsi="Calibri"/>
                <w:sz w:val="18"/>
                <w:szCs w:val="18"/>
                <w:color w:val="auto"/>
              </w:rPr>
              <w:t>$</w:t>
            </w:r>
          </w:p>
        </w:tc>
        <w:tc>
          <w:tcPr>
            <w:tcW w:w="1380" w:type="dxa"/>
            <w:vAlign w:val="bottom"/>
            <w:tcBorders>
              <w:top w:val="single" w:sz="8" w:color="auto"/>
              <w:right w:val="single" w:sz="8" w:color="auto"/>
            </w:tcBorders>
            <w:shd w:val="clear" w:color="auto" w:fill="B3B3B3"/>
          </w:tcPr>
          <w:p>
            <w:pPr>
              <w:jc w:val="right"/>
              <w:spacing w:after="0" w:line="203" w:lineRule="exact"/>
              <w:rPr>
                <w:sz w:val="20"/>
                <w:szCs w:val="20"/>
                <w:color w:val="auto"/>
              </w:rPr>
            </w:pPr>
            <w:r>
              <w:rPr>
                <w:rFonts w:ascii="Calibri" w:cs="Calibri" w:eastAsia="Calibri" w:hAnsi="Calibri"/>
                <w:sz w:val="18"/>
                <w:szCs w:val="18"/>
                <w:color w:val="auto"/>
              </w:rPr>
              <w:t>16,500</w:t>
            </w:r>
          </w:p>
        </w:tc>
        <w:tc>
          <w:tcPr>
            <w:tcW w:w="0" w:type="dxa"/>
            <w:vAlign w:val="bottom"/>
          </w:tcPr>
          <w:p>
            <w:pPr>
              <w:spacing w:after="0"/>
              <w:rPr>
                <w:sz w:val="1"/>
                <w:szCs w:val="1"/>
                <w:color w:val="auto"/>
              </w:rPr>
            </w:pPr>
          </w:p>
        </w:tc>
      </w:tr>
      <w:tr>
        <w:trPr>
          <w:trHeight w:val="222"/>
        </w:trPr>
        <w:tc>
          <w:tcPr>
            <w:tcW w:w="2980" w:type="dxa"/>
            <w:vAlign w:val="bottom"/>
            <w:tcBorders>
              <w:left w:val="single" w:sz="8" w:color="auto"/>
            </w:tcBorders>
            <w:gridSpan w:val="2"/>
          </w:tcPr>
          <w:p>
            <w:pPr>
              <w:ind w:left="20"/>
              <w:spacing w:after="0" w:line="215" w:lineRule="exact"/>
              <w:rPr>
                <w:sz w:val="20"/>
                <w:szCs w:val="20"/>
                <w:color w:val="auto"/>
              </w:rPr>
            </w:pPr>
            <w:r>
              <w:rPr>
                <w:rFonts w:ascii="Calibri" w:cs="Calibri" w:eastAsia="Calibri" w:hAnsi="Calibri"/>
                <w:sz w:val="18"/>
                <w:szCs w:val="18"/>
                <w:color w:val="auto"/>
              </w:rPr>
              <w:t>Jefrey P. Oldenkamp</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6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8,250</w:t>
            </w:r>
          </w:p>
        </w:tc>
        <w:tc>
          <w:tcPr>
            <w:tcW w:w="100" w:type="dxa"/>
            <w:vAlign w:val="bottom"/>
          </w:tcPr>
          <w:p>
            <w:pPr>
              <w:spacing w:after="0"/>
              <w:rPr>
                <w:sz w:val="19"/>
                <w:szCs w:val="19"/>
                <w:color w:val="auto"/>
              </w:rPr>
            </w:pPr>
          </w:p>
        </w:tc>
        <w:tc>
          <w:tcPr>
            <w:tcW w:w="920" w:type="dxa"/>
            <w:vAlign w:val="bottom"/>
          </w:tcPr>
          <w:p>
            <w:pPr>
              <w:jc w:val="right"/>
              <w:ind w:right="713"/>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8,250</w:t>
            </w:r>
          </w:p>
        </w:tc>
        <w:tc>
          <w:tcPr>
            <w:tcW w:w="120" w:type="dxa"/>
            <w:vAlign w:val="bottom"/>
          </w:tcPr>
          <w:p>
            <w:pPr>
              <w:spacing w:after="0"/>
              <w:rPr>
                <w:sz w:val="19"/>
                <w:szCs w:val="19"/>
                <w:color w:val="auto"/>
              </w:rPr>
            </w:pPr>
          </w:p>
        </w:tc>
        <w:tc>
          <w:tcPr>
            <w:tcW w:w="420" w:type="dxa"/>
            <w:vAlign w:val="bottom"/>
          </w:tcPr>
          <w:p>
            <w:pPr>
              <w:ind w:left="20"/>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16,500</w:t>
            </w:r>
          </w:p>
        </w:tc>
        <w:tc>
          <w:tcPr>
            <w:tcW w:w="0" w:type="dxa"/>
            <w:vAlign w:val="bottom"/>
          </w:tcPr>
          <w:p>
            <w:pPr>
              <w:spacing w:after="0"/>
              <w:rPr>
                <w:sz w:val="1"/>
                <w:szCs w:val="1"/>
                <w:color w:val="auto"/>
              </w:rPr>
            </w:pPr>
          </w:p>
        </w:tc>
      </w:tr>
      <w:tr>
        <w:trPr>
          <w:trHeight w:val="237"/>
        </w:trPr>
        <w:tc>
          <w:tcPr>
            <w:tcW w:w="2980" w:type="dxa"/>
            <w:vAlign w:val="bottom"/>
            <w:tcBorders>
              <w:left w:val="single" w:sz="8" w:color="auto"/>
            </w:tcBorders>
            <w:gridSpan w:val="2"/>
            <w:shd w:val="clear" w:color="auto" w:fill="B3B3B3"/>
          </w:tcPr>
          <w:p>
            <w:pPr>
              <w:ind w:left="20"/>
              <w:spacing w:after="0"/>
              <w:rPr>
                <w:sz w:val="20"/>
                <w:szCs w:val="20"/>
                <w:color w:val="auto"/>
              </w:rPr>
            </w:pPr>
            <w:r>
              <w:rPr>
                <w:rFonts w:ascii="Calibri" w:cs="Calibri" w:eastAsia="Calibri" w:hAnsi="Calibri"/>
                <w:sz w:val="18"/>
                <w:szCs w:val="18"/>
                <w:color w:val="auto"/>
              </w:rPr>
              <w:t>Drew M. Grahek</w:t>
            </w:r>
          </w:p>
        </w:tc>
        <w:tc>
          <w:tcPr>
            <w:tcW w:w="16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w w:val="87"/>
              </w:rPr>
              <w:t>$</w:t>
            </w:r>
          </w:p>
        </w:tc>
        <w:tc>
          <w:tcPr>
            <w:tcW w:w="1660" w:type="dxa"/>
            <w:vAlign w:val="bottom"/>
            <w:gridSpan w:val="2"/>
            <w:shd w:val="clear" w:color="auto" w:fill="B3B3B3"/>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w:t>
            </w:r>
          </w:p>
        </w:tc>
        <w:tc>
          <w:tcPr>
            <w:tcW w:w="122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8,250</w:t>
            </w:r>
          </w:p>
        </w:tc>
        <w:tc>
          <w:tcPr>
            <w:tcW w:w="100" w:type="dxa"/>
            <w:vAlign w:val="bottom"/>
            <w:shd w:val="clear" w:color="auto" w:fill="B3B3B3"/>
          </w:tcPr>
          <w:p>
            <w:pPr>
              <w:spacing w:after="0"/>
              <w:rPr>
                <w:sz w:val="20"/>
                <w:szCs w:val="20"/>
                <w:color w:val="auto"/>
              </w:rPr>
            </w:pPr>
          </w:p>
        </w:tc>
        <w:tc>
          <w:tcPr>
            <w:tcW w:w="920" w:type="dxa"/>
            <w:vAlign w:val="bottom"/>
            <w:shd w:val="clear" w:color="auto" w:fill="B3B3B3"/>
          </w:tcPr>
          <w:p>
            <w:pPr>
              <w:jc w:val="right"/>
              <w:ind w:right="713"/>
              <w:spacing w:after="0"/>
              <w:rPr>
                <w:sz w:val="20"/>
                <w:szCs w:val="20"/>
                <w:color w:val="auto"/>
              </w:rPr>
            </w:pPr>
            <w:r>
              <w:rPr>
                <w:rFonts w:ascii="Calibri" w:cs="Calibri" w:eastAsia="Calibri" w:hAnsi="Calibri"/>
                <w:sz w:val="18"/>
                <w:szCs w:val="18"/>
                <w:color w:val="auto"/>
              </w:rPr>
              <w:t>$</w:t>
            </w:r>
          </w:p>
        </w:tc>
        <w:tc>
          <w:tcPr>
            <w:tcW w:w="50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8,250</w:t>
            </w:r>
          </w:p>
        </w:tc>
        <w:tc>
          <w:tcPr>
            <w:tcW w:w="120" w:type="dxa"/>
            <w:vAlign w:val="bottom"/>
            <w:shd w:val="clear" w:color="auto" w:fill="B3B3B3"/>
          </w:tcPr>
          <w:p>
            <w:pPr>
              <w:spacing w:after="0"/>
              <w:rPr>
                <w:sz w:val="20"/>
                <w:szCs w:val="20"/>
                <w:color w:val="auto"/>
              </w:rPr>
            </w:pPr>
          </w:p>
        </w:tc>
        <w:tc>
          <w:tcPr>
            <w:tcW w:w="420" w:type="dxa"/>
            <w:vAlign w:val="bottom"/>
            <w:shd w:val="clear" w:color="auto" w:fill="B3B3B3"/>
          </w:tcPr>
          <w:p>
            <w:pPr>
              <w:ind w:left="20"/>
              <w:spacing w:after="0"/>
              <w:rPr>
                <w:sz w:val="20"/>
                <w:szCs w:val="20"/>
                <w:color w:val="auto"/>
              </w:rPr>
            </w:pPr>
            <w:r>
              <w:rPr>
                <w:rFonts w:ascii="Calibri" w:cs="Calibri" w:eastAsia="Calibri" w:hAnsi="Calibri"/>
                <w:sz w:val="18"/>
                <w:szCs w:val="18"/>
                <w:color w:val="auto"/>
              </w:rPr>
              <w:t>$</w:t>
            </w:r>
          </w:p>
        </w:tc>
        <w:tc>
          <w:tcPr>
            <w:tcW w:w="1380" w:type="dxa"/>
            <w:vAlign w:val="bottom"/>
            <w:tcBorders>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16,500</w:t>
            </w:r>
          </w:p>
        </w:tc>
        <w:tc>
          <w:tcPr>
            <w:tcW w:w="0" w:type="dxa"/>
            <w:vAlign w:val="bottom"/>
          </w:tcPr>
          <w:p>
            <w:pPr>
              <w:spacing w:after="0"/>
              <w:rPr>
                <w:sz w:val="1"/>
                <w:szCs w:val="1"/>
                <w:color w:val="auto"/>
              </w:rPr>
            </w:pPr>
          </w:p>
        </w:tc>
      </w:tr>
      <w:tr>
        <w:trPr>
          <w:trHeight w:val="222"/>
        </w:trPr>
        <w:tc>
          <w:tcPr>
            <w:tcW w:w="2980" w:type="dxa"/>
            <w:vAlign w:val="bottom"/>
            <w:tcBorders>
              <w:left w:val="single" w:sz="8" w:color="auto"/>
            </w:tcBorders>
            <w:gridSpan w:val="2"/>
          </w:tcPr>
          <w:p>
            <w:pPr>
              <w:ind w:left="20"/>
              <w:spacing w:after="0" w:line="215" w:lineRule="exact"/>
              <w:rPr>
                <w:sz w:val="20"/>
                <w:szCs w:val="20"/>
                <w:color w:val="auto"/>
              </w:rPr>
            </w:pPr>
            <w:r>
              <w:rPr>
                <w:rFonts w:ascii="Calibri" w:cs="Calibri" w:eastAsia="Calibri" w:hAnsi="Calibri"/>
                <w:sz w:val="18"/>
                <w:szCs w:val="18"/>
                <w:color w:val="auto"/>
              </w:rPr>
              <w:t>Richard G. Erstad</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33,000</w:t>
            </w:r>
          </w:p>
        </w:tc>
        <w:tc>
          <w:tcPr>
            <w:tcW w:w="10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ind w:right="713"/>
              <w:spacing w:after="0" w:line="215" w:lineRule="exact"/>
              <w:rPr>
                <w:sz w:val="20"/>
                <w:szCs w:val="20"/>
                <w:color w:val="auto"/>
              </w:rPr>
            </w:pPr>
            <w:r>
              <w:rPr>
                <w:rFonts w:ascii="Calibri" w:cs="Calibri" w:eastAsia="Calibri" w:hAnsi="Calibri"/>
                <w:sz w:val="18"/>
                <w:szCs w:val="18"/>
                <w:color w:val="auto"/>
              </w:rPr>
              <w:t>$</w:t>
            </w:r>
          </w:p>
        </w:tc>
        <w:tc>
          <w:tcPr>
            <w:tcW w:w="6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tcPr>
          <w:p>
            <w:pPr>
              <w:ind w:left="20"/>
              <w:spacing w:after="0" w:line="215" w:lineRule="exact"/>
              <w:rPr>
                <w:sz w:val="20"/>
                <w:szCs w:val="20"/>
                <w:color w:val="auto"/>
              </w:rPr>
            </w:pPr>
            <w:r>
              <w:rPr>
                <w:rFonts w:ascii="Calibri" w:cs="Calibri" w:eastAsia="Calibri" w:hAnsi="Calibri"/>
                <w:sz w:val="18"/>
                <w:szCs w:val="18"/>
                <w:color w:val="auto"/>
              </w:rPr>
              <w:t>$</w:t>
            </w:r>
          </w:p>
        </w:tc>
        <w:tc>
          <w:tcPr>
            <w:tcW w:w="138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14,850</w:t>
            </w:r>
          </w:p>
        </w:tc>
        <w:tc>
          <w:tcPr>
            <w:tcW w:w="0" w:type="dxa"/>
            <w:vAlign w:val="bottom"/>
          </w:tcPr>
          <w:p>
            <w:pPr>
              <w:spacing w:after="0"/>
              <w:rPr>
                <w:sz w:val="1"/>
                <w:szCs w:val="1"/>
                <w:color w:val="auto"/>
              </w:rPr>
            </w:pPr>
          </w:p>
        </w:tc>
      </w:tr>
      <w:tr>
        <w:trPr>
          <w:trHeight w:val="230"/>
        </w:trPr>
        <w:tc>
          <w:tcPr>
            <w:tcW w:w="2980" w:type="dxa"/>
            <w:vAlign w:val="bottom"/>
            <w:tcBorders>
              <w:left w:val="single" w:sz="8" w:color="auto"/>
              <w:bottom w:val="single" w:sz="8" w:color="auto"/>
            </w:tcBorders>
            <w:gridSpan w:val="2"/>
            <w:shd w:val="clear" w:color="auto" w:fill="B3B3B3"/>
          </w:tcPr>
          <w:p>
            <w:pPr>
              <w:ind w:left="20"/>
              <w:spacing w:after="0"/>
              <w:rPr>
                <w:sz w:val="20"/>
                <w:szCs w:val="20"/>
                <w:color w:val="auto"/>
              </w:rPr>
            </w:pPr>
            <w:r>
              <w:rPr>
                <w:rFonts w:ascii="Calibri" w:cs="Calibri" w:eastAsia="Calibri" w:hAnsi="Calibri"/>
                <w:sz w:val="18"/>
                <w:szCs w:val="18"/>
                <w:color w:val="auto"/>
              </w:rPr>
              <w:t>Douglas A. Lange</w:t>
            </w:r>
          </w:p>
        </w:tc>
        <w:tc>
          <w:tcPr>
            <w:tcW w:w="160" w:type="dxa"/>
            <w:vAlign w:val="bottom"/>
            <w:tcBorders>
              <w:bottom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w w:val="87"/>
              </w:rPr>
              <w:t>$</w:t>
            </w:r>
          </w:p>
        </w:tc>
        <w:tc>
          <w:tcPr>
            <w:tcW w:w="1660" w:type="dxa"/>
            <w:vAlign w:val="bottom"/>
            <w:tcBorders>
              <w:bottom w:val="single" w:sz="8" w:color="auto"/>
            </w:tcBorders>
            <w:gridSpan w:val="2"/>
            <w:shd w:val="clear" w:color="auto" w:fill="B3B3B3"/>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w:t>
            </w:r>
          </w:p>
        </w:tc>
        <w:tc>
          <w:tcPr>
            <w:tcW w:w="1220" w:type="dxa"/>
            <w:vAlign w:val="bottom"/>
            <w:tcBorders>
              <w:bottom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8,250</w:t>
            </w:r>
          </w:p>
        </w:tc>
        <w:tc>
          <w:tcPr>
            <w:tcW w:w="100" w:type="dxa"/>
            <w:vAlign w:val="bottom"/>
            <w:tcBorders>
              <w:bottom w:val="single" w:sz="8" w:color="auto"/>
            </w:tcBorders>
            <w:shd w:val="clear" w:color="auto" w:fill="B3B3B3"/>
          </w:tcPr>
          <w:p>
            <w:pPr>
              <w:spacing w:after="0"/>
              <w:rPr>
                <w:sz w:val="20"/>
                <w:szCs w:val="20"/>
                <w:color w:val="auto"/>
              </w:rPr>
            </w:pPr>
          </w:p>
        </w:tc>
        <w:tc>
          <w:tcPr>
            <w:tcW w:w="920" w:type="dxa"/>
            <w:vAlign w:val="bottom"/>
            <w:tcBorders>
              <w:bottom w:val="single" w:sz="8" w:color="auto"/>
            </w:tcBorders>
            <w:shd w:val="clear" w:color="auto" w:fill="B3B3B3"/>
          </w:tcPr>
          <w:p>
            <w:pPr>
              <w:jc w:val="right"/>
              <w:ind w:right="713"/>
              <w:spacing w:after="0"/>
              <w:rPr>
                <w:sz w:val="20"/>
                <w:szCs w:val="20"/>
                <w:color w:val="auto"/>
              </w:rPr>
            </w:pPr>
            <w:r>
              <w:rPr>
                <w:rFonts w:ascii="Calibri" w:cs="Calibri" w:eastAsia="Calibri" w:hAnsi="Calibri"/>
                <w:sz w:val="18"/>
                <w:szCs w:val="18"/>
                <w:color w:val="auto"/>
              </w:rPr>
              <w:t>$</w:t>
            </w:r>
          </w:p>
        </w:tc>
        <w:tc>
          <w:tcPr>
            <w:tcW w:w="500" w:type="dxa"/>
            <w:vAlign w:val="bottom"/>
            <w:tcBorders>
              <w:bottom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8,250</w:t>
            </w:r>
          </w:p>
        </w:tc>
        <w:tc>
          <w:tcPr>
            <w:tcW w:w="120" w:type="dxa"/>
            <w:vAlign w:val="bottom"/>
            <w:tcBorders>
              <w:bottom w:val="single" w:sz="8" w:color="auto"/>
            </w:tcBorders>
            <w:shd w:val="clear" w:color="auto" w:fill="B3B3B3"/>
          </w:tcPr>
          <w:p>
            <w:pPr>
              <w:spacing w:after="0"/>
              <w:rPr>
                <w:sz w:val="20"/>
                <w:szCs w:val="20"/>
                <w:color w:val="auto"/>
              </w:rPr>
            </w:pPr>
          </w:p>
        </w:tc>
        <w:tc>
          <w:tcPr>
            <w:tcW w:w="420" w:type="dxa"/>
            <w:vAlign w:val="bottom"/>
            <w:tcBorders>
              <w:bottom w:val="single" w:sz="8" w:color="auto"/>
            </w:tcBorders>
            <w:shd w:val="clear" w:color="auto" w:fill="B3B3B3"/>
          </w:tcPr>
          <w:p>
            <w:pPr>
              <w:ind w:left="20"/>
              <w:spacing w:after="0"/>
              <w:rPr>
                <w:sz w:val="20"/>
                <w:szCs w:val="20"/>
                <w:color w:val="auto"/>
              </w:rPr>
            </w:pPr>
            <w:r>
              <w:rPr>
                <w:rFonts w:ascii="Calibri" w:cs="Calibri" w:eastAsia="Calibri" w:hAnsi="Calibri"/>
                <w:sz w:val="18"/>
                <w:szCs w:val="18"/>
                <w:color w:val="auto"/>
              </w:rPr>
              <w:t>$</w:t>
            </w:r>
          </w:p>
        </w:tc>
        <w:tc>
          <w:tcPr>
            <w:tcW w:w="138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16,500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740"/>
        <w:spacing w:after="0" w:line="235" w:lineRule="auto"/>
        <w:rPr>
          <w:sz w:val="20"/>
          <w:szCs w:val="20"/>
          <w:color w:val="auto"/>
        </w:rPr>
      </w:pPr>
      <w:r>
        <w:rPr>
          <w:rFonts w:ascii="Calibri" w:cs="Calibri" w:eastAsia="Calibri" w:hAnsi="Calibri"/>
          <w:sz w:val="18"/>
          <w:szCs w:val="18"/>
          <w:color w:val="auto"/>
        </w:rPr>
        <w:t>The remaining amount included for each individual, if any, consists of the personal value of a company-provided car (based on the incremental cost to the company, calculated as the personal use porton of the amortzed cost of acquiring and operatng the car). For income tax purposes, the amount included in the executve ofcer’s income is based on IRS regulatons. The company does not provide the named executve ofcers with any tax reimbursement or gross-up of this amount.</w:t>
      </w:r>
    </w:p>
    <w:p>
      <w:pPr>
        <w:spacing w:after="0" w:line="93" w:lineRule="exact"/>
        <w:rPr>
          <w:sz w:val="20"/>
          <w:szCs w:val="20"/>
          <w:color w:val="auto"/>
        </w:rPr>
      </w:pPr>
    </w:p>
    <w:p>
      <w:pPr>
        <w:spacing w:after="0"/>
        <w:tabs>
          <w:tab w:leader="none" w:pos="340" w:val="left"/>
        </w:tabs>
        <w:rPr>
          <w:sz w:val="20"/>
          <w:szCs w:val="20"/>
          <w:color w:val="auto"/>
        </w:rPr>
      </w:pPr>
      <w:r>
        <w:rPr>
          <w:rFonts w:ascii="Calibri" w:cs="Calibri" w:eastAsia="Calibri" w:hAnsi="Calibri"/>
          <w:sz w:val="18"/>
          <w:szCs w:val="18"/>
          <w:color w:val="auto"/>
        </w:rPr>
        <w:t>(d)</w:t>
        <w:tab/>
        <w:t>Mr. Lange was not a named executve ofcer for fscal 2023 or fscal 2022.</w:t>
      </w:r>
    </w:p>
    <w:p>
      <w:pPr>
        <w:spacing w:after="0" w:line="31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Grants of Plan-Based Awards</w:t>
      </w:r>
    </w:p>
    <w:p>
      <w:pPr>
        <w:spacing w:after="0" w:line="11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informaton concerning grants of plan-based awards to our named executve ofcers during fscal 2024.</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499"/>
        </w:trPr>
        <w:tc>
          <w:tcPr>
            <w:tcW w:w="1300" w:type="dxa"/>
            <w:vAlign w:val="bottom"/>
            <w:tcBorders>
              <w:top w:val="single" w:sz="8" w:color="auto"/>
              <w:lef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100" w:type="dxa"/>
            <w:vAlign w:val="bottom"/>
            <w:tcBorders>
              <w:top w:val="single" w:sz="8" w:color="auto"/>
            </w:tcBorders>
            <w:gridSpan w:val="6"/>
          </w:tcPr>
          <w:p>
            <w:pPr>
              <w:jc w:val="center"/>
              <w:ind w:right="120"/>
              <w:spacing w:after="0"/>
              <w:rPr>
                <w:sz w:val="20"/>
                <w:szCs w:val="20"/>
                <w:color w:val="auto"/>
              </w:rPr>
            </w:pPr>
            <w:r>
              <w:rPr>
                <w:rFonts w:ascii="Calibri" w:cs="Calibri" w:eastAsia="Calibri" w:hAnsi="Calibri"/>
                <w:sz w:val="14"/>
                <w:szCs w:val="14"/>
                <w:b w:val="1"/>
                <w:bCs w:val="1"/>
                <w:color w:val="auto"/>
              </w:rPr>
              <w:t>Estmated Future Payouts Under</w:t>
            </w:r>
          </w:p>
        </w:tc>
        <w:tc>
          <w:tcPr>
            <w:tcW w:w="2960" w:type="dxa"/>
            <w:vAlign w:val="bottom"/>
            <w:tcBorders>
              <w:top w:val="single" w:sz="8" w:color="auto"/>
            </w:tcBorders>
            <w:gridSpan w:val="5"/>
          </w:tcPr>
          <w:p>
            <w:pPr>
              <w:ind w:left="520"/>
              <w:spacing w:after="0"/>
              <w:rPr>
                <w:sz w:val="20"/>
                <w:szCs w:val="20"/>
                <w:color w:val="auto"/>
              </w:rPr>
            </w:pPr>
            <w:r>
              <w:rPr>
                <w:rFonts w:ascii="Calibri" w:cs="Calibri" w:eastAsia="Calibri" w:hAnsi="Calibri"/>
                <w:sz w:val="14"/>
                <w:szCs w:val="14"/>
                <w:b w:val="1"/>
                <w:bCs w:val="1"/>
                <w:color w:val="auto"/>
              </w:rPr>
              <w:t>Estmated Future Payouts Under</w:t>
            </w:r>
          </w:p>
        </w:tc>
        <w:tc>
          <w:tcPr>
            <w:tcW w:w="100" w:type="dxa"/>
            <w:vAlign w:val="bottom"/>
            <w:tcBorders>
              <w:top w:val="single" w:sz="8" w:color="auto"/>
            </w:tcBorders>
          </w:tcPr>
          <w:p>
            <w:pPr>
              <w:spacing w:after="0"/>
              <w:rPr>
                <w:sz w:val="24"/>
                <w:szCs w:val="24"/>
                <w:color w:val="auto"/>
              </w:rPr>
            </w:pPr>
          </w:p>
        </w:tc>
        <w:tc>
          <w:tcPr>
            <w:tcW w:w="13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30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6"/>
          </w:tcPr>
          <w:p>
            <w:pPr>
              <w:jc w:val="center"/>
              <w:ind w:right="120"/>
              <w:spacing w:after="0"/>
              <w:rPr>
                <w:sz w:val="20"/>
                <w:szCs w:val="20"/>
                <w:color w:val="auto"/>
              </w:rPr>
            </w:pPr>
            <w:r>
              <w:rPr>
                <w:rFonts w:ascii="Calibri" w:cs="Calibri" w:eastAsia="Calibri" w:hAnsi="Calibri"/>
                <w:sz w:val="14"/>
                <w:szCs w:val="14"/>
                <w:b w:val="1"/>
                <w:bCs w:val="1"/>
                <w:color w:val="auto"/>
              </w:rPr>
              <w:t>Non-Equity Incentve Plan Awards(a)</w:t>
            </w:r>
          </w:p>
        </w:tc>
        <w:tc>
          <w:tcPr>
            <w:tcW w:w="2960" w:type="dxa"/>
            <w:vAlign w:val="bottom"/>
            <w:gridSpan w:val="5"/>
          </w:tcPr>
          <w:p>
            <w:pPr>
              <w:ind w:left="520"/>
              <w:spacing w:after="0"/>
              <w:rPr>
                <w:sz w:val="20"/>
                <w:szCs w:val="20"/>
                <w:color w:val="auto"/>
              </w:rPr>
            </w:pPr>
            <w:r>
              <w:rPr>
                <w:rFonts w:ascii="Calibri" w:cs="Calibri" w:eastAsia="Calibri" w:hAnsi="Calibri"/>
                <w:sz w:val="14"/>
                <w:szCs w:val="14"/>
                <w:b w:val="1"/>
                <w:bCs w:val="1"/>
                <w:color w:val="auto"/>
              </w:rPr>
              <w:t>Equity Incentve Plan Awards(b)</w:t>
            </w:r>
          </w:p>
        </w:tc>
        <w:tc>
          <w:tcPr>
            <w:tcW w:w="100" w:type="dxa"/>
            <w:vAlign w:val="bottom"/>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30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4"/>
                <w:szCs w:val="14"/>
                <w:b w:val="1"/>
                <w:bCs w:val="1"/>
                <w:color w:val="auto"/>
              </w:rPr>
              <w:t>Grant Date Fair</w:t>
            </w:r>
          </w:p>
        </w:tc>
        <w:tc>
          <w:tcPr>
            <w:tcW w:w="0" w:type="dxa"/>
            <w:vAlign w:val="bottom"/>
          </w:tcPr>
          <w:p>
            <w:pPr>
              <w:spacing w:after="0"/>
              <w:rPr>
                <w:sz w:val="1"/>
                <w:szCs w:val="1"/>
                <w:color w:val="auto"/>
              </w:rPr>
            </w:pPr>
          </w:p>
        </w:tc>
      </w:tr>
      <w:tr>
        <w:trPr>
          <w:trHeight w:val="182"/>
        </w:trPr>
        <w:tc>
          <w:tcPr>
            <w:tcW w:w="13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30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Borders>
              <w:right w:val="single" w:sz="8" w:color="auto"/>
            </w:tcBorders>
          </w:tcPr>
          <w:p>
            <w:pPr>
              <w:jc w:val="center"/>
              <w:spacing w:after="0" w:line="136" w:lineRule="exact"/>
              <w:rPr>
                <w:sz w:val="20"/>
                <w:szCs w:val="20"/>
                <w:color w:val="auto"/>
              </w:rPr>
            </w:pPr>
            <w:r>
              <w:rPr>
                <w:rFonts w:ascii="Calibri" w:cs="Calibri" w:eastAsia="Calibri" w:hAnsi="Calibri"/>
                <w:sz w:val="14"/>
                <w:szCs w:val="14"/>
                <w:b w:val="1"/>
                <w:bCs w:val="1"/>
                <w:color w:val="auto"/>
              </w:rPr>
              <w:t>Value of Stock</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293"/>
              <w:spacing w:after="0" w:line="149" w:lineRule="exact"/>
              <w:rPr>
                <w:sz w:val="20"/>
                <w:szCs w:val="20"/>
                <w:color w:val="auto"/>
              </w:rPr>
            </w:pPr>
            <w:r>
              <w:rPr>
                <w:rFonts w:ascii="Calibri" w:cs="Calibri" w:eastAsia="Calibri" w:hAnsi="Calibri"/>
                <w:sz w:val="14"/>
                <w:szCs w:val="14"/>
                <w:b w:val="1"/>
                <w:bCs w:val="1"/>
                <w:color w:val="auto"/>
              </w:rPr>
              <w:t>Grant</w:t>
            </w:r>
          </w:p>
        </w:tc>
        <w:tc>
          <w:tcPr>
            <w:tcW w:w="100" w:type="dxa"/>
            <w:vAlign w:val="bottom"/>
          </w:tcPr>
          <w:p>
            <w:pPr>
              <w:spacing w:after="0"/>
              <w:rPr>
                <w:sz w:val="12"/>
                <w:szCs w:val="12"/>
                <w:color w:val="auto"/>
              </w:rPr>
            </w:pPr>
          </w:p>
        </w:tc>
        <w:tc>
          <w:tcPr>
            <w:tcW w:w="1020" w:type="dxa"/>
            <w:vAlign w:val="bottom"/>
            <w:gridSpan w:val="2"/>
          </w:tcPr>
          <w:p>
            <w:pPr>
              <w:ind w:left="160"/>
              <w:spacing w:after="0" w:line="149" w:lineRule="exact"/>
              <w:rPr>
                <w:sz w:val="20"/>
                <w:szCs w:val="20"/>
                <w:color w:val="auto"/>
              </w:rPr>
            </w:pPr>
            <w:r>
              <w:rPr>
                <w:rFonts w:ascii="Calibri" w:cs="Calibri" w:eastAsia="Calibri" w:hAnsi="Calibri"/>
                <w:sz w:val="14"/>
                <w:szCs w:val="14"/>
                <w:b w:val="1"/>
                <w:bCs w:val="1"/>
                <w:color w:val="auto"/>
              </w:rPr>
              <w:t>Threshold</w:t>
            </w:r>
          </w:p>
        </w:tc>
        <w:tc>
          <w:tcPr>
            <w:tcW w:w="1040" w:type="dxa"/>
            <w:vAlign w:val="bottom"/>
            <w:gridSpan w:val="2"/>
          </w:tcPr>
          <w:p>
            <w:pPr>
              <w:ind w:left="280"/>
              <w:spacing w:after="0" w:line="149" w:lineRule="exact"/>
              <w:rPr>
                <w:sz w:val="20"/>
                <w:szCs w:val="20"/>
                <w:color w:val="auto"/>
              </w:rPr>
            </w:pPr>
            <w:r>
              <w:rPr>
                <w:rFonts w:ascii="Calibri" w:cs="Calibri" w:eastAsia="Calibri" w:hAnsi="Calibri"/>
                <w:sz w:val="14"/>
                <w:szCs w:val="14"/>
                <w:b w:val="1"/>
                <w:bCs w:val="1"/>
                <w:color w:val="auto"/>
              </w:rPr>
              <w:t>Target</w:t>
            </w:r>
          </w:p>
        </w:tc>
        <w:tc>
          <w:tcPr>
            <w:tcW w:w="1040" w:type="dxa"/>
            <w:vAlign w:val="bottom"/>
            <w:gridSpan w:val="2"/>
          </w:tcPr>
          <w:p>
            <w:pPr>
              <w:ind w:left="160"/>
              <w:spacing w:after="0" w:line="149" w:lineRule="exact"/>
              <w:rPr>
                <w:sz w:val="20"/>
                <w:szCs w:val="20"/>
                <w:color w:val="auto"/>
              </w:rPr>
            </w:pPr>
            <w:r>
              <w:rPr>
                <w:rFonts w:ascii="Calibri" w:cs="Calibri" w:eastAsia="Calibri" w:hAnsi="Calibri"/>
                <w:sz w:val="14"/>
                <w:szCs w:val="14"/>
                <w:b w:val="1"/>
                <w:bCs w:val="1"/>
                <w:color w:val="auto"/>
              </w:rPr>
              <w:t>Maximum</w:t>
            </w:r>
          </w:p>
        </w:tc>
        <w:tc>
          <w:tcPr>
            <w:tcW w:w="1020" w:type="dxa"/>
            <w:vAlign w:val="bottom"/>
            <w:gridSpan w:val="2"/>
          </w:tcPr>
          <w:p>
            <w:pPr>
              <w:ind w:left="160"/>
              <w:spacing w:after="0" w:line="149" w:lineRule="exact"/>
              <w:rPr>
                <w:sz w:val="20"/>
                <w:szCs w:val="20"/>
                <w:color w:val="auto"/>
              </w:rPr>
            </w:pPr>
            <w:r>
              <w:rPr>
                <w:rFonts w:ascii="Calibri" w:cs="Calibri" w:eastAsia="Calibri" w:hAnsi="Calibri"/>
                <w:sz w:val="14"/>
                <w:szCs w:val="14"/>
                <w:b w:val="1"/>
                <w:bCs w:val="1"/>
                <w:color w:val="auto"/>
              </w:rPr>
              <w:t>Threshold</w:t>
            </w:r>
          </w:p>
        </w:tc>
        <w:tc>
          <w:tcPr>
            <w:tcW w:w="1020" w:type="dxa"/>
            <w:vAlign w:val="bottom"/>
            <w:gridSpan w:val="2"/>
          </w:tcPr>
          <w:p>
            <w:pPr>
              <w:ind w:left="280"/>
              <w:spacing w:after="0" w:line="149" w:lineRule="exact"/>
              <w:rPr>
                <w:sz w:val="20"/>
                <w:szCs w:val="20"/>
                <w:color w:val="auto"/>
              </w:rPr>
            </w:pPr>
            <w:r>
              <w:rPr>
                <w:rFonts w:ascii="Calibri" w:cs="Calibri" w:eastAsia="Calibri" w:hAnsi="Calibri"/>
                <w:sz w:val="14"/>
                <w:szCs w:val="14"/>
                <w:b w:val="1"/>
                <w:bCs w:val="1"/>
                <w:color w:val="auto"/>
              </w:rPr>
              <w:t>Target</w:t>
            </w:r>
          </w:p>
        </w:tc>
        <w:tc>
          <w:tcPr>
            <w:tcW w:w="920" w:type="dxa"/>
            <w:vAlign w:val="bottom"/>
          </w:tcPr>
          <w:p>
            <w:pPr>
              <w:jc w:val="right"/>
              <w:ind w:right="75"/>
              <w:spacing w:after="0" w:line="149" w:lineRule="exact"/>
              <w:rPr>
                <w:sz w:val="20"/>
                <w:szCs w:val="20"/>
                <w:color w:val="auto"/>
              </w:rPr>
            </w:pPr>
            <w:r>
              <w:rPr>
                <w:rFonts w:ascii="Calibri" w:cs="Calibri" w:eastAsia="Calibri" w:hAnsi="Calibri"/>
                <w:sz w:val="14"/>
                <w:szCs w:val="14"/>
                <w:b w:val="1"/>
                <w:bCs w:val="1"/>
                <w:color w:val="auto"/>
              </w:rPr>
              <w:t>Maximum</w:t>
            </w:r>
          </w:p>
        </w:tc>
        <w:tc>
          <w:tcPr>
            <w:tcW w:w="100" w:type="dxa"/>
            <w:vAlign w:val="bottom"/>
          </w:tcPr>
          <w:p>
            <w:pPr>
              <w:spacing w:after="0"/>
              <w:rPr>
                <w:sz w:val="12"/>
                <w:szCs w:val="12"/>
                <w:color w:val="auto"/>
              </w:rPr>
            </w:pPr>
          </w:p>
        </w:tc>
        <w:tc>
          <w:tcPr>
            <w:tcW w:w="1380" w:type="dxa"/>
            <w:vAlign w:val="bottom"/>
            <w:tcBorders>
              <w:right w:val="single" w:sz="8" w:color="auto"/>
            </w:tcBorders>
          </w:tcPr>
          <w:p>
            <w:pPr>
              <w:jc w:val="center"/>
              <w:spacing w:after="0" w:line="149" w:lineRule="exact"/>
              <w:rPr>
                <w:sz w:val="20"/>
                <w:szCs w:val="20"/>
                <w:color w:val="auto"/>
              </w:rPr>
            </w:pPr>
            <w:r>
              <w:rPr>
                <w:rFonts w:ascii="Calibri" w:cs="Calibri" w:eastAsia="Calibri" w:hAnsi="Calibri"/>
                <w:sz w:val="14"/>
                <w:szCs w:val="14"/>
                <w:b w:val="1"/>
                <w:bCs w:val="1"/>
                <w:color w:val="auto"/>
              </w:rPr>
              <w:t>Awards</w:t>
            </w:r>
          </w:p>
        </w:tc>
        <w:tc>
          <w:tcPr>
            <w:tcW w:w="0" w:type="dxa"/>
            <w:vAlign w:val="bottom"/>
          </w:tcPr>
          <w:p>
            <w:pPr>
              <w:spacing w:after="0"/>
              <w:rPr>
                <w:sz w:val="1"/>
                <w:szCs w:val="1"/>
                <w:color w:val="auto"/>
              </w:rPr>
            </w:pPr>
          </w:p>
        </w:tc>
      </w:tr>
      <w:tr>
        <w:trPr>
          <w:trHeight w:val="183"/>
        </w:trPr>
        <w:tc>
          <w:tcPr>
            <w:tcW w:w="1440" w:type="dxa"/>
            <w:vAlign w:val="bottom"/>
            <w:tcBorders>
              <w:left w:val="single" w:sz="8" w:color="auto"/>
            </w:tcBorders>
            <w:gridSpan w:val="2"/>
          </w:tcPr>
          <w:p>
            <w:pPr>
              <w:ind w:left="40"/>
              <w:spacing w:after="0"/>
              <w:rPr>
                <w:sz w:val="20"/>
                <w:szCs w:val="20"/>
                <w:color w:val="auto"/>
              </w:rPr>
            </w:pPr>
            <w:r>
              <w:rPr>
                <w:rFonts w:ascii="Calibri" w:cs="Calibri" w:eastAsia="Calibri" w:hAnsi="Calibri"/>
                <w:sz w:val="14"/>
                <w:szCs w:val="14"/>
                <w:b w:val="1"/>
                <w:bCs w:val="1"/>
                <w:color w:val="auto"/>
              </w:rPr>
              <w:t>Name</w:t>
            </w:r>
          </w:p>
        </w:tc>
        <w:tc>
          <w:tcPr>
            <w:tcW w:w="1100" w:type="dxa"/>
            <w:vAlign w:val="bottom"/>
          </w:tcPr>
          <w:p>
            <w:pPr>
              <w:jc w:val="right"/>
              <w:ind w:right="333"/>
              <w:spacing w:after="0"/>
              <w:rPr>
                <w:sz w:val="20"/>
                <w:szCs w:val="20"/>
                <w:color w:val="auto"/>
              </w:rPr>
            </w:pPr>
            <w:r>
              <w:rPr>
                <w:rFonts w:ascii="Calibri" w:cs="Calibri" w:eastAsia="Calibri" w:hAnsi="Calibri"/>
                <w:sz w:val="14"/>
                <w:szCs w:val="14"/>
                <w:b w:val="1"/>
                <w:bCs w:val="1"/>
                <w:color w:val="auto"/>
              </w:rPr>
              <w:t>Date</w:t>
            </w:r>
          </w:p>
        </w:tc>
        <w:tc>
          <w:tcPr>
            <w:tcW w:w="1020" w:type="dxa"/>
            <w:vAlign w:val="bottom"/>
            <w:gridSpan w:val="2"/>
          </w:tcPr>
          <w:p>
            <w:pPr>
              <w:jc w:val="right"/>
              <w:ind w:right="308"/>
              <w:spacing w:after="0"/>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Calibri" w:cs="Calibri" w:eastAsia="Calibri" w:hAnsi="Calibri"/>
                <w:sz w:val="14"/>
                <w:szCs w:val="14"/>
                <w:b w:val="1"/>
                <w:bCs w:val="1"/>
                <w:color w:val="auto"/>
              </w:rPr>
              <w:t>($)</w:t>
            </w:r>
          </w:p>
        </w:tc>
        <w:tc>
          <w:tcPr>
            <w:tcW w:w="120" w:type="dxa"/>
            <w:vAlign w:val="bottom"/>
          </w:tcPr>
          <w:p>
            <w:pPr>
              <w:spacing w:after="0"/>
              <w:rPr>
                <w:sz w:val="15"/>
                <w:szCs w:val="15"/>
                <w:color w:val="auto"/>
              </w:rPr>
            </w:pPr>
          </w:p>
        </w:tc>
        <w:tc>
          <w:tcPr>
            <w:tcW w:w="920" w:type="dxa"/>
            <w:vAlign w:val="bottom"/>
          </w:tcPr>
          <w:p>
            <w:pPr>
              <w:jc w:val="right"/>
              <w:ind w:right="295"/>
              <w:spacing w:after="0"/>
              <w:rPr>
                <w:sz w:val="20"/>
                <w:szCs w:val="20"/>
                <w:color w:val="auto"/>
              </w:rPr>
            </w:pPr>
            <w:r>
              <w:rPr>
                <w:rFonts w:ascii="Calibri" w:cs="Calibri" w:eastAsia="Calibri" w:hAnsi="Calibri"/>
                <w:sz w:val="14"/>
                <w:szCs w:val="14"/>
                <w:b w:val="1"/>
                <w:bCs w:val="1"/>
                <w:color w:val="auto"/>
              </w:rPr>
              <w:t>($)</w:t>
            </w:r>
          </w:p>
        </w:tc>
        <w:tc>
          <w:tcPr>
            <w:tcW w:w="120" w:type="dxa"/>
            <w:vAlign w:val="bottom"/>
          </w:tcPr>
          <w:p>
            <w:pPr>
              <w:spacing w:after="0"/>
              <w:rPr>
                <w:sz w:val="15"/>
                <w:szCs w:val="15"/>
                <w:color w:val="auto"/>
              </w:rPr>
            </w:pPr>
          </w:p>
        </w:tc>
        <w:tc>
          <w:tcPr>
            <w:tcW w:w="900" w:type="dxa"/>
            <w:vAlign w:val="bottom"/>
          </w:tcPr>
          <w:p>
            <w:pPr>
              <w:ind w:left="380"/>
              <w:spacing w:after="0"/>
              <w:rPr>
                <w:sz w:val="20"/>
                <w:szCs w:val="20"/>
                <w:color w:val="auto"/>
              </w:rPr>
            </w:pPr>
            <w:r>
              <w:rPr>
                <w:rFonts w:ascii="Calibri" w:cs="Calibri" w:eastAsia="Calibri" w:hAnsi="Calibri"/>
                <w:sz w:val="14"/>
                <w:szCs w:val="14"/>
                <w:b w:val="1"/>
                <w:bCs w:val="1"/>
                <w:color w:val="auto"/>
              </w:rPr>
              <w:t>(#)</w:t>
            </w:r>
          </w:p>
        </w:tc>
        <w:tc>
          <w:tcPr>
            <w:tcW w:w="120" w:type="dxa"/>
            <w:vAlign w:val="bottom"/>
          </w:tcPr>
          <w:p>
            <w:pPr>
              <w:spacing w:after="0"/>
              <w:rPr>
                <w:sz w:val="15"/>
                <w:szCs w:val="15"/>
                <w:color w:val="auto"/>
              </w:rPr>
            </w:pPr>
          </w:p>
        </w:tc>
        <w:tc>
          <w:tcPr>
            <w:tcW w:w="920" w:type="dxa"/>
            <w:vAlign w:val="bottom"/>
          </w:tcPr>
          <w:p>
            <w:pPr>
              <w:jc w:val="right"/>
              <w:ind w:right="295"/>
              <w:spacing w:after="0"/>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5"/>
                <w:szCs w:val="15"/>
                <w:color w:val="auto"/>
              </w:rPr>
            </w:pPr>
          </w:p>
        </w:tc>
        <w:tc>
          <w:tcPr>
            <w:tcW w:w="920" w:type="dxa"/>
            <w:vAlign w:val="bottom"/>
          </w:tcPr>
          <w:p>
            <w:pPr>
              <w:jc w:val="right"/>
              <w:ind w:right="295"/>
              <w:spacing w:after="0"/>
              <w:rPr>
                <w:sz w:val="20"/>
                <w:szCs w:val="20"/>
                <w:color w:val="auto"/>
              </w:rPr>
            </w:pPr>
            <w:r>
              <w:rPr>
                <w:rFonts w:ascii="Calibri" w:cs="Calibri" w:eastAsia="Calibri" w:hAnsi="Calibri"/>
                <w:sz w:val="14"/>
                <w:szCs w:val="14"/>
                <w:b w:val="1"/>
                <w:bCs w:val="1"/>
                <w:color w:val="auto"/>
              </w:rPr>
              <w:t>(#)</w:t>
            </w:r>
          </w:p>
        </w:tc>
        <w:tc>
          <w:tcPr>
            <w:tcW w:w="100" w:type="dxa"/>
            <w:vAlign w:val="bottom"/>
          </w:tcPr>
          <w:p>
            <w:pPr>
              <w:spacing w:after="0"/>
              <w:rPr>
                <w:sz w:val="15"/>
                <w:szCs w:val="15"/>
                <w:color w:val="auto"/>
              </w:rPr>
            </w:pP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b w:val="1"/>
                <w:bCs w:val="1"/>
                <w:color w:val="auto"/>
              </w:rPr>
              <w:t>($)(c)</w:t>
            </w:r>
          </w:p>
        </w:tc>
        <w:tc>
          <w:tcPr>
            <w:tcW w:w="0" w:type="dxa"/>
            <w:vAlign w:val="bottom"/>
          </w:tcPr>
          <w:p>
            <w:pPr>
              <w:spacing w:after="0"/>
              <w:rPr>
                <w:sz w:val="1"/>
                <w:szCs w:val="1"/>
                <w:color w:val="auto"/>
              </w:rPr>
            </w:pPr>
          </w:p>
        </w:tc>
      </w:tr>
      <w:tr>
        <w:trPr>
          <w:trHeight w:val="33"/>
        </w:trPr>
        <w:tc>
          <w:tcPr>
            <w:tcW w:w="130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00" w:type="dxa"/>
            <w:vAlign w:val="bottom"/>
            <w:tcBorders>
              <w:left w:val="single" w:sz="8" w:color="auto"/>
            </w:tcBorders>
            <w:shd w:val="clear" w:color="auto" w:fill="B3B3B3"/>
          </w:tcPr>
          <w:p>
            <w:pPr>
              <w:ind w:left="40"/>
              <w:spacing w:after="0" w:line="169" w:lineRule="exact"/>
              <w:rPr>
                <w:sz w:val="20"/>
                <w:szCs w:val="20"/>
                <w:color w:val="auto"/>
              </w:rPr>
            </w:pPr>
            <w:r>
              <w:rPr>
                <w:rFonts w:ascii="Calibri" w:cs="Calibri" w:eastAsia="Calibri" w:hAnsi="Calibri"/>
                <w:sz w:val="18"/>
                <w:szCs w:val="18"/>
                <w:color w:val="auto"/>
              </w:rPr>
              <w:t>Patrick H.</w:t>
            </w:r>
          </w:p>
        </w:tc>
        <w:tc>
          <w:tcPr>
            <w:tcW w:w="140" w:type="dxa"/>
            <w:vAlign w:val="bottom"/>
            <w:shd w:val="clear" w:color="auto" w:fill="B3B3B3"/>
          </w:tcPr>
          <w:p>
            <w:pPr>
              <w:spacing w:after="0"/>
              <w:rPr>
                <w:sz w:val="14"/>
                <w:szCs w:val="14"/>
                <w:color w:val="auto"/>
              </w:rPr>
            </w:pPr>
          </w:p>
        </w:tc>
        <w:tc>
          <w:tcPr>
            <w:tcW w:w="1100" w:type="dxa"/>
            <w:vAlign w:val="bottom"/>
            <w:shd w:val="clear" w:color="auto" w:fill="B3B3B3"/>
          </w:tcPr>
          <w:p>
            <w:pPr>
              <w:jc w:val="right"/>
              <w:spacing w:after="0" w:line="169" w:lineRule="exact"/>
              <w:rPr>
                <w:sz w:val="20"/>
                <w:szCs w:val="20"/>
                <w:color w:val="auto"/>
              </w:rPr>
            </w:pPr>
            <w:r>
              <w:rPr>
                <w:rFonts w:ascii="Calibri" w:cs="Calibri" w:eastAsia="Calibri" w:hAnsi="Calibri"/>
                <w:sz w:val="18"/>
                <w:szCs w:val="18"/>
                <w:color w:val="auto"/>
              </w:rPr>
              <w:t>5/17/2023</w:t>
            </w:r>
          </w:p>
        </w:tc>
        <w:tc>
          <w:tcPr>
            <w:tcW w:w="1020" w:type="dxa"/>
            <w:vAlign w:val="bottom"/>
            <w:gridSpan w:val="2"/>
            <w:shd w:val="clear" w:color="auto" w:fill="B3B3B3"/>
          </w:tcPr>
          <w:p>
            <w:pPr>
              <w:jc w:val="right"/>
              <w:spacing w:after="0" w:line="169" w:lineRule="exact"/>
              <w:rPr>
                <w:sz w:val="20"/>
                <w:szCs w:val="20"/>
                <w:color w:val="auto"/>
              </w:rPr>
            </w:pPr>
            <w:r>
              <w:rPr>
                <w:rFonts w:ascii="Calibri" w:cs="Calibri" w:eastAsia="Calibri" w:hAnsi="Calibri"/>
                <w:sz w:val="18"/>
                <w:szCs w:val="18"/>
                <w:color w:val="auto"/>
              </w:rPr>
              <w:t>318,500</w:t>
            </w:r>
          </w:p>
        </w:tc>
        <w:tc>
          <w:tcPr>
            <w:tcW w:w="100" w:type="dxa"/>
            <w:vAlign w:val="bottom"/>
            <w:shd w:val="clear" w:color="auto" w:fill="B3B3B3"/>
          </w:tcPr>
          <w:p>
            <w:pPr>
              <w:spacing w:after="0"/>
              <w:rPr>
                <w:sz w:val="14"/>
                <w:szCs w:val="14"/>
                <w:color w:val="auto"/>
              </w:rPr>
            </w:pPr>
          </w:p>
        </w:tc>
        <w:tc>
          <w:tcPr>
            <w:tcW w:w="920" w:type="dxa"/>
            <w:vAlign w:val="bottom"/>
            <w:shd w:val="clear" w:color="auto" w:fill="B3B3B3"/>
          </w:tcPr>
          <w:p>
            <w:pPr>
              <w:ind w:left="280"/>
              <w:spacing w:after="0" w:line="169" w:lineRule="exact"/>
              <w:rPr>
                <w:sz w:val="20"/>
                <w:szCs w:val="20"/>
                <w:color w:val="auto"/>
              </w:rPr>
            </w:pPr>
            <w:r>
              <w:rPr>
                <w:rFonts w:ascii="Calibri" w:cs="Calibri" w:eastAsia="Calibri" w:hAnsi="Calibri"/>
                <w:sz w:val="18"/>
                <w:szCs w:val="18"/>
                <w:color w:val="auto"/>
              </w:rPr>
              <w:t>637,000</w:t>
            </w:r>
          </w:p>
        </w:tc>
        <w:tc>
          <w:tcPr>
            <w:tcW w:w="120" w:type="dxa"/>
            <w:vAlign w:val="bottom"/>
            <w:shd w:val="clear" w:color="auto" w:fill="B3B3B3"/>
          </w:tcPr>
          <w:p>
            <w:pPr>
              <w:spacing w:after="0"/>
              <w:rPr>
                <w:sz w:val="14"/>
                <w:szCs w:val="14"/>
                <w:color w:val="auto"/>
              </w:rPr>
            </w:pPr>
          </w:p>
        </w:tc>
        <w:tc>
          <w:tcPr>
            <w:tcW w:w="920" w:type="dxa"/>
            <w:vAlign w:val="bottom"/>
            <w:shd w:val="clear" w:color="auto" w:fill="B3B3B3"/>
          </w:tcPr>
          <w:p>
            <w:pPr>
              <w:jc w:val="right"/>
              <w:spacing w:after="0" w:line="169" w:lineRule="exact"/>
              <w:rPr>
                <w:sz w:val="20"/>
                <w:szCs w:val="20"/>
                <w:color w:val="auto"/>
              </w:rPr>
            </w:pPr>
            <w:r>
              <w:rPr>
                <w:rFonts w:ascii="Calibri" w:cs="Calibri" w:eastAsia="Calibri" w:hAnsi="Calibri"/>
                <w:sz w:val="18"/>
                <w:szCs w:val="18"/>
                <w:color w:val="auto"/>
              </w:rPr>
              <w:t>1,274,000</w:t>
            </w:r>
          </w:p>
        </w:tc>
        <w:tc>
          <w:tcPr>
            <w:tcW w:w="120" w:type="dxa"/>
            <w:vAlign w:val="bottom"/>
            <w:shd w:val="clear" w:color="auto" w:fill="B3B3B3"/>
          </w:tcPr>
          <w:p>
            <w:pPr>
              <w:spacing w:after="0"/>
              <w:rPr>
                <w:sz w:val="14"/>
                <w:szCs w:val="14"/>
                <w:color w:val="auto"/>
              </w:rPr>
            </w:pPr>
          </w:p>
        </w:tc>
        <w:tc>
          <w:tcPr>
            <w:tcW w:w="900" w:type="dxa"/>
            <w:vAlign w:val="bottom"/>
            <w:shd w:val="clear" w:color="auto" w:fill="B3B3B3"/>
          </w:tcPr>
          <w:p>
            <w:pPr>
              <w:spacing w:after="0"/>
              <w:rPr>
                <w:sz w:val="14"/>
                <w:szCs w:val="14"/>
                <w:color w:val="auto"/>
              </w:rPr>
            </w:pPr>
          </w:p>
        </w:tc>
        <w:tc>
          <w:tcPr>
            <w:tcW w:w="120" w:type="dxa"/>
            <w:vAlign w:val="bottom"/>
            <w:shd w:val="clear" w:color="auto" w:fill="B3B3B3"/>
          </w:tcPr>
          <w:p>
            <w:pPr>
              <w:spacing w:after="0"/>
              <w:rPr>
                <w:sz w:val="14"/>
                <w:szCs w:val="14"/>
                <w:color w:val="auto"/>
              </w:rPr>
            </w:pPr>
          </w:p>
        </w:tc>
        <w:tc>
          <w:tcPr>
            <w:tcW w:w="920" w:type="dxa"/>
            <w:vAlign w:val="bottom"/>
            <w:shd w:val="clear" w:color="auto" w:fill="B3B3B3"/>
          </w:tcPr>
          <w:p>
            <w:pPr>
              <w:spacing w:after="0"/>
              <w:rPr>
                <w:sz w:val="14"/>
                <w:szCs w:val="14"/>
                <w:color w:val="auto"/>
              </w:rPr>
            </w:pPr>
          </w:p>
        </w:tc>
        <w:tc>
          <w:tcPr>
            <w:tcW w:w="100" w:type="dxa"/>
            <w:vAlign w:val="bottom"/>
            <w:shd w:val="clear" w:color="auto" w:fill="B3B3B3"/>
          </w:tcPr>
          <w:p>
            <w:pPr>
              <w:spacing w:after="0"/>
              <w:rPr>
                <w:sz w:val="14"/>
                <w:szCs w:val="14"/>
                <w:color w:val="auto"/>
              </w:rPr>
            </w:pPr>
          </w:p>
        </w:tc>
        <w:tc>
          <w:tcPr>
            <w:tcW w:w="920" w:type="dxa"/>
            <w:vAlign w:val="bottom"/>
            <w:shd w:val="clear" w:color="auto" w:fill="B3B3B3"/>
          </w:tcPr>
          <w:p>
            <w:pPr>
              <w:spacing w:after="0"/>
              <w:rPr>
                <w:sz w:val="14"/>
                <w:szCs w:val="14"/>
                <w:color w:val="auto"/>
              </w:rPr>
            </w:pPr>
          </w:p>
        </w:tc>
        <w:tc>
          <w:tcPr>
            <w:tcW w:w="100" w:type="dxa"/>
            <w:vAlign w:val="bottom"/>
            <w:shd w:val="clear" w:color="auto" w:fill="B3B3B3"/>
          </w:tcPr>
          <w:p>
            <w:pPr>
              <w:spacing w:after="0"/>
              <w:rPr>
                <w:sz w:val="14"/>
                <w:szCs w:val="14"/>
                <w:color w:val="auto"/>
              </w:rPr>
            </w:pPr>
          </w:p>
        </w:tc>
        <w:tc>
          <w:tcPr>
            <w:tcW w:w="1380" w:type="dxa"/>
            <w:vAlign w:val="bottom"/>
            <w:tcBorders>
              <w:right w:val="single" w:sz="8" w:color="auto"/>
            </w:tcBorders>
            <w:shd w:val="clear" w:color="auto" w:fill="B3B3B3"/>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440" w:type="dxa"/>
            <w:vAlign w:val="bottom"/>
            <w:tcBorders>
              <w:left w:val="single" w:sz="8" w:color="auto"/>
            </w:tcBorders>
            <w:gridSpan w:val="2"/>
            <w:shd w:val="clear" w:color="auto" w:fill="B3B3B3"/>
          </w:tcPr>
          <w:p>
            <w:pPr>
              <w:ind w:left="40"/>
              <w:spacing w:after="0" w:line="215" w:lineRule="exact"/>
              <w:rPr>
                <w:sz w:val="20"/>
                <w:szCs w:val="20"/>
                <w:color w:val="auto"/>
              </w:rPr>
            </w:pPr>
            <w:r>
              <w:rPr>
                <w:rFonts w:ascii="Calibri" w:cs="Calibri" w:eastAsia="Calibri" w:hAnsi="Calibri"/>
                <w:sz w:val="18"/>
                <w:szCs w:val="18"/>
                <w:color w:val="auto"/>
              </w:rPr>
              <w:t>Hawkins</w:t>
            </w:r>
          </w:p>
        </w:tc>
        <w:tc>
          <w:tcPr>
            <w:tcW w:w="1100" w:type="dxa"/>
            <w:vAlign w:val="bottom"/>
            <w:vMerge w:val="restart"/>
            <w:shd w:val="clear" w:color="auto" w:fill="B3B3B3"/>
          </w:tcPr>
          <w:p>
            <w:pPr>
              <w:jc w:val="right"/>
              <w:spacing w:after="0"/>
              <w:rPr>
                <w:sz w:val="20"/>
                <w:szCs w:val="20"/>
                <w:color w:val="auto"/>
              </w:rPr>
            </w:pPr>
            <w:r>
              <w:rPr>
                <w:rFonts w:ascii="Calibri" w:cs="Calibri" w:eastAsia="Calibri" w:hAnsi="Calibri"/>
                <w:sz w:val="18"/>
                <w:szCs w:val="18"/>
                <w:color w:val="auto"/>
              </w:rPr>
              <w:t>5/17/2023</w:t>
            </w:r>
          </w:p>
        </w:tc>
        <w:tc>
          <w:tcPr>
            <w:tcW w:w="10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0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2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20" w:type="dxa"/>
            <w:vAlign w:val="bottom"/>
            <w:shd w:val="clear" w:color="auto" w:fill="B3B3B3"/>
          </w:tcPr>
          <w:p>
            <w:pPr>
              <w:spacing w:after="0"/>
              <w:rPr>
                <w:sz w:val="18"/>
                <w:szCs w:val="18"/>
                <w:color w:val="auto"/>
              </w:rPr>
            </w:pPr>
          </w:p>
        </w:tc>
        <w:tc>
          <w:tcPr>
            <w:tcW w:w="900" w:type="dxa"/>
            <w:vAlign w:val="bottom"/>
            <w:vMerge w:val="restart"/>
            <w:shd w:val="clear" w:color="auto" w:fill="B3B3B3"/>
          </w:tcPr>
          <w:p>
            <w:pPr>
              <w:ind w:left="500"/>
              <w:spacing w:after="0"/>
              <w:rPr>
                <w:sz w:val="20"/>
                <w:szCs w:val="20"/>
                <w:color w:val="auto"/>
              </w:rPr>
            </w:pPr>
            <w:r>
              <w:rPr>
                <w:rFonts w:ascii="Calibri" w:cs="Calibri" w:eastAsia="Calibri" w:hAnsi="Calibri"/>
                <w:sz w:val="18"/>
                <w:szCs w:val="18"/>
                <w:color w:val="auto"/>
                <w:w w:val="92"/>
              </w:rPr>
              <w:t>7,396</w:t>
            </w:r>
          </w:p>
        </w:tc>
        <w:tc>
          <w:tcPr>
            <w:tcW w:w="120" w:type="dxa"/>
            <w:vAlign w:val="bottom"/>
            <w:shd w:val="clear" w:color="auto" w:fill="B3B3B3"/>
          </w:tcPr>
          <w:p>
            <w:pPr>
              <w:spacing w:after="0"/>
              <w:rPr>
                <w:sz w:val="18"/>
                <w:szCs w:val="18"/>
                <w:color w:val="auto"/>
              </w:rPr>
            </w:pPr>
          </w:p>
        </w:tc>
        <w:tc>
          <w:tcPr>
            <w:tcW w:w="920" w:type="dxa"/>
            <w:vAlign w:val="bottom"/>
            <w:vMerge w:val="restart"/>
            <w:shd w:val="clear" w:color="auto" w:fill="B3B3B3"/>
          </w:tcPr>
          <w:p>
            <w:pPr>
              <w:jc w:val="right"/>
              <w:spacing w:after="0"/>
              <w:rPr>
                <w:sz w:val="20"/>
                <w:szCs w:val="20"/>
                <w:color w:val="auto"/>
              </w:rPr>
            </w:pPr>
            <w:r>
              <w:rPr>
                <w:rFonts w:ascii="Calibri" w:cs="Calibri" w:eastAsia="Calibri" w:hAnsi="Calibri"/>
                <w:sz w:val="18"/>
                <w:szCs w:val="18"/>
                <w:color w:val="auto"/>
              </w:rPr>
              <w:t>14,792</w:t>
            </w:r>
          </w:p>
        </w:tc>
        <w:tc>
          <w:tcPr>
            <w:tcW w:w="100" w:type="dxa"/>
            <w:vAlign w:val="bottom"/>
            <w:shd w:val="clear" w:color="auto" w:fill="B3B3B3"/>
          </w:tcPr>
          <w:p>
            <w:pPr>
              <w:spacing w:after="0"/>
              <w:rPr>
                <w:sz w:val="18"/>
                <w:szCs w:val="18"/>
                <w:color w:val="auto"/>
              </w:rPr>
            </w:pPr>
          </w:p>
        </w:tc>
        <w:tc>
          <w:tcPr>
            <w:tcW w:w="920" w:type="dxa"/>
            <w:vAlign w:val="bottom"/>
            <w:vMerge w:val="restart"/>
            <w:shd w:val="clear" w:color="auto" w:fill="B3B3B3"/>
          </w:tcPr>
          <w:p>
            <w:pPr>
              <w:jc w:val="right"/>
              <w:spacing w:after="0"/>
              <w:rPr>
                <w:sz w:val="20"/>
                <w:szCs w:val="20"/>
                <w:color w:val="auto"/>
              </w:rPr>
            </w:pPr>
            <w:r>
              <w:rPr>
                <w:rFonts w:ascii="Calibri" w:cs="Calibri" w:eastAsia="Calibri" w:hAnsi="Calibri"/>
                <w:sz w:val="18"/>
                <w:szCs w:val="18"/>
                <w:color w:val="auto"/>
              </w:rPr>
              <w:t>22,188</w:t>
            </w:r>
          </w:p>
        </w:tc>
        <w:tc>
          <w:tcPr>
            <w:tcW w:w="1480" w:type="dxa"/>
            <w:vAlign w:val="bottom"/>
            <w:tcBorders>
              <w:right w:val="single" w:sz="8" w:color="auto"/>
            </w:tcBorders>
            <w:gridSpan w:val="2"/>
            <w:vMerge w:val="restart"/>
            <w:shd w:val="clear" w:color="auto" w:fill="B3B3B3"/>
          </w:tcPr>
          <w:p>
            <w:pPr>
              <w:jc w:val="right"/>
              <w:ind w:right="8"/>
              <w:spacing w:after="0"/>
              <w:rPr>
                <w:sz w:val="20"/>
                <w:szCs w:val="20"/>
                <w:color w:val="auto"/>
              </w:rPr>
            </w:pPr>
            <w:r>
              <w:rPr>
                <w:rFonts w:ascii="Calibri" w:cs="Calibri" w:eastAsia="Calibri" w:hAnsi="Calibri"/>
                <w:sz w:val="18"/>
                <w:szCs w:val="18"/>
                <w:color w:val="auto"/>
              </w:rPr>
              <w:t>636,944</w:t>
            </w:r>
          </w:p>
        </w:tc>
        <w:tc>
          <w:tcPr>
            <w:tcW w:w="0" w:type="dxa"/>
            <w:vAlign w:val="bottom"/>
          </w:tcPr>
          <w:p>
            <w:pPr>
              <w:spacing w:after="0"/>
              <w:rPr>
                <w:sz w:val="1"/>
                <w:szCs w:val="1"/>
                <w:color w:val="auto"/>
              </w:rPr>
            </w:pPr>
          </w:p>
        </w:tc>
      </w:tr>
      <w:tr>
        <w:trPr>
          <w:trHeight w:val="89"/>
        </w:trPr>
        <w:tc>
          <w:tcPr>
            <w:tcW w:w="1300" w:type="dxa"/>
            <w:vAlign w:val="bottom"/>
            <w:tcBorders>
              <w:left w:val="single" w:sz="8" w:color="auto"/>
              <w:bottom w:val="single" w:sz="8" w:color="B3B3B3"/>
            </w:tcBorders>
            <w:shd w:val="clear" w:color="auto" w:fill="B3B3B3"/>
          </w:tcPr>
          <w:p>
            <w:pPr>
              <w:spacing w:after="0"/>
              <w:rPr>
                <w:sz w:val="7"/>
                <w:szCs w:val="7"/>
                <w:color w:val="auto"/>
              </w:rPr>
            </w:pPr>
          </w:p>
        </w:tc>
        <w:tc>
          <w:tcPr>
            <w:tcW w:w="140" w:type="dxa"/>
            <w:vAlign w:val="bottom"/>
            <w:tcBorders>
              <w:bottom w:val="single" w:sz="8" w:color="B3B3B3"/>
            </w:tcBorders>
            <w:shd w:val="clear" w:color="auto" w:fill="B3B3B3"/>
          </w:tcPr>
          <w:p>
            <w:pPr>
              <w:spacing w:after="0"/>
              <w:rPr>
                <w:sz w:val="7"/>
                <w:szCs w:val="7"/>
                <w:color w:val="auto"/>
              </w:rPr>
            </w:pPr>
          </w:p>
        </w:tc>
        <w:tc>
          <w:tcPr>
            <w:tcW w:w="1100" w:type="dxa"/>
            <w:vAlign w:val="bottom"/>
            <w:tcBorders>
              <w:bottom w:val="single" w:sz="8" w:color="B3B3B3"/>
            </w:tcBorders>
            <w:vMerge w:val="continue"/>
            <w:shd w:val="clear" w:color="auto" w:fill="B3B3B3"/>
          </w:tcPr>
          <w:p>
            <w:pPr>
              <w:spacing w:after="0"/>
              <w:rPr>
                <w:sz w:val="7"/>
                <w:szCs w:val="7"/>
                <w:color w:val="auto"/>
              </w:rPr>
            </w:pPr>
          </w:p>
        </w:tc>
        <w:tc>
          <w:tcPr>
            <w:tcW w:w="100" w:type="dxa"/>
            <w:vAlign w:val="bottom"/>
            <w:tcBorders>
              <w:bottom w:val="single" w:sz="8" w:color="B3B3B3"/>
            </w:tcBorders>
            <w:shd w:val="clear" w:color="auto" w:fill="B3B3B3"/>
          </w:tcPr>
          <w:p>
            <w:pPr>
              <w:spacing w:after="0"/>
              <w:rPr>
                <w:sz w:val="7"/>
                <w:szCs w:val="7"/>
                <w:color w:val="auto"/>
              </w:rPr>
            </w:pPr>
          </w:p>
        </w:tc>
        <w:tc>
          <w:tcPr>
            <w:tcW w:w="920" w:type="dxa"/>
            <w:vAlign w:val="bottom"/>
            <w:tcBorders>
              <w:bottom w:val="single" w:sz="8" w:color="B3B3B3"/>
            </w:tcBorders>
            <w:shd w:val="clear" w:color="auto" w:fill="B3B3B3"/>
          </w:tcPr>
          <w:p>
            <w:pPr>
              <w:spacing w:after="0"/>
              <w:rPr>
                <w:sz w:val="7"/>
                <w:szCs w:val="7"/>
                <w:color w:val="auto"/>
              </w:rPr>
            </w:pPr>
          </w:p>
        </w:tc>
        <w:tc>
          <w:tcPr>
            <w:tcW w:w="100" w:type="dxa"/>
            <w:vAlign w:val="bottom"/>
            <w:tcBorders>
              <w:bottom w:val="single" w:sz="8" w:color="B3B3B3"/>
            </w:tcBorders>
            <w:shd w:val="clear" w:color="auto" w:fill="B3B3B3"/>
          </w:tcPr>
          <w:p>
            <w:pPr>
              <w:spacing w:after="0"/>
              <w:rPr>
                <w:sz w:val="7"/>
                <w:szCs w:val="7"/>
                <w:color w:val="auto"/>
              </w:rPr>
            </w:pPr>
          </w:p>
        </w:tc>
        <w:tc>
          <w:tcPr>
            <w:tcW w:w="920" w:type="dxa"/>
            <w:vAlign w:val="bottom"/>
            <w:tcBorders>
              <w:bottom w:val="single" w:sz="8" w:color="B3B3B3"/>
            </w:tcBorders>
            <w:shd w:val="clear" w:color="auto" w:fill="B3B3B3"/>
          </w:tcPr>
          <w:p>
            <w:pPr>
              <w:spacing w:after="0"/>
              <w:rPr>
                <w:sz w:val="7"/>
                <w:szCs w:val="7"/>
                <w:color w:val="auto"/>
              </w:rPr>
            </w:pPr>
          </w:p>
        </w:tc>
        <w:tc>
          <w:tcPr>
            <w:tcW w:w="120" w:type="dxa"/>
            <w:vAlign w:val="bottom"/>
            <w:tcBorders>
              <w:bottom w:val="single" w:sz="8" w:color="B3B3B3"/>
            </w:tcBorders>
            <w:shd w:val="clear" w:color="auto" w:fill="B3B3B3"/>
          </w:tcPr>
          <w:p>
            <w:pPr>
              <w:spacing w:after="0"/>
              <w:rPr>
                <w:sz w:val="7"/>
                <w:szCs w:val="7"/>
                <w:color w:val="auto"/>
              </w:rPr>
            </w:pPr>
          </w:p>
        </w:tc>
        <w:tc>
          <w:tcPr>
            <w:tcW w:w="920" w:type="dxa"/>
            <w:vAlign w:val="bottom"/>
            <w:tcBorders>
              <w:bottom w:val="single" w:sz="8" w:color="B3B3B3"/>
            </w:tcBorders>
            <w:shd w:val="clear" w:color="auto" w:fill="B3B3B3"/>
          </w:tcPr>
          <w:p>
            <w:pPr>
              <w:spacing w:after="0"/>
              <w:rPr>
                <w:sz w:val="7"/>
                <w:szCs w:val="7"/>
                <w:color w:val="auto"/>
              </w:rPr>
            </w:pPr>
          </w:p>
        </w:tc>
        <w:tc>
          <w:tcPr>
            <w:tcW w:w="120" w:type="dxa"/>
            <w:vAlign w:val="bottom"/>
            <w:tcBorders>
              <w:bottom w:val="single" w:sz="8" w:color="B3B3B3"/>
            </w:tcBorders>
            <w:shd w:val="clear" w:color="auto" w:fill="B3B3B3"/>
          </w:tcPr>
          <w:p>
            <w:pPr>
              <w:spacing w:after="0"/>
              <w:rPr>
                <w:sz w:val="7"/>
                <w:szCs w:val="7"/>
                <w:color w:val="auto"/>
              </w:rPr>
            </w:pPr>
          </w:p>
        </w:tc>
        <w:tc>
          <w:tcPr>
            <w:tcW w:w="900" w:type="dxa"/>
            <w:vAlign w:val="bottom"/>
            <w:tcBorders>
              <w:bottom w:val="single" w:sz="8" w:color="B3B3B3"/>
            </w:tcBorders>
            <w:vMerge w:val="continue"/>
            <w:shd w:val="clear" w:color="auto" w:fill="B3B3B3"/>
          </w:tcPr>
          <w:p>
            <w:pPr>
              <w:spacing w:after="0"/>
              <w:rPr>
                <w:sz w:val="7"/>
                <w:szCs w:val="7"/>
                <w:color w:val="auto"/>
              </w:rPr>
            </w:pPr>
          </w:p>
        </w:tc>
        <w:tc>
          <w:tcPr>
            <w:tcW w:w="120" w:type="dxa"/>
            <w:vAlign w:val="bottom"/>
            <w:tcBorders>
              <w:bottom w:val="single" w:sz="8" w:color="B3B3B3"/>
            </w:tcBorders>
            <w:shd w:val="clear" w:color="auto" w:fill="B3B3B3"/>
          </w:tcPr>
          <w:p>
            <w:pPr>
              <w:spacing w:after="0"/>
              <w:rPr>
                <w:sz w:val="7"/>
                <w:szCs w:val="7"/>
                <w:color w:val="auto"/>
              </w:rPr>
            </w:pPr>
          </w:p>
        </w:tc>
        <w:tc>
          <w:tcPr>
            <w:tcW w:w="920" w:type="dxa"/>
            <w:vAlign w:val="bottom"/>
            <w:tcBorders>
              <w:bottom w:val="single" w:sz="8" w:color="B3B3B3"/>
            </w:tcBorders>
            <w:vMerge w:val="continue"/>
            <w:shd w:val="clear" w:color="auto" w:fill="B3B3B3"/>
          </w:tcPr>
          <w:p>
            <w:pPr>
              <w:spacing w:after="0"/>
              <w:rPr>
                <w:sz w:val="7"/>
                <w:szCs w:val="7"/>
                <w:color w:val="auto"/>
              </w:rPr>
            </w:pPr>
          </w:p>
        </w:tc>
        <w:tc>
          <w:tcPr>
            <w:tcW w:w="100" w:type="dxa"/>
            <w:vAlign w:val="bottom"/>
            <w:tcBorders>
              <w:bottom w:val="single" w:sz="8" w:color="B3B3B3"/>
            </w:tcBorders>
            <w:shd w:val="clear" w:color="auto" w:fill="B3B3B3"/>
          </w:tcPr>
          <w:p>
            <w:pPr>
              <w:spacing w:after="0"/>
              <w:rPr>
                <w:sz w:val="7"/>
                <w:szCs w:val="7"/>
                <w:color w:val="auto"/>
              </w:rPr>
            </w:pPr>
          </w:p>
        </w:tc>
        <w:tc>
          <w:tcPr>
            <w:tcW w:w="920" w:type="dxa"/>
            <w:vAlign w:val="bottom"/>
            <w:tcBorders>
              <w:bottom w:val="single" w:sz="8" w:color="B3B3B3"/>
            </w:tcBorders>
            <w:vMerge w:val="continue"/>
            <w:shd w:val="clear" w:color="auto" w:fill="B3B3B3"/>
          </w:tcPr>
          <w:p>
            <w:pPr>
              <w:spacing w:after="0"/>
              <w:rPr>
                <w:sz w:val="7"/>
                <w:szCs w:val="7"/>
                <w:color w:val="auto"/>
              </w:rPr>
            </w:pPr>
          </w:p>
        </w:tc>
        <w:tc>
          <w:tcPr>
            <w:tcW w:w="1480" w:type="dxa"/>
            <w:vAlign w:val="bottom"/>
            <w:tcBorders>
              <w:bottom w:val="single" w:sz="8" w:color="B3B3B3"/>
              <w:right w:val="single" w:sz="8" w:color="auto"/>
            </w:tcBorders>
            <w:gridSpan w:val="2"/>
            <w:vMerge w:val="continue"/>
            <w:shd w:val="clear" w:color="auto" w:fill="B3B3B3"/>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440" w:type="dxa"/>
            <w:vAlign w:val="bottom"/>
            <w:tcBorders>
              <w:left w:val="single" w:sz="8" w:color="auto"/>
            </w:tcBorders>
            <w:gridSpan w:val="2"/>
          </w:tcPr>
          <w:p>
            <w:pPr>
              <w:ind w:left="40"/>
              <w:spacing w:after="0" w:line="189" w:lineRule="exact"/>
              <w:rPr>
                <w:sz w:val="20"/>
                <w:szCs w:val="20"/>
                <w:color w:val="auto"/>
              </w:rPr>
            </w:pPr>
            <w:r>
              <w:rPr>
                <w:rFonts w:ascii="Calibri" w:cs="Calibri" w:eastAsia="Calibri" w:hAnsi="Calibri"/>
                <w:sz w:val="18"/>
                <w:szCs w:val="18"/>
                <w:color w:val="auto"/>
              </w:rPr>
              <w:t>Jefrey P.</w:t>
            </w:r>
          </w:p>
        </w:tc>
        <w:tc>
          <w:tcPr>
            <w:tcW w:w="1100" w:type="dxa"/>
            <w:vAlign w:val="bottom"/>
          </w:tcPr>
          <w:p>
            <w:pPr>
              <w:jc w:val="right"/>
              <w:spacing w:after="0" w:line="189" w:lineRule="exact"/>
              <w:rPr>
                <w:sz w:val="20"/>
                <w:szCs w:val="20"/>
                <w:color w:val="auto"/>
              </w:rPr>
            </w:pPr>
            <w:r>
              <w:rPr>
                <w:rFonts w:ascii="Calibri" w:cs="Calibri" w:eastAsia="Calibri" w:hAnsi="Calibri"/>
                <w:sz w:val="18"/>
                <w:szCs w:val="18"/>
                <w:color w:val="auto"/>
              </w:rPr>
              <w:t>5/17/2023</w:t>
            </w:r>
          </w:p>
        </w:tc>
        <w:tc>
          <w:tcPr>
            <w:tcW w:w="1020" w:type="dxa"/>
            <w:vAlign w:val="bottom"/>
            <w:gridSpan w:val="2"/>
          </w:tcPr>
          <w:p>
            <w:pPr>
              <w:jc w:val="right"/>
              <w:spacing w:after="0" w:line="189" w:lineRule="exact"/>
              <w:rPr>
                <w:sz w:val="20"/>
                <w:szCs w:val="20"/>
                <w:color w:val="auto"/>
              </w:rPr>
            </w:pPr>
            <w:r>
              <w:rPr>
                <w:rFonts w:ascii="Calibri" w:cs="Calibri" w:eastAsia="Calibri" w:hAnsi="Calibri"/>
                <w:sz w:val="18"/>
                <w:szCs w:val="18"/>
                <w:color w:val="auto"/>
              </w:rPr>
              <w:t>175,500</w:t>
            </w:r>
          </w:p>
        </w:tc>
        <w:tc>
          <w:tcPr>
            <w:tcW w:w="100" w:type="dxa"/>
            <w:vAlign w:val="bottom"/>
          </w:tcPr>
          <w:p>
            <w:pPr>
              <w:spacing w:after="0"/>
              <w:rPr>
                <w:sz w:val="16"/>
                <w:szCs w:val="16"/>
                <w:color w:val="auto"/>
              </w:rPr>
            </w:pPr>
          </w:p>
        </w:tc>
        <w:tc>
          <w:tcPr>
            <w:tcW w:w="920" w:type="dxa"/>
            <w:vAlign w:val="bottom"/>
          </w:tcPr>
          <w:p>
            <w:pPr>
              <w:ind w:left="280"/>
              <w:spacing w:after="0" w:line="189" w:lineRule="exact"/>
              <w:rPr>
                <w:sz w:val="20"/>
                <w:szCs w:val="20"/>
                <w:color w:val="auto"/>
              </w:rPr>
            </w:pPr>
            <w:r>
              <w:rPr>
                <w:rFonts w:ascii="Calibri" w:cs="Calibri" w:eastAsia="Calibri" w:hAnsi="Calibri"/>
                <w:sz w:val="18"/>
                <w:szCs w:val="18"/>
                <w:color w:val="auto"/>
              </w:rPr>
              <w:t>351,000</w:t>
            </w:r>
          </w:p>
        </w:tc>
        <w:tc>
          <w:tcPr>
            <w:tcW w:w="1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Calibri" w:cs="Calibri" w:eastAsia="Calibri" w:hAnsi="Calibri"/>
                <w:sz w:val="18"/>
                <w:szCs w:val="18"/>
                <w:color w:val="auto"/>
              </w:rPr>
              <w:t>702,000</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40" w:type="dxa"/>
            <w:vAlign w:val="bottom"/>
            <w:tcBorders>
              <w:left w:val="single" w:sz="8" w:color="auto"/>
            </w:tcBorders>
            <w:gridSpan w:val="2"/>
          </w:tcPr>
          <w:p>
            <w:pPr>
              <w:ind w:left="40"/>
              <w:spacing w:after="0" w:line="215" w:lineRule="exact"/>
              <w:rPr>
                <w:sz w:val="20"/>
                <w:szCs w:val="20"/>
                <w:color w:val="auto"/>
              </w:rPr>
            </w:pPr>
            <w:r>
              <w:rPr>
                <w:rFonts w:ascii="Calibri" w:cs="Calibri" w:eastAsia="Calibri" w:hAnsi="Calibri"/>
                <w:sz w:val="18"/>
                <w:szCs w:val="18"/>
                <w:color w:val="auto"/>
              </w:rPr>
              <w:t>Oldenkamp</w:t>
            </w:r>
          </w:p>
        </w:tc>
        <w:tc>
          <w:tcPr>
            <w:tcW w:w="1100" w:type="dxa"/>
            <w:vAlign w:val="bottom"/>
            <w:vMerge w:val="restart"/>
          </w:tcPr>
          <w:p>
            <w:pPr>
              <w:jc w:val="right"/>
              <w:spacing w:after="0"/>
              <w:rPr>
                <w:sz w:val="20"/>
                <w:szCs w:val="20"/>
                <w:color w:val="auto"/>
              </w:rPr>
            </w:pPr>
            <w:r>
              <w:rPr>
                <w:rFonts w:ascii="Calibri" w:cs="Calibri" w:eastAsia="Calibri" w:hAnsi="Calibri"/>
                <w:sz w:val="18"/>
                <w:szCs w:val="18"/>
                <w:color w:val="auto"/>
              </w:rPr>
              <w:t>5/17/2023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8"/>
                <w:szCs w:val="18"/>
                <w:color w:val="auto"/>
                <w:w w:val="92"/>
              </w:rPr>
              <w:t>4,075</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Calibri" w:cs="Calibri" w:eastAsia="Calibri" w:hAnsi="Calibri"/>
                <w:sz w:val="18"/>
                <w:szCs w:val="18"/>
                <w:color w:val="auto"/>
              </w:rPr>
              <w:t>8,151</w:t>
            </w:r>
          </w:p>
        </w:tc>
        <w:tc>
          <w:tcPr>
            <w:tcW w:w="1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Calibri" w:cs="Calibri" w:eastAsia="Calibri" w:hAnsi="Calibri"/>
                <w:sz w:val="18"/>
                <w:szCs w:val="18"/>
                <w:color w:val="auto"/>
              </w:rPr>
              <w:t>12,266</w:t>
            </w:r>
          </w:p>
        </w:tc>
        <w:tc>
          <w:tcPr>
            <w:tcW w:w="1480" w:type="dxa"/>
            <w:vAlign w:val="bottom"/>
            <w:tcBorders>
              <w:right w:val="single" w:sz="8" w:color="auto"/>
            </w:tcBorders>
            <w:gridSpan w:val="2"/>
            <w:vMerge w:val="restart"/>
          </w:tcPr>
          <w:p>
            <w:pPr>
              <w:jc w:val="right"/>
              <w:ind w:right="8"/>
              <w:spacing w:after="0"/>
              <w:rPr>
                <w:sz w:val="20"/>
                <w:szCs w:val="20"/>
                <w:color w:val="auto"/>
              </w:rPr>
            </w:pPr>
            <w:r>
              <w:rPr>
                <w:rFonts w:ascii="Calibri" w:cs="Calibri" w:eastAsia="Calibri" w:hAnsi="Calibri"/>
                <w:sz w:val="18"/>
                <w:szCs w:val="18"/>
                <w:color w:val="auto"/>
              </w:rPr>
              <w:t>350,982</w:t>
            </w:r>
          </w:p>
        </w:tc>
        <w:tc>
          <w:tcPr>
            <w:tcW w:w="0" w:type="dxa"/>
            <w:vAlign w:val="bottom"/>
          </w:tcPr>
          <w:p>
            <w:pPr>
              <w:spacing w:after="0"/>
              <w:rPr>
                <w:sz w:val="1"/>
                <w:szCs w:val="1"/>
                <w:color w:val="auto"/>
              </w:rPr>
            </w:pPr>
          </w:p>
        </w:tc>
      </w:tr>
      <w:tr>
        <w:trPr>
          <w:trHeight w:val="86"/>
        </w:trPr>
        <w:tc>
          <w:tcPr>
            <w:tcW w:w="1300" w:type="dxa"/>
            <w:vAlign w:val="bottom"/>
            <w:tcBorders>
              <w:lef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4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30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300" w:type="dxa"/>
            <w:vAlign w:val="bottom"/>
            <w:tcBorders>
              <w:left w:val="single" w:sz="8" w:color="auto"/>
            </w:tcBorders>
            <w:shd w:val="clear" w:color="auto" w:fill="B3B3B3"/>
          </w:tcPr>
          <w:p>
            <w:pPr>
              <w:ind w:left="40"/>
              <w:spacing w:after="0" w:line="215" w:lineRule="exact"/>
              <w:rPr>
                <w:sz w:val="20"/>
                <w:szCs w:val="20"/>
                <w:color w:val="auto"/>
              </w:rPr>
            </w:pPr>
            <w:r>
              <w:rPr>
                <w:rFonts w:ascii="Calibri" w:cs="Calibri" w:eastAsia="Calibri" w:hAnsi="Calibri"/>
                <w:sz w:val="18"/>
                <w:szCs w:val="18"/>
                <w:color w:val="auto"/>
              </w:rPr>
              <w:t>Drew M. Grahek</w:t>
            </w:r>
          </w:p>
        </w:tc>
        <w:tc>
          <w:tcPr>
            <w:tcW w:w="140" w:type="dxa"/>
            <w:vAlign w:val="bottom"/>
            <w:shd w:val="clear" w:color="auto" w:fill="B3B3B3"/>
          </w:tcPr>
          <w:p>
            <w:pPr>
              <w:spacing w:after="0"/>
              <w:rPr>
                <w:sz w:val="20"/>
                <w:szCs w:val="20"/>
                <w:color w:val="auto"/>
              </w:rPr>
            </w:pPr>
          </w:p>
        </w:tc>
        <w:tc>
          <w:tcPr>
            <w:tcW w:w="110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5/17/2023</w:t>
            </w:r>
          </w:p>
        </w:tc>
        <w:tc>
          <w:tcPr>
            <w:tcW w:w="1020" w:type="dxa"/>
            <w:vAlign w:val="bottom"/>
            <w:gridSpan w:val="2"/>
            <w:shd w:val="clear" w:color="auto" w:fill="B3B3B3"/>
          </w:tcPr>
          <w:p>
            <w:pPr>
              <w:jc w:val="right"/>
              <w:spacing w:after="0"/>
              <w:rPr>
                <w:sz w:val="20"/>
                <w:szCs w:val="20"/>
                <w:color w:val="auto"/>
              </w:rPr>
            </w:pPr>
            <w:r>
              <w:rPr>
                <w:rFonts w:ascii="Calibri" w:cs="Calibri" w:eastAsia="Calibri" w:hAnsi="Calibri"/>
                <w:sz w:val="18"/>
                <w:szCs w:val="18"/>
                <w:color w:val="auto"/>
              </w:rPr>
              <w:t>73,600</w:t>
            </w:r>
          </w:p>
        </w:tc>
        <w:tc>
          <w:tcPr>
            <w:tcW w:w="100" w:type="dxa"/>
            <w:vAlign w:val="bottom"/>
            <w:shd w:val="clear" w:color="auto" w:fill="B3B3B3"/>
          </w:tcPr>
          <w:p>
            <w:pPr>
              <w:spacing w:after="0"/>
              <w:rPr>
                <w:sz w:val="20"/>
                <w:szCs w:val="20"/>
                <w:color w:val="auto"/>
              </w:rPr>
            </w:pPr>
          </w:p>
        </w:tc>
        <w:tc>
          <w:tcPr>
            <w:tcW w:w="920" w:type="dxa"/>
            <w:vAlign w:val="bottom"/>
            <w:shd w:val="clear" w:color="auto" w:fill="B3B3B3"/>
          </w:tcPr>
          <w:p>
            <w:pPr>
              <w:ind w:left="280"/>
              <w:spacing w:after="0"/>
              <w:rPr>
                <w:sz w:val="20"/>
                <w:szCs w:val="20"/>
                <w:color w:val="auto"/>
              </w:rPr>
            </w:pPr>
            <w:r>
              <w:rPr>
                <w:rFonts w:ascii="Calibri" w:cs="Calibri" w:eastAsia="Calibri" w:hAnsi="Calibri"/>
                <w:sz w:val="18"/>
                <w:szCs w:val="18"/>
                <w:color w:val="auto"/>
              </w:rPr>
              <w:t>147,200</w:t>
            </w:r>
          </w:p>
        </w:tc>
        <w:tc>
          <w:tcPr>
            <w:tcW w:w="120" w:type="dxa"/>
            <w:vAlign w:val="bottom"/>
            <w:shd w:val="clear" w:color="auto" w:fill="B3B3B3"/>
          </w:tcPr>
          <w:p>
            <w:pPr>
              <w:spacing w:after="0"/>
              <w:rPr>
                <w:sz w:val="20"/>
                <w:szCs w:val="20"/>
                <w:color w:val="auto"/>
              </w:rPr>
            </w:pPr>
          </w:p>
        </w:tc>
        <w:tc>
          <w:tcPr>
            <w:tcW w:w="92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294,400</w:t>
            </w:r>
          </w:p>
        </w:tc>
        <w:tc>
          <w:tcPr>
            <w:tcW w:w="120" w:type="dxa"/>
            <w:vAlign w:val="bottom"/>
            <w:shd w:val="clear" w:color="auto" w:fill="B3B3B3"/>
          </w:tcPr>
          <w:p>
            <w:pPr>
              <w:spacing w:after="0"/>
              <w:rPr>
                <w:sz w:val="20"/>
                <w:szCs w:val="20"/>
                <w:color w:val="auto"/>
              </w:rPr>
            </w:pPr>
          </w:p>
        </w:tc>
        <w:tc>
          <w:tcPr>
            <w:tcW w:w="900" w:type="dxa"/>
            <w:vAlign w:val="bottom"/>
            <w:shd w:val="clear" w:color="auto" w:fill="B3B3B3"/>
          </w:tcPr>
          <w:p>
            <w:pPr>
              <w:spacing w:after="0"/>
              <w:rPr>
                <w:sz w:val="20"/>
                <w:szCs w:val="20"/>
                <w:color w:val="auto"/>
              </w:rPr>
            </w:pPr>
          </w:p>
        </w:tc>
        <w:tc>
          <w:tcPr>
            <w:tcW w:w="120" w:type="dxa"/>
            <w:vAlign w:val="bottom"/>
            <w:shd w:val="clear" w:color="auto" w:fill="B3B3B3"/>
          </w:tcPr>
          <w:p>
            <w:pPr>
              <w:spacing w:after="0"/>
              <w:rPr>
                <w:sz w:val="20"/>
                <w:szCs w:val="20"/>
                <w:color w:val="auto"/>
              </w:rPr>
            </w:pPr>
          </w:p>
        </w:tc>
        <w:tc>
          <w:tcPr>
            <w:tcW w:w="920" w:type="dxa"/>
            <w:vAlign w:val="bottom"/>
            <w:shd w:val="clear" w:color="auto" w:fill="B3B3B3"/>
          </w:tcPr>
          <w:p>
            <w:pPr>
              <w:spacing w:after="0"/>
              <w:rPr>
                <w:sz w:val="20"/>
                <w:szCs w:val="20"/>
                <w:color w:val="auto"/>
              </w:rPr>
            </w:pPr>
          </w:p>
        </w:tc>
        <w:tc>
          <w:tcPr>
            <w:tcW w:w="100" w:type="dxa"/>
            <w:vAlign w:val="bottom"/>
            <w:shd w:val="clear" w:color="auto" w:fill="B3B3B3"/>
          </w:tcPr>
          <w:p>
            <w:pPr>
              <w:spacing w:after="0"/>
              <w:rPr>
                <w:sz w:val="20"/>
                <w:szCs w:val="20"/>
                <w:color w:val="auto"/>
              </w:rPr>
            </w:pPr>
          </w:p>
        </w:tc>
        <w:tc>
          <w:tcPr>
            <w:tcW w:w="920" w:type="dxa"/>
            <w:vAlign w:val="bottom"/>
            <w:shd w:val="clear" w:color="auto" w:fill="B3B3B3"/>
          </w:tcPr>
          <w:p>
            <w:pPr>
              <w:spacing w:after="0"/>
              <w:rPr>
                <w:sz w:val="20"/>
                <w:szCs w:val="20"/>
                <w:color w:val="auto"/>
              </w:rPr>
            </w:pPr>
          </w:p>
        </w:tc>
        <w:tc>
          <w:tcPr>
            <w:tcW w:w="100" w:type="dxa"/>
            <w:vAlign w:val="bottom"/>
            <w:shd w:val="clear" w:color="auto" w:fill="B3B3B3"/>
          </w:tcPr>
          <w:p>
            <w:pPr>
              <w:spacing w:after="0"/>
              <w:rPr>
                <w:sz w:val="20"/>
                <w:szCs w:val="20"/>
                <w:color w:val="auto"/>
              </w:rPr>
            </w:pPr>
          </w:p>
        </w:tc>
        <w:tc>
          <w:tcPr>
            <w:tcW w:w="1380" w:type="dxa"/>
            <w:vAlign w:val="bottom"/>
            <w:tcBorders>
              <w:right w:val="single" w:sz="8" w:color="auto"/>
            </w:tcBorders>
            <w:shd w:val="clear" w:color="auto" w:fill="B3B3B3"/>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1300" w:type="dxa"/>
            <w:vAlign w:val="bottom"/>
            <w:tcBorders>
              <w:left w:val="single" w:sz="8" w:color="auto"/>
              <w:bottom w:val="single" w:sz="8" w:color="B3B3B3"/>
            </w:tcBorders>
            <w:shd w:val="clear" w:color="auto" w:fill="B3B3B3"/>
          </w:tcPr>
          <w:p>
            <w:pPr>
              <w:spacing w:after="0"/>
              <w:rPr>
                <w:sz w:val="22"/>
                <w:szCs w:val="22"/>
                <w:color w:val="auto"/>
              </w:rPr>
            </w:pPr>
          </w:p>
        </w:tc>
        <w:tc>
          <w:tcPr>
            <w:tcW w:w="140" w:type="dxa"/>
            <w:vAlign w:val="bottom"/>
            <w:tcBorders>
              <w:bottom w:val="single" w:sz="8" w:color="B3B3B3"/>
            </w:tcBorders>
            <w:shd w:val="clear" w:color="auto" w:fill="B3B3B3"/>
          </w:tcPr>
          <w:p>
            <w:pPr>
              <w:spacing w:after="0"/>
              <w:rPr>
                <w:sz w:val="22"/>
                <w:szCs w:val="22"/>
                <w:color w:val="auto"/>
              </w:rPr>
            </w:pPr>
          </w:p>
        </w:tc>
        <w:tc>
          <w:tcPr>
            <w:tcW w:w="1100" w:type="dxa"/>
            <w:vAlign w:val="bottom"/>
            <w:tcBorders>
              <w:bottom w:val="single" w:sz="8" w:color="B3B3B3"/>
            </w:tcBorders>
            <w:shd w:val="clear" w:color="auto" w:fill="B3B3B3"/>
          </w:tcPr>
          <w:p>
            <w:pPr>
              <w:jc w:val="right"/>
              <w:spacing w:after="0"/>
              <w:rPr>
                <w:sz w:val="20"/>
                <w:szCs w:val="20"/>
                <w:color w:val="auto"/>
              </w:rPr>
            </w:pPr>
            <w:r>
              <w:rPr>
                <w:rFonts w:ascii="Calibri" w:cs="Calibri" w:eastAsia="Calibri" w:hAnsi="Calibri"/>
                <w:sz w:val="18"/>
                <w:szCs w:val="18"/>
                <w:color w:val="auto"/>
              </w:rPr>
              <w:t>5/17/2023</w:t>
            </w:r>
          </w:p>
        </w:tc>
        <w:tc>
          <w:tcPr>
            <w:tcW w:w="100" w:type="dxa"/>
            <w:vAlign w:val="bottom"/>
            <w:tcBorders>
              <w:bottom w:val="single" w:sz="8" w:color="B3B3B3"/>
            </w:tcBorders>
            <w:shd w:val="clear" w:color="auto" w:fill="B3B3B3"/>
          </w:tcPr>
          <w:p>
            <w:pPr>
              <w:spacing w:after="0"/>
              <w:rPr>
                <w:sz w:val="22"/>
                <w:szCs w:val="22"/>
                <w:color w:val="auto"/>
              </w:rPr>
            </w:pPr>
          </w:p>
        </w:tc>
        <w:tc>
          <w:tcPr>
            <w:tcW w:w="920" w:type="dxa"/>
            <w:vAlign w:val="bottom"/>
            <w:tcBorders>
              <w:bottom w:val="single" w:sz="8" w:color="B3B3B3"/>
            </w:tcBorders>
            <w:shd w:val="clear" w:color="auto" w:fill="B3B3B3"/>
          </w:tcPr>
          <w:p>
            <w:pPr>
              <w:spacing w:after="0"/>
              <w:rPr>
                <w:sz w:val="22"/>
                <w:szCs w:val="22"/>
                <w:color w:val="auto"/>
              </w:rPr>
            </w:pPr>
          </w:p>
        </w:tc>
        <w:tc>
          <w:tcPr>
            <w:tcW w:w="100" w:type="dxa"/>
            <w:vAlign w:val="bottom"/>
            <w:tcBorders>
              <w:bottom w:val="single" w:sz="8" w:color="B3B3B3"/>
            </w:tcBorders>
            <w:shd w:val="clear" w:color="auto" w:fill="B3B3B3"/>
          </w:tcPr>
          <w:p>
            <w:pPr>
              <w:spacing w:after="0"/>
              <w:rPr>
                <w:sz w:val="22"/>
                <w:szCs w:val="22"/>
                <w:color w:val="auto"/>
              </w:rPr>
            </w:pPr>
          </w:p>
        </w:tc>
        <w:tc>
          <w:tcPr>
            <w:tcW w:w="920" w:type="dxa"/>
            <w:vAlign w:val="bottom"/>
            <w:tcBorders>
              <w:bottom w:val="single" w:sz="8" w:color="B3B3B3"/>
            </w:tcBorders>
            <w:shd w:val="clear" w:color="auto" w:fill="B3B3B3"/>
          </w:tcPr>
          <w:p>
            <w:pPr>
              <w:spacing w:after="0"/>
              <w:rPr>
                <w:sz w:val="22"/>
                <w:szCs w:val="22"/>
                <w:color w:val="auto"/>
              </w:rPr>
            </w:pPr>
          </w:p>
        </w:tc>
        <w:tc>
          <w:tcPr>
            <w:tcW w:w="120" w:type="dxa"/>
            <w:vAlign w:val="bottom"/>
            <w:tcBorders>
              <w:bottom w:val="single" w:sz="8" w:color="B3B3B3"/>
            </w:tcBorders>
            <w:shd w:val="clear" w:color="auto" w:fill="B3B3B3"/>
          </w:tcPr>
          <w:p>
            <w:pPr>
              <w:spacing w:after="0"/>
              <w:rPr>
                <w:sz w:val="22"/>
                <w:szCs w:val="22"/>
                <w:color w:val="auto"/>
              </w:rPr>
            </w:pPr>
          </w:p>
        </w:tc>
        <w:tc>
          <w:tcPr>
            <w:tcW w:w="920" w:type="dxa"/>
            <w:vAlign w:val="bottom"/>
            <w:tcBorders>
              <w:bottom w:val="single" w:sz="8" w:color="B3B3B3"/>
            </w:tcBorders>
            <w:shd w:val="clear" w:color="auto" w:fill="B3B3B3"/>
          </w:tcPr>
          <w:p>
            <w:pPr>
              <w:spacing w:after="0"/>
              <w:rPr>
                <w:sz w:val="22"/>
                <w:szCs w:val="22"/>
                <w:color w:val="auto"/>
              </w:rPr>
            </w:pPr>
          </w:p>
        </w:tc>
        <w:tc>
          <w:tcPr>
            <w:tcW w:w="120" w:type="dxa"/>
            <w:vAlign w:val="bottom"/>
            <w:tcBorders>
              <w:bottom w:val="single" w:sz="8" w:color="B3B3B3"/>
            </w:tcBorders>
            <w:shd w:val="clear" w:color="auto" w:fill="B3B3B3"/>
          </w:tcPr>
          <w:p>
            <w:pPr>
              <w:spacing w:after="0"/>
              <w:rPr>
                <w:sz w:val="22"/>
                <w:szCs w:val="22"/>
                <w:color w:val="auto"/>
              </w:rPr>
            </w:pPr>
          </w:p>
        </w:tc>
        <w:tc>
          <w:tcPr>
            <w:tcW w:w="900" w:type="dxa"/>
            <w:vAlign w:val="bottom"/>
            <w:tcBorders>
              <w:bottom w:val="single" w:sz="8" w:color="B3B3B3"/>
            </w:tcBorders>
            <w:shd w:val="clear" w:color="auto" w:fill="B3B3B3"/>
          </w:tcPr>
          <w:p>
            <w:pPr>
              <w:ind w:left="500"/>
              <w:spacing w:after="0"/>
              <w:rPr>
                <w:sz w:val="20"/>
                <w:szCs w:val="20"/>
                <w:color w:val="auto"/>
              </w:rPr>
            </w:pPr>
            <w:r>
              <w:rPr>
                <w:rFonts w:ascii="Calibri" w:cs="Calibri" w:eastAsia="Calibri" w:hAnsi="Calibri"/>
                <w:sz w:val="18"/>
                <w:szCs w:val="18"/>
                <w:color w:val="auto"/>
                <w:w w:val="92"/>
              </w:rPr>
              <w:t>2,563</w:t>
            </w:r>
          </w:p>
        </w:tc>
        <w:tc>
          <w:tcPr>
            <w:tcW w:w="120" w:type="dxa"/>
            <w:vAlign w:val="bottom"/>
            <w:tcBorders>
              <w:bottom w:val="single" w:sz="8" w:color="B3B3B3"/>
            </w:tcBorders>
            <w:shd w:val="clear" w:color="auto" w:fill="B3B3B3"/>
          </w:tcPr>
          <w:p>
            <w:pPr>
              <w:spacing w:after="0"/>
              <w:rPr>
                <w:sz w:val="22"/>
                <w:szCs w:val="22"/>
                <w:color w:val="auto"/>
              </w:rPr>
            </w:pPr>
          </w:p>
        </w:tc>
        <w:tc>
          <w:tcPr>
            <w:tcW w:w="920" w:type="dxa"/>
            <w:vAlign w:val="bottom"/>
            <w:tcBorders>
              <w:bottom w:val="single" w:sz="8" w:color="B3B3B3"/>
            </w:tcBorders>
            <w:shd w:val="clear" w:color="auto" w:fill="B3B3B3"/>
          </w:tcPr>
          <w:p>
            <w:pPr>
              <w:jc w:val="right"/>
              <w:spacing w:after="0"/>
              <w:rPr>
                <w:sz w:val="20"/>
                <w:szCs w:val="20"/>
                <w:color w:val="auto"/>
              </w:rPr>
            </w:pPr>
            <w:r>
              <w:rPr>
                <w:rFonts w:ascii="Calibri" w:cs="Calibri" w:eastAsia="Calibri" w:hAnsi="Calibri"/>
                <w:sz w:val="18"/>
                <w:szCs w:val="18"/>
                <w:color w:val="auto"/>
              </w:rPr>
              <w:t>5,126</w:t>
            </w:r>
          </w:p>
        </w:tc>
        <w:tc>
          <w:tcPr>
            <w:tcW w:w="100" w:type="dxa"/>
            <w:vAlign w:val="bottom"/>
            <w:tcBorders>
              <w:bottom w:val="single" w:sz="8" w:color="B3B3B3"/>
            </w:tcBorders>
            <w:shd w:val="clear" w:color="auto" w:fill="B3B3B3"/>
          </w:tcPr>
          <w:p>
            <w:pPr>
              <w:spacing w:after="0"/>
              <w:rPr>
                <w:sz w:val="22"/>
                <w:szCs w:val="22"/>
                <w:color w:val="auto"/>
              </w:rPr>
            </w:pPr>
          </w:p>
        </w:tc>
        <w:tc>
          <w:tcPr>
            <w:tcW w:w="920" w:type="dxa"/>
            <w:vAlign w:val="bottom"/>
            <w:tcBorders>
              <w:bottom w:val="single" w:sz="8" w:color="B3B3B3"/>
            </w:tcBorders>
            <w:shd w:val="clear" w:color="auto" w:fill="B3B3B3"/>
          </w:tcPr>
          <w:p>
            <w:pPr>
              <w:jc w:val="right"/>
              <w:spacing w:after="0"/>
              <w:rPr>
                <w:sz w:val="20"/>
                <w:szCs w:val="20"/>
                <w:color w:val="auto"/>
              </w:rPr>
            </w:pPr>
            <w:r>
              <w:rPr>
                <w:rFonts w:ascii="Calibri" w:cs="Calibri" w:eastAsia="Calibri" w:hAnsi="Calibri"/>
                <w:sz w:val="18"/>
                <w:szCs w:val="18"/>
                <w:color w:val="auto"/>
              </w:rPr>
              <w:t>7,689</w:t>
            </w:r>
          </w:p>
        </w:tc>
        <w:tc>
          <w:tcPr>
            <w:tcW w:w="1480" w:type="dxa"/>
            <w:vAlign w:val="bottom"/>
            <w:tcBorders>
              <w:bottom w:val="single" w:sz="8" w:color="B3B3B3"/>
              <w:right w:val="single" w:sz="8" w:color="auto"/>
            </w:tcBorders>
            <w:gridSpan w:val="2"/>
            <w:shd w:val="clear" w:color="auto" w:fill="B3B3B3"/>
          </w:tcPr>
          <w:p>
            <w:pPr>
              <w:jc w:val="right"/>
              <w:ind w:right="8"/>
              <w:spacing w:after="0"/>
              <w:rPr>
                <w:sz w:val="20"/>
                <w:szCs w:val="20"/>
                <w:color w:val="auto"/>
              </w:rPr>
            </w:pPr>
            <w:r>
              <w:rPr>
                <w:rFonts w:ascii="Calibri" w:cs="Calibri" w:eastAsia="Calibri" w:hAnsi="Calibri"/>
                <w:sz w:val="18"/>
                <w:szCs w:val="18"/>
                <w:color w:val="auto"/>
              </w:rPr>
              <w:t>220,726</w:t>
            </w:r>
          </w:p>
        </w:tc>
        <w:tc>
          <w:tcPr>
            <w:tcW w:w="0" w:type="dxa"/>
            <w:vAlign w:val="bottom"/>
          </w:tcPr>
          <w:p>
            <w:pPr>
              <w:spacing w:after="0"/>
              <w:rPr>
                <w:sz w:val="1"/>
                <w:szCs w:val="1"/>
                <w:color w:val="auto"/>
              </w:rPr>
            </w:pPr>
          </w:p>
        </w:tc>
      </w:tr>
      <w:tr>
        <w:trPr>
          <w:trHeight w:val="233"/>
        </w:trPr>
        <w:tc>
          <w:tcPr>
            <w:tcW w:w="1440" w:type="dxa"/>
            <w:vAlign w:val="bottom"/>
            <w:tcBorders>
              <w:left w:val="single" w:sz="8" w:color="auto"/>
            </w:tcBorders>
            <w:gridSpan w:val="2"/>
          </w:tcPr>
          <w:p>
            <w:pPr>
              <w:ind w:left="40"/>
              <w:spacing w:after="0" w:line="215" w:lineRule="exact"/>
              <w:rPr>
                <w:sz w:val="20"/>
                <w:szCs w:val="20"/>
                <w:color w:val="auto"/>
              </w:rPr>
            </w:pPr>
            <w:r>
              <w:rPr>
                <w:rFonts w:ascii="Calibri" w:cs="Calibri" w:eastAsia="Calibri" w:hAnsi="Calibri"/>
                <w:sz w:val="18"/>
                <w:szCs w:val="18"/>
                <w:color w:val="auto"/>
              </w:rPr>
              <w:t>Richard G. Erstad</w:t>
            </w:r>
          </w:p>
        </w:tc>
        <w:tc>
          <w:tcPr>
            <w:tcW w:w="1100" w:type="dxa"/>
            <w:vAlign w:val="bottom"/>
          </w:tcPr>
          <w:p>
            <w:pPr>
              <w:jc w:val="right"/>
              <w:spacing w:after="0"/>
              <w:rPr>
                <w:sz w:val="20"/>
                <w:szCs w:val="20"/>
                <w:color w:val="auto"/>
              </w:rPr>
            </w:pPr>
            <w:r>
              <w:rPr>
                <w:rFonts w:ascii="Calibri" w:cs="Calibri" w:eastAsia="Calibri" w:hAnsi="Calibri"/>
                <w:sz w:val="18"/>
                <w:szCs w:val="18"/>
                <w:color w:val="auto"/>
              </w:rPr>
              <w:t>5/17/2023</w:t>
            </w:r>
          </w:p>
        </w:tc>
        <w:tc>
          <w:tcPr>
            <w:tcW w:w="1020" w:type="dxa"/>
            <w:vAlign w:val="bottom"/>
            <w:gridSpan w:val="2"/>
          </w:tcPr>
          <w:p>
            <w:pPr>
              <w:jc w:val="right"/>
              <w:spacing w:after="0"/>
              <w:rPr>
                <w:sz w:val="20"/>
                <w:szCs w:val="20"/>
                <w:color w:val="auto"/>
              </w:rPr>
            </w:pPr>
            <w:r>
              <w:rPr>
                <w:rFonts w:ascii="Calibri" w:cs="Calibri" w:eastAsia="Calibri" w:hAnsi="Calibri"/>
                <w:sz w:val="18"/>
                <w:szCs w:val="18"/>
                <w:color w:val="auto"/>
              </w:rPr>
              <w:t>67,400</w:t>
            </w:r>
          </w:p>
        </w:tc>
        <w:tc>
          <w:tcPr>
            <w:tcW w:w="100" w:type="dxa"/>
            <w:vAlign w:val="bottom"/>
          </w:tcPr>
          <w:p>
            <w:pPr>
              <w:spacing w:after="0"/>
              <w:rPr>
                <w:sz w:val="20"/>
                <w:szCs w:val="20"/>
                <w:color w:val="auto"/>
              </w:rPr>
            </w:pPr>
          </w:p>
        </w:tc>
        <w:tc>
          <w:tcPr>
            <w:tcW w:w="920" w:type="dxa"/>
            <w:vAlign w:val="bottom"/>
          </w:tcPr>
          <w:p>
            <w:pPr>
              <w:ind w:left="280"/>
              <w:spacing w:after="0"/>
              <w:rPr>
                <w:sz w:val="20"/>
                <w:szCs w:val="20"/>
                <w:color w:val="auto"/>
              </w:rPr>
            </w:pPr>
            <w:r>
              <w:rPr>
                <w:rFonts w:ascii="Calibri" w:cs="Calibri" w:eastAsia="Calibri" w:hAnsi="Calibri"/>
                <w:sz w:val="18"/>
                <w:szCs w:val="18"/>
                <w:color w:val="auto"/>
              </w:rPr>
              <w:t>134,800</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auto"/>
              </w:rPr>
              <w:t>269,600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0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5/17/2023</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ind w:left="500"/>
              <w:spacing w:after="0"/>
              <w:rPr>
                <w:sz w:val="20"/>
                <w:szCs w:val="20"/>
                <w:color w:val="auto"/>
              </w:rPr>
            </w:pPr>
            <w:r>
              <w:rPr>
                <w:rFonts w:ascii="Calibri" w:cs="Calibri" w:eastAsia="Calibri" w:hAnsi="Calibri"/>
                <w:sz w:val="18"/>
                <w:szCs w:val="18"/>
                <w:color w:val="auto"/>
                <w:w w:val="92"/>
              </w:rPr>
              <w:t>2,543</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auto"/>
              </w:rPr>
              <w:t>5,087</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auto"/>
              </w:rPr>
              <w:t>7,630</w:t>
            </w:r>
          </w:p>
        </w:tc>
        <w:tc>
          <w:tcPr>
            <w:tcW w:w="1480" w:type="dxa"/>
            <w:vAlign w:val="bottom"/>
            <w:tcBorders>
              <w:right w:val="single" w:sz="8" w:color="auto"/>
            </w:tcBorders>
            <w:gridSpan w:val="2"/>
          </w:tcPr>
          <w:p>
            <w:pPr>
              <w:jc w:val="right"/>
              <w:ind w:right="8"/>
              <w:spacing w:after="0"/>
              <w:rPr>
                <w:sz w:val="20"/>
                <w:szCs w:val="20"/>
                <w:color w:val="auto"/>
              </w:rPr>
            </w:pPr>
            <w:r>
              <w:rPr>
                <w:rFonts w:ascii="Calibri" w:cs="Calibri" w:eastAsia="Calibri" w:hAnsi="Calibri"/>
                <w:sz w:val="18"/>
                <w:szCs w:val="18"/>
                <w:color w:val="auto"/>
              </w:rPr>
              <w:t>219,046</w:t>
            </w:r>
          </w:p>
        </w:tc>
        <w:tc>
          <w:tcPr>
            <w:tcW w:w="0" w:type="dxa"/>
            <w:vAlign w:val="bottom"/>
          </w:tcPr>
          <w:p>
            <w:pPr>
              <w:spacing w:after="0"/>
              <w:rPr>
                <w:sz w:val="1"/>
                <w:szCs w:val="1"/>
                <w:color w:val="auto"/>
              </w:rPr>
            </w:pPr>
          </w:p>
        </w:tc>
      </w:tr>
      <w:tr>
        <w:trPr>
          <w:trHeight w:val="23"/>
        </w:trPr>
        <w:tc>
          <w:tcPr>
            <w:tcW w:w="1440" w:type="dxa"/>
            <w:vAlign w:val="bottom"/>
            <w:tcBorders>
              <w:left w:val="single" w:sz="8" w:color="auto"/>
            </w:tcBorders>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440" w:type="dxa"/>
            <w:vAlign w:val="bottom"/>
            <w:tcBorders>
              <w:left w:val="single" w:sz="8" w:color="auto"/>
            </w:tcBorders>
            <w:gridSpan w:val="2"/>
            <w:shd w:val="clear" w:color="auto" w:fill="B6B6B6"/>
          </w:tcPr>
          <w:p>
            <w:pPr>
              <w:ind w:left="40"/>
              <w:spacing w:after="0" w:line="215" w:lineRule="exact"/>
              <w:rPr>
                <w:sz w:val="20"/>
                <w:szCs w:val="20"/>
                <w:color w:val="auto"/>
              </w:rPr>
            </w:pPr>
            <w:r>
              <w:rPr>
                <w:rFonts w:ascii="Calibri" w:cs="Calibri" w:eastAsia="Calibri" w:hAnsi="Calibri"/>
                <w:sz w:val="18"/>
                <w:szCs w:val="18"/>
                <w:color w:val="auto"/>
              </w:rPr>
              <w:t>Douglas A. Lange</w:t>
            </w:r>
          </w:p>
        </w:tc>
        <w:tc>
          <w:tcPr>
            <w:tcW w:w="1100" w:type="dxa"/>
            <w:vAlign w:val="bottom"/>
            <w:shd w:val="clear" w:color="auto" w:fill="B6B6B6"/>
          </w:tcPr>
          <w:p>
            <w:pPr>
              <w:jc w:val="right"/>
              <w:spacing w:after="0"/>
              <w:rPr>
                <w:sz w:val="20"/>
                <w:szCs w:val="20"/>
                <w:color w:val="auto"/>
              </w:rPr>
            </w:pPr>
            <w:r>
              <w:rPr>
                <w:rFonts w:ascii="Calibri" w:cs="Calibri" w:eastAsia="Calibri" w:hAnsi="Calibri"/>
                <w:sz w:val="18"/>
                <w:szCs w:val="18"/>
                <w:color w:val="auto"/>
              </w:rPr>
              <w:t>5/17/2023</w:t>
            </w:r>
          </w:p>
        </w:tc>
        <w:tc>
          <w:tcPr>
            <w:tcW w:w="1020" w:type="dxa"/>
            <w:vAlign w:val="bottom"/>
            <w:gridSpan w:val="2"/>
            <w:shd w:val="clear" w:color="auto" w:fill="B6B6B6"/>
          </w:tcPr>
          <w:p>
            <w:pPr>
              <w:jc w:val="right"/>
              <w:spacing w:after="0"/>
              <w:rPr>
                <w:sz w:val="20"/>
                <w:szCs w:val="20"/>
                <w:color w:val="auto"/>
              </w:rPr>
            </w:pPr>
            <w:r>
              <w:rPr>
                <w:rFonts w:ascii="Calibri" w:cs="Calibri" w:eastAsia="Calibri" w:hAnsi="Calibri"/>
                <w:sz w:val="18"/>
                <w:szCs w:val="18"/>
                <w:color w:val="auto"/>
              </w:rPr>
              <w:t>67,400</w:t>
            </w:r>
          </w:p>
        </w:tc>
        <w:tc>
          <w:tcPr>
            <w:tcW w:w="100" w:type="dxa"/>
            <w:vAlign w:val="bottom"/>
            <w:shd w:val="clear" w:color="auto" w:fill="B6B6B6"/>
          </w:tcPr>
          <w:p>
            <w:pPr>
              <w:spacing w:after="0"/>
              <w:rPr>
                <w:sz w:val="20"/>
                <w:szCs w:val="20"/>
                <w:color w:val="auto"/>
              </w:rPr>
            </w:pPr>
          </w:p>
        </w:tc>
        <w:tc>
          <w:tcPr>
            <w:tcW w:w="920" w:type="dxa"/>
            <w:vAlign w:val="bottom"/>
            <w:shd w:val="clear" w:color="auto" w:fill="B6B6B6"/>
          </w:tcPr>
          <w:p>
            <w:pPr>
              <w:ind w:left="280"/>
              <w:spacing w:after="0"/>
              <w:rPr>
                <w:sz w:val="20"/>
                <w:szCs w:val="20"/>
                <w:color w:val="auto"/>
              </w:rPr>
            </w:pPr>
            <w:r>
              <w:rPr>
                <w:rFonts w:ascii="Calibri" w:cs="Calibri" w:eastAsia="Calibri" w:hAnsi="Calibri"/>
                <w:sz w:val="18"/>
                <w:szCs w:val="18"/>
                <w:color w:val="auto"/>
              </w:rPr>
              <w:t>134,800</w:t>
            </w:r>
          </w:p>
        </w:tc>
        <w:tc>
          <w:tcPr>
            <w:tcW w:w="120" w:type="dxa"/>
            <w:vAlign w:val="bottom"/>
            <w:shd w:val="clear" w:color="auto" w:fill="B6B6B6"/>
          </w:tcPr>
          <w:p>
            <w:pPr>
              <w:spacing w:after="0"/>
              <w:rPr>
                <w:sz w:val="20"/>
                <w:szCs w:val="20"/>
                <w:color w:val="auto"/>
              </w:rPr>
            </w:pPr>
          </w:p>
        </w:tc>
        <w:tc>
          <w:tcPr>
            <w:tcW w:w="920" w:type="dxa"/>
            <w:vAlign w:val="bottom"/>
            <w:shd w:val="clear" w:color="auto" w:fill="B6B6B6"/>
          </w:tcPr>
          <w:p>
            <w:pPr>
              <w:jc w:val="right"/>
              <w:spacing w:after="0"/>
              <w:rPr>
                <w:sz w:val="20"/>
                <w:szCs w:val="20"/>
                <w:color w:val="auto"/>
              </w:rPr>
            </w:pPr>
            <w:r>
              <w:rPr>
                <w:rFonts w:ascii="Calibri" w:cs="Calibri" w:eastAsia="Calibri" w:hAnsi="Calibri"/>
                <w:sz w:val="18"/>
                <w:szCs w:val="18"/>
                <w:color w:val="auto"/>
              </w:rPr>
              <w:t>269,600</w:t>
            </w:r>
          </w:p>
        </w:tc>
        <w:tc>
          <w:tcPr>
            <w:tcW w:w="120" w:type="dxa"/>
            <w:vAlign w:val="bottom"/>
            <w:shd w:val="clear" w:color="auto" w:fill="B6B6B6"/>
          </w:tcPr>
          <w:p>
            <w:pPr>
              <w:spacing w:after="0"/>
              <w:rPr>
                <w:sz w:val="20"/>
                <w:szCs w:val="20"/>
                <w:color w:val="auto"/>
              </w:rPr>
            </w:pPr>
          </w:p>
        </w:tc>
        <w:tc>
          <w:tcPr>
            <w:tcW w:w="900" w:type="dxa"/>
            <w:vAlign w:val="bottom"/>
            <w:shd w:val="clear" w:color="auto" w:fill="B6B6B6"/>
          </w:tcPr>
          <w:p>
            <w:pPr>
              <w:spacing w:after="0"/>
              <w:rPr>
                <w:sz w:val="20"/>
                <w:szCs w:val="20"/>
                <w:color w:val="auto"/>
              </w:rPr>
            </w:pPr>
          </w:p>
        </w:tc>
        <w:tc>
          <w:tcPr>
            <w:tcW w:w="120" w:type="dxa"/>
            <w:vAlign w:val="bottom"/>
            <w:shd w:val="clear" w:color="auto" w:fill="B6B6B6"/>
          </w:tcPr>
          <w:p>
            <w:pPr>
              <w:spacing w:after="0"/>
              <w:rPr>
                <w:sz w:val="20"/>
                <w:szCs w:val="20"/>
                <w:color w:val="auto"/>
              </w:rPr>
            </w:pPr>
          </w:p>
        </w:tc>
        <w:tc>
          <w:tcPr>
            <w:tcW w:w="920" w:type="dxa"/>
            <w:vAlign w:val="bottom"/>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920" w:type="dxa"/>
            <w:vAlign w:val="bottom"/>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1380" w:type="dxa"/>
            <w:vAlign w:val="bottom"/>
            <w:tcBorders>
              <w:right w:val="single" w:sz="8" w:color="auto"/>
            </w:tcBorders>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1300" w:type="dxa"/>
            <w:vAlign w:val="bottom"/>
            <w:tcBorders>
              <w:left w:val="single" w:sz="8" w:color="auto"/>
              <w:bottom w:val="single" w:sz="8" w:color="B6B6B6"/>
            </w:tcBorders>
            <w:shd w:val="clear" w:color="auto" w:fill="B6B6B6"/>
          </w:tcPr>
          <w:p>
            <w:pPr>
              <w:spacing w:after="0"/>
              <w:rPr>
                <w:sz w:val="22"/>
                <w:szCs w:val="22"/>
                <w:color w:val="auto"/>
              </w:rPr>
            </w:pPr>
          </w:p>
        </w:tc>
        <w:tc>
          <w:tcPr>
            <w:tcW w:w="140" w:type="dxa"/>
            <w:vAlign w:val="bottom"/>
            <w:tcBorders>
              <w:bottom w:val="single" w:sz="8" w:color="B6B6B6"/>
            </w:tcBorders>
            <w:shd w:val="clear" w:color="auto" w:fill="B6B6B6"/>
          </w:tcPr>
          <w:p>
            <w:pPr>
              <w:spacing w:after="0"/>
              <w:rPr>
                <w:sz w:val="22"/>
                <w:szCs w:val="22"/>
                <w:color w:val="auto"/>
              </w:rPr>
            </w:pPr>
          </w:p>
        </w:tc>
        <w:tc>
          <w:tcPr>
            <w:tcW w:w="1100" w:type="dxa"/>
            <w:vAlign w:val="bottom"/>
            <w:tcBorders>
              <w:bottom w:val="single" w:sz="8" w:color="B6B6B6"/>
            </w:tcBorders>
            <w:shd w:val="clear" w:color="auto" w:fill="B6B6B6"/>
          </w:tcPr>
          <w:p>
            <w:pPr>
              <w:jc w:val="right"/>
              <w:spacing w:after="0"/>
              <w:rPr>
                <w:sz w:val="20"/>
                <w:szCs w:val="20"/>
                <w:color w:val="auto"/>
              </w:rPr>
            </w:pPr>
            <w:r>
              <w:rPr>
                <w:rFonts w:ascii="Calibri" w:cs="Calibri" w:eastAsia="Calibri" w:hAnsi="Calibri"/>
                <w:sz w:val="18"/>
                <w:szCs w:val="18"/>
                <w:color w:val="auto"/>
              </w:rPr>
              <w:t>5/17/2023</w:t>
            </w:r>
          </w:p>
        </w:tc>
        <w:tc>
          <w:tcPr>
            <w:tcW w:w="100" w:type="dxa"/>
            <w:vAlign w:val="bottom"/>
            <w:tcBorders>
              <w:bottom w:val="single" w:sz="8" w:color="B6B6B6"/>
            </w:tcBorders>
            <w:shd w:val="clear" w:color="auto" w:fill="B6B6B6"/>
          </w:tcPr>
          <w:p>
            <w:pPr>
              <w:spacing w:after="0"/>
              <w:rPr>
                <w:sz w:val="22"/>
                <w:szCs w:val="22"/>
                <w:color w:val="auto"/>
              </w:rPr>
            </w:pPr>
          </w:p>
        </w:tc>
        <w:tc>
          <w:tcPr>
            <w:tcW w:w="920" w:type="dxa"/>
            <w:vAlign w:val="bottom"/>
            <w:tcBorders>
              <w:bottom w:val="single" w:sz="8" w:color="B6B6B6"/>
            </w:tcBorders>
            <w:shd w:val="clear" w:color="auto" w:fill="B6B6B6"/>
          </w:tcPr>
          <w:p>
            <w:pPr>
              <w:spacing w:after="0"/>
              <w:rPr>
                <w:sz w:val="22"/>
                <w:szCs w:val="22"/>
                <w:color w:val="auto"/>
              </w:rPr>
            </w:pPr>
          </w:p>
        </w:tc>
        <w:tc>
          <w:tcPr>
            <w:tcW w:w="100" w:type="dxa"/>
            <w:vAlign w:val="bottom"/>
            <w:tcBorders>
              <w:bottom w:val="single" w:sz="8" w:color="B6B6B6"/>
            </w:tcBorders>
            <w:shd w:val="clear" w:color="auto" w:fill="B6B6B6"/>
          </w:tcPr>
          <w:p>
            <w:pPr>
              <w:spacing w:after="0"/>
              <w:rPr>
                <w:sz w:val="22"/>
                <w:szCs w:val="22"/>
                <w:color w:val="auto"/>
              </w:rPr>
            </w:pPr>
          </w:p>
        </w:tc>
        <w:tc>
          <w:tcPr>
            <w:tcW w:w="920" w:type="dxa"/>
            <w:vAlign w:val="bottom"/>
            <w:tcBorders>
              <w:bottom w:val="single" w:sz="8" w:color="B6B6B6"/>
            </w:tcBorders>
            <w:shd w:val="clear" w:color="auto" w:fill="B6B6B6"/>
          </w:tcPr>
          <w:p>
            <w:pPr>
              <w:spacing w:after="0"/>
              <w:rPr>
                <w:sz w:val="22"/>
                <w:szCs w:val="22"/>
                <w:color w:val="auto"/>
              </w:rPr>
            </w:pPr>
          </w:p>
        </w:tc>
        <w:tc>
          <w:tcPr>
            <w:tcW w:w="120" w:type="dxa"/>
            <w:vAlign w:val="bottom"/>
            <w:tcBorders>
              <w:bottom w:val="single" w:sz="8" w:color="B6B6B6"/>
            </w:tcBorders>
            <w:shd w:val="clear" w:color="auto" w:fill="B6B6B6"/>
          </w:tcPr>
          <w:p>
            <w:pPr>
              <w:spacing w:after="0"/>
              <w:rPr>
                <w:sz w:val="22"/>
                <w:szCs w:val="22"/>
                <w:color w:val="auto"/>
              </w:rPr>
            </w:pPr>
          </w:p>
        </w:tc>
        <w:tc>
          <w:tcPr>
            <w:tcW w:w="920" w:type="dxa"/>
            <w:vAlign w:val="bottom"/>
            <w:tcBorders>
              <w:bottom w:val="single" w:sz="8" w:color="B6B6B6"/>
            </w:tcBorders>
            <w:shd w:val="clear" w:color="auto" w:fill="B6B6B6"/>
          </w:tcPr>
          <w:p>
            <w:pPr>
              <w:spacing w:after="0"/>
              <w:rPr>
                <w:sz w:val="22"/>
                <w:szCs w:val="22"/>
                <w:color w:val="auto"/>
              </w:rPr>
            </w:pPr>
          </w:p>
        </w:tc>
        <w:tc>
          <w:tcPr>
            <w:tcW w:w="120" w:type="dxa"/>
            <w:vAlign w:val="bottom"/>
            <w:tcBorders>
              <w:bottom w:val="single" w:sz="8" w:color="B6B6B6"/>
            </w:tcBorders>
            <w:shd w:val="clear" w:color="auto" w:fill="B6B6B6"/>
          </w:tcPr>
          <w:p>
            <w:pPr>
              <w:spacing w:after="0"/>
              <w:rPr>
                <w:sz w:val="22"/>
                <w:szCs w:val="22"/>
                <w:color w:val="auto"/>
              </w:rPr>
            </w:pPr>
          </w:p>
        </w:tc>
        <w:tc>
          <w:tcPr>
            <w:tcW w:w="900" w:type="dxa"/>
            <w:vAlign w:val="bottom"/>
            <w:tcBorders>
              <w:bottom w:val="single" w:sz="8" w:color="B6B6B6"/>
            </w:tcBorders>
            <w:shd w:val="clear" w:color="auto" w:fill="B6B6B6"/>
          </w:tcPr>
          <w:p>
            <w:pPr>
              <w:ind w:left="500"/>
              <w:spacing w:after="0"/>
              <w:rPr>
                <w:sz w:val="20"/>
                <w:szCs w:val="20"/>
                <w:color w:val="auto"/>
              </w:rPr>
            </w:pPr>
            <w:r>
              <w:rPr>
                <w:rFonts w:ascii="Calibri" w:cs="Calibri" w:eastAsia="Calibri" w:hAnsi="Calibri"/>
                <w:sz w:val="18"/>
                <w:szCs w:val="18"/>
                <w:color w:val="auto"/>
                <w:w w:val="92"/>
              </w:rPr>
              <w:t>2,347</w:t>
            </w:r>
          </w:p>
        </w:tc>
        <w:tc>
          <w:tcPr>
            <w:tcW w:w="120" w:type="dxa"/>
            <w:vAlign w:val="bottom"/>
            <w:tcBorders>
              <w:bottom w:val="single" w:sz="8" w:color="B6B6B6"/>
            </w:tcBorders>
            <w:shd w:val="clear" w:color="auto" w:fill="B6B6B6"/>
          </w:tcPr>
          <w:p>
            <w:pPr>
              <w:spacing w:after="0"/>
              <w:rPr>
                <w:sz w:val="22"/>
                <w:szCs w:val="22"/>
                <w:color w:val="auto"/>
              </w:rPr>
            </w:pPr>
          </w:p>
        </w:tc>
        <w:tc>
          <w:tcPr>
            <w:tcW w:w="920" w:type="dxa"/>
            <w:vAlign w:val="bottom"/>
            <w:tcBorders>
              <w:bottom w:val="single" w:sz="8" w:color="B6B6B6"/>
            </w:tcBorders>
            <w:shd w:val="clear" w:color="auto" w:fill="B6B6B6"/>
          </w:tcPr>
          <w:p>
            <w:pPr>
              <w:jc w:val="right"/>
              <w:spacing w:after="0"/>
              <w:rPr>
                <w:sz w:val="20"/>
                <w:szCs w:val="20"/>
                <w:color w:val="auto"/>
              </w:rPr>
            </w:pPr>
            <w:r>
              <w:rPr>
                <w:rFonts w:ascii="Calibri" w:cs="Calibri" w:eastAsia="Calibri" w:hAnsi="Calibri"/>
                <w:sz w:val="18"/>
                <w:szCs w:val="18"/>
                <w:color w:val="auto"/>
              </w:rPr>
              <w:t>4,695</w:t>
            </w:r>
          </w:p>
        </w:tc>
        <w:tc>
          <w:tcPr>
            <w:tcW w:w="100" w:type="dxa"/>
            <w:vAlign w:val="bottom"/>
            <w:tcBorders>
              <w:bottom w:val="single" w:sz="8" w:color="B6B6B6"/>
            </w:tcBorders>
            <w:shd w:val="clear" w:color="auto" w:fill="B6B6B6"/>
          </w:tcPr>
          <w:p>
            <w:pPr>
              <w:spacing w:after="0"/>
              <w:rPr>
                <w:sz w:val="22"/>
                <w:szCs w:val="22"/>
                <w:color w:val="auto"/>
              </w:rPr>
            </w:pPr>
          </w:p>
        </w:tc>
        <w:tc>
          <w:tcPr>
            <w:tcW w:w="920" w:type="dxa"/>
            <w:vAlign w:val="bottom"/>
            <w:tcBorders>
              <w:bottom w:val="single" w:sz="8" w:color="B6B6B6"/>
            </w:tcBorders>
            <w:shd w:val="clear" w:color="auto" w:fill="B6B6B6"/>
          </w:tcPr>
          <w:p>
            <w:pPr>
              <w:jc w:val="right"/>
              <w:spacing w:after="0"/>
              <w:rPr>
                <w:sz w:val="20"/>
                <w:szCs w:val="20"/>
                <w:color w:val="auto"/>
              </w:rPr>
            </w:pPr>
            <w:r>
              <w:rPr>
                <w:rFonts w:ascii="Calibri" w:cs="Calibri" w:eastAsia="Calibri" w:hAnsi="Calibri"/>
                <w:sz w:val="18"/>
                <w:szCs w:val="18"/>
                <w:color w:val="auto"/>
              </w:rPr>
              <w:t>7,042</w:t>
            </w:r>
          </w:p>
        </w:tc>
        <w:tc>
          <w:tcPr>
            <w:tcW w:w="1480" w:type="dxa"/>
            <w:vAlign w:val="bottom"/>
            <w:tcBorders>
              <w:bottom w:val="single" w:sz="8" w:color="B6B6B6"/>
              <w:right w:val="single" w:sz="8" w:color="auto"/>
            </w:tcBorders>
            <w:gridSpan w:val="2"/>
            <w:shd w:val="clear" w:color="auto" w:fill="B6B6B6"/>
          </w:tcPr>
          <w:p>
            <w:pPr>
              <w:jc w:val="right"/>
              <w:ind w:right="8"/>
              <w:spacing w:after="0"/>
              <w:rPr>
                <w:sz w:val="20"/>
                <w:szCs w:val="20"/>
                <w:color w:val="auto"/>
              </w:rPr>
            </w:pPr>
            <w:r>
              <w:rPr>
                <w:rFonts w:ascii="Calibri" w:cs="Calibri" w:eastAsia="Calibri" w:hAnsi="Calibri"/>
                <w:sz w:val="18"/>
                <w:szCs w:val="18"/>
                <w:color w:val="auto"/>
              </w:rPr>
              <w:t>202,167</w:t>
            </w:r>
          </w:p>
        </w:tc>
        <w:tc>
          <w:tcPr>
            <w:tcW w:w="0" w:type="dxa"/>
            <w:vAlign w:val="bottom"/>
          </w:tcPr>
          <w:p>
            <w:pPr>
              <w:spacing w:after="0"/>
              <w:rPr>
                <w:sz w:val="1"/>
                <w:szCs w:val="1"/>
                <w:color w:val="auto"/>
              </w:rPr>
            </w:pPr>
          </w:p>
        </w:tc>
      </w:tr>
      <w:tr>
        <w:trPr>
          <w:trHeight w:val="20"/>
        </w:trPr>
        <w:tc>
          <w:tcPr>
            <w:tcW w:w="13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ind w:left="420" w:right="20" w:hanging="412"/>
        <w:spacing w:after="0" w:line="235" w:lineRule="auto"/>
        <w:tabs>
          <w:tab w:leader="none" w:pos="408"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Awards represent potental payments under our annual non-equity incentve compensaton arrangement for fscal 2024. Potental payments are based on specifed levels of performance against corporate and business unit objectves, as applicable, as described under “Annual Non-Equity Incentve Compensaton” in the Compensaton Discussion and Analysis. The actual amounts earned for fscal 2024 are the sole components of “Non-Equity Incentve Plan Compensaton” in the Summary Compensaton Table above. Except in the case of death or retrement, executves must be employed on the last day of the fscal year to be eligible for a payment. The threshold, target and maximum payments are based on the plan’s requirements, which were 50%, 100% and 200% of base salary, respectvely, for Mr. Hawkins; 37.5%, 75% and 150% of base salary, respectvely, for Mr. Oldenkamp; and 20%, 40% and 80% of base salary, respectvely, for the Messrs. Grahek, Erstand and Lange.</w:t>
      </w:r>
    </w:p>
    <w:p>
      <w:pPr>
        <w:spacing w:after="0" w:line="100" w:lineRule="exact"/>
        <w:rPr>
          <w:rFonts w:ascii="Calibri" w:cs="Calibri" w:eastAsia="Calibri" w:hAnsi="Calibri"/>
          <w:sz w:val="18"/>
          <w:szCs w:val="18"/>
          <w:color w:val="auto"/>
        </w:rPr>
      </w:pPr>
    </w:p>
    <w:p>
      <w:pPr>
        <w:ind w:left="420" w:right="120" w:hanging="412"/>
        <w:spacing w:after="0" w:line="235" w:lineRule="auto"/>
        <w:tabs>
          <w:tab w:leader="none" w:pos="402"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Awards represent potental issuances of shares of restricted stock in setlement of performance-based restricted stock unit awards granted for fscal 2024 under our 2019 Plan. The number of shares of restricted stock to be issued was based on the degree to which we achieved specifed levels of income before taxes during fscal 2024. See “Annual Equity Awards” in the Compensaton Discussion and Analysis for the performance goals applicable to the performance-based</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25" w:name="page26"/>
    <w:bookmarkEnd w:id="25"/>
    <w:p>
      <w:pPr>
        <w:ind w:left="420" w:right="120"/>
        <w:spacing w:after="0" w:line="235" w:lineRule="auto"/>
        <w:rPr>
          <w:sz w:val="20"/>
          <w:szCs w:val="20"/>
          <w:color w:val="auto"/>
        </w:rPr>
      </w:pPr>
      <w:r>
        <w:rPr>
          <w:rFonts w:ascii="Calibri" w:cs="Calibri" w:eastAsia="Calibri" w:hAnsi="Calibri"/>
          <w:sz w:val="18"/>
          <w:szCs w:val="18"/>
          <w:color w:val="auto"/>
        </w:rPr>
        <w:t>restricted stock units granted for performance in fscal 2024. Additonal terms of the outstanding performance-based restricted stock units are described in Note (a) to the Outstanding Equity Awards at 2024 Fiscal Year-End table. The number of shares of restricted stock actually issued to each individual for fscal 2024 performance was 150% of target, and is as follows: Mr. Hawkins, 22,188 shares; Mr. Oldenkamp, 12,266 shares; Mr. Grahek, 7,689 shares; Mr. Erstad, 7,630 shares; and Mr. Lange, 7,042 shares. Performance-based restricted stock units are not enttled to dividends untl restricted stock has been issued. Each award of performance-based restricted stock units was granted under our 2019 Plan.</w:t>
      </w:r>
    </w:p>
    <w:p>
      <w:pPr>
        <w:spacing w:after="0" w:line="85" w:lineRule="exact"/>
        <w:rPr>
          <w:sz w:val="20"/>
          <w:szCs w:val="20"/>
          <w:color w:val="auto"/>
        </w:rPr>
      </w:pPr>
    </w:p>
    <w:p>
      <w:pPr>
        <w:ind w:left="420" w:hanging="412"/>
        <w:spacing w:after="0" w:line="235" w:lineRule="auto"/>
        <w:tabs>
          <w:tab w:leader="none" w:pos="412"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Grant date fair value for performance-based restricted stock units was determined in accordance with FASB ASC Topic 718. For the performance-based restricted stock units, the actual number of shares of restricted stock that could be earned ranged from 0% to 150% of the target amount. For the performance-based restricted stock units, the amount reported is based on the assumed probable outcome of the performance conditons assessed as of the grant date of the performance-based restricted stock units.</w:t>
      </w:r>
    </w:p>
    <w:p>
      <w:pPr>
        <w:spacing w:after="0" w:line="336" w:lineRule="exact"/>
        <w:rPr>
          <w:sz w:val="20"/>
          <w:szCs w:val="20"/>
          <w:color w:val="auto"/>
        </w:rPr>
      </w:pPr>
    </w:p>
    <w:p>
      <w:pPr>
        <w:spacing w:after="0"/>
        <w:rPr>
          <w:sz w:val="20"/>
          <w:szCs w:val="20"/>
          <w:color w:val="auto"/>
        </w:rPr>
      </w:pPr>
      <w:r>
        <w:rPr>
          <w:rFonts w:ascii="Calibri" w:cs="Calibri" w:eastAsia="Calibri" w:hAnsi="Calibri"/>
          <w:sz w:val="18"/>
          <w:szCs w:val="18"/>
          <w:color w:val="auto"/>
        </w:rPr>
        <w:t>Descripton of Plan-Based Awards:</w:t>
      </w:r>
    </w:p>
    <w:p>
      <w:pPr>
        <w:spacing w:after="0" w:line="10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Each of the “Equity Incentve Plan Awards” shown in the table enttled “Grants of Plan-Based Awards” was granted under our 2019 Plan. The material terms of the fscal 2024 equity and non-equity incentve awards are described under “Executve Compensaton—Compensaton Discussion and Analysis.”</w:t>
      </w:r>
    </w:p>
    <w:p>
      <w:pPr>
        <w:spacing w:after="0" w:line="32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Outstanding Equity Awards at 2024 Fiscal Year-En</w:t>
      </w:r>
      <w:r>
        <w:rPr>
          <w:rFonts w:ascii="Calibri" w:cs="Calibri" w:eastAsia="Calibri" w:hAnsi="Calibri"/>
          <w:sz w:val="17"/>
          <w:szCs w:val="17"/>
          <w:b w:val="1"/>
          <w:bCs w:val="1"/>
          <w:color w:val="auto"/>
        </w:rPr>
        <w:t>d</w:t>
      </w:r>
    </w:p>
    <w:p>
      <w:pPr>
        <w:spacing w:after="0" w:line="105"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The following table sets forth certain informaton concerning outstanding equity awards held by our named executve ofcers as of March 31, 2024 which have been issued under our 2019 Plan.</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6600" w:type="dxa"/>
            <w:vAlign w:val="bottom"/>
            <w:tcBorders>
              <w:top w:val="single" w:sz="8" w:color="auto"/>
              <w:lef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gridSpan w:val="3"/>
          </w:tcPr>
          <w:p>
            <w:pPr>
              <w:ind w:left="1740"/>
              <w:spacing w:after="0"/>
              <w:rPr>
                <w:sz w:val="20"/>
                <w:szCs w:val="20"/>
                <w:color w:val="auto"/>
              </w:rPr>
            </w:pPr>
            <w:r>
              <w:rPr>
                <w:rFonts w:ascii="Calibri" w:cs="Calibri" w:eastAsia="Calibri" w:hAnsi="Calibri"/>
                <w:sz w:val="14"/>
                <w:szCs w:val="14"/>
                <w:b w:val="1"/>
                <w:bCs w:val="1"/>
                <w:color w:val="auto"/>
              </w:rPr>
              <w:t>Stock Awards</w:t>
            </w:r>
          </w:p>
        </w:tc>
        <w:tc>
          <w:tcPr>
            <w:tcW w:w="17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66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gridSpan w:val="3"/>
          </w:tcPr>
          <w:p>
            <w:pPr>
              <w:jc w:val="center"/>
              <w:ind w:right="520"/>
              <w:spacing w:after="0" w:line="127" w:lineRule="exact"/>
              <w:rPr>
                <w:sz w:val="20"/>
                <w:szCs w:val="20"/>
                <w:color w:val="auto"/>
              </w:rPr>
            </w:pPr>
            <w:r>
              <w:rPr>
                <w:rFonts w:ascii="Calibri" w:cs="Calibri" w:eastAsia="Calibri" w:hAnsi="Calibri"/>
                <w:sz w:val="13"/>
                <w:szCs w:val="13"/>
                <w:b w:val="1"/>
                <w:bCs w:val="1"/>
                <w:color w:val="auto"/>
              </w:rPr>
              <w:t>Number of Shares or</w:t>
            </w:r>
          </w:p>
        </w:tc>
        <w:tc>
          <w:tcPr>
            <w:tcW w:w="1700" w:type="dxa"/>
            <w:vAlign w:val="bottom"/>
            <w:tcBorders>
              <w:right w:val="single" w:sz="8" w:color="auto"/>
            </w:tcBorders>
          </w:tcPr>
          <w:p>
            <w:pPr>
              <w:jc w:val="center"/>
              <w:ind w:right="339"/>
              <w:spacing w:after="0" w:line="127" w:lineRule="exact"/>
              <w:rPr>
                <w:sz w:val="20"/>
                <w:szCs w:val="20"/>
                <w:color w:val="auto"/>
              </w:rPr>
            </w:pPr>
            <w:r>
              <w:rPr>
                <w:rFonts w:ascii="Calibri" w:cs="Calibri" w:eastAsia="Calibri" w:hAnsi="Calibri"/>
                <w:sz w:val="13"/>
                <w:szCs w:val="13"/>
                <w:b w:val="1"/>
                <w:bCs w:val="1"/>
                <w:color w:val="auto"/>
              </w:rPr>
              <w:t>Market Value of</w:t>
            </w:r>
          </w:p>
        </w:tc>
        <w:tc>
          <w:tcPr>
            <w:tcW w:w="0" w:type="dxa"/>
            <w:vAlign w:val="bottom"/>
          </w:tcPr>
          <w:p>
            <w:pPr>
              <w:spacing w:after="0"/>
              <w:rPr>
                <w:sz w:val="1"/>
                <w:szCs w:val="1"/>
                <w:color w:val="auto"/>
              </w:rPr>
            </w:pPr>
          </w:p>
        </w:tc>
      </w:tr>
      <w:tr>
        <w:trPr>
          <w:trHeight w:val="148"/>
        </w:trPr>
        <w:tc>
          <w:tcPr>
            <w:tcW w:w="66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3"/>
          </w:tcPr>
          <w:p>
            <w:pPr>
              <w:jc w:val="center"/>
              <w:ind w:right="520"/>
              <w:spacing w:after="0" w:line="149" w:lineRule="exact"/>
              <w:rPr>
                <w:sz w:val="20"/>
                <w:szCs w:val="20"/>
                <w:color w:val="auto"/>
              </w:rPr>
            </w:pPr>
            <w:r>
              <w:rPr>
                <w:rFonts w:ascii="Calibri" w:cs="Calibri" w:eastAsia="Calibri" w:hAnsi="Calibri"/>
                <w:sz w:val="14"/>
                <w:szCs w:val="14"/>
                <w:b w:val="1"/>
                <w:bCs w:val="1"/>
                <w:color w:val="auto"/>
              </w:rPr>
              <w:t>Units of Stock That</w:t>
            </w:r>
          </w:p>
        </w:tc>
        <w:tc>
          <w:tcPr>
            <w:tcW w:w="1700" w:type="dxa"/>
            <w:vAlign w:val="bottom"/>
            <w:tcBorders>
              <w:right w:val="single" w:sz="8" w:color="auto"/>
            </w:tcBorders>
          </w:tcPr>
          <w:p>
            <w:pPr>
              <w:jc w:val="center"/>
              <w:ind w:right="359"/>
              <w:spacing w:after="0" w:line="149" w:lineRule="exact"/>
              <w:rPr>
                <w:sz w:val="20"/>
                <w:szCs w:val="20"/>
                <w:color w:val="auto"/>
              </w:rPr>
            </w:pPr>
            <w:r>
              <w:rPr>
                <w:rFonts w:ascii="Calibri" w:cs="Calibri" w:eastAsia="Calibri" w:hAnsi="Calibri"/>
                <w:sz w:val="14"/>
                <w:szCs w:val="14"/>
                <w:b w:val="1"/>
                <w:bCs w:val="1"/>
                <w:color w:val="auto"/>
              </w:rPr>
              <w:t>Shares or Units of</w:t>
            </w:r>
          </w:p>
        </w:tc>
        <w:tc>
          <w:tcPr>
            <w:tcW w:w="0" w:type="dxa"/>
            <w:vAlign w:val="bottom"/>
          </w:tcPr>
          <w:p>
            <w:pPr>
              <w:spacing w:after="0"/>
              <w:rPr>
                <w:sz w:val="1"/>
                <w:szCs w:val="1"/>
                <w:color w:val="auto"/>
              </w:rPr>
            </w:pPr>
          </w:p>
        </w:tc>
      </w:tr>
      <w:tr>
        <w:trPr>
          <w:trHeight w:val="136"/>
        </w:trPr>
        <w:tc>
          <w:tcPr>
            <w:tcW w:w="6700" w:type="dxa"/>
            <w:vAlign w:val="bottom"/>
            <w:tcBorders>
              <w:left w:val="single" w:sz="8" w:color="auto"/>
            </w:tcBorders>
            <w:gridSpan w:val="2"/>
            <w:vMerge w:val="restart"/>
          </w:tcPr>
          <w:p>
            <w:pPr>
              <w:ind w:left="40"/>
              <w:spacing w:after="0"/>
              <w:rPr>
                <w:sz w:val="20"/>
                <w:szCs w:val="20"/>
                <w:color w:val="auto"/>
              </w:rPr>
            </w:pPr>
            <w:r>
              <w:rPr>
                <w:rFonts w:ascii="Calibri" w:cs="Calibri" w:eastAsia="Calibri" w:hAnsi="Calibri"/>
                <w:sz w:val="14"/>
                <w:szCs w:val="14"/>
                <w:b w:val="1"/>
                <w:bCs w:val="1"/>
                <w:color w:val="auto"/>
              </w:rPr>
              <w:t>Name</w:t>
            </w:r>
          </w:p>
        </w:tc>
        <w:tc>
          <w:tcPr>
            <w:tcW w:w="2600" w:type="dxa"/>
            <w:vAlign w:val="bottom"/>
            <w:gridSpan w:val="3"/>
          </w:tcPr>
          <w:p>
            <w:pPr>
              <w:jc w:val="center"/>
              <w:ind w:right="520"/>
              <w:spacing w:after="0" w:line="136" w:lineRule="exact"/>
              <w:rPr>
                <w:sz w:val="20"/>
                <w:szCs w:val="20"/>
                <w:color w:val="auto"/>
              </w:rPr>
            </w:pPr>
            <w:r>
              <w:rPr>
                <w:rFonts w:ascii="Calibri" w:cs="Calibri" w:eastAsia="Calibri" w:hAnsi="Calibri"/>
                <w:sz w:val="14"/>
                <w:szCs w:val="14"/>
                <w:b w:val="1"/>
                <w:bCs w:val="1"/>
                <w:color w:val="auto"/>
              </w:rPr>
              <w:t>Have Not Vested</w:t>
            </w:r>
          </w:p>
        </w:tc>
        <w:tc>
          <w:tcPr>
            <w:tcW w:w="1700" w:type="dxa"/>
            <w:vAlign w:val="bottom"/>
            <w:tcBorders>
              <w:right w:val="single" w:sz="8" w:color="auto"/>
            </w:tcBorders>
          </w:tcPr>
          <w:p>
            <w:pPr>
              <w:jc w:val="center"/>
              <w:ind w:right="339"/>
              <w:spacing w:after="0" w:line="136" w:lineRule="exact"/>
              <w:rPr>
                <w:sz w:val="20"/>
                <w:szCs w:val="20"/>
                <w:color w:val="auto"/>
              </w:rPr>
            </w:pPr>
            <w:r>
              <w:rPr>
                <w:rFonts w:ascii="Calibri" w:cs="Calibri" w:eastAsia="Calibri" w:hAnsi="Calibri"/>
                <w:sz w:val="14"/>
                <w:szCs w:val="14"/>
                <w:b w:val="1"/>
                <w:bCs w:val="1"/>
                <w:color w:val="auto"/>
              </w:rPr>
              <w:t>Stock that Have Not</w:t>
            </w:r>
          </w:p>
        </w:tc>
        <w:tc>
          <w:tcPr>
            <w:tcW w:w="0" w:type="dxa"/>
            <w:vAlign w:val="bottom"/>
          </w:tcPr>
          <w:p>
            <w:pPr>
              <w:spacing w:after="0"/>
              <w:rPr>
                <w:sz w:val="1"/>
                <w:szCs w:val="1"/>
                <w:color w:val="auto"/>
              </w:rPr>
            </w:pPr>
          </w:p>
        </w:tc>
      </w:tr>
      <w:tr>
        <w:trPr>
          <w:trHeight w:val="170"/>
        </w:trPr>
        <w:tc>
          <w:tcPr>
            <w:tcW w:w="6700" w:type="dxa"/>
            <w:vAlign w:val="bottom"/>
            <w:tcBorders>
              <w:left w:val="single" w:sz="8" w:color="auto"/>
            </w:tcBorders>
            <w:gridSpan w:val="2"/>
            <w:vMerge w:val="continue"/>
          </w:tcPr>
          <w:p>
            <w:pPr>
              <w:spacing w:after="0"/>
              <w:rPr>
                <w:sz w:val="14"/>
                <w:szCs w:val="14"/>
                <w:color w:val="auto"/>
              </w:rPr>
            </w:pPr>
          </w:p>
        </w:tc>
        <w:tc>
          <w:tcPr>
            <w:tcW w:w="2600" w:type="dxa"/>
            <w:vAlign w:val="bottom"/>
            <w:gridSpan w:val="3"/>
          </w:tcPr>
          <w:p>
            <w:pPr>
              <w:jc w:val="center"/>
              <w:ind w:right="520"/>
              <w:spacing w:after="0"/>
              <w:rPr>
                <w:sz w:val="20"/>
                <w:szCs w:val="20"/>
                <w:color w:val="auto"/>
              </w:rPr>
            </w:pPr>
            <w:r>
              <w:rPr>
                <w:rFonts w:ascii="Calibri" w:cs="Calibri" w:eastAsia="Calibri" w:hAnsi="Calibri"/>
                <w:sz w:val="14"/>
                <w:szCs w:val="14"/>
                <w:b w:val="1"/>
                <w:bCs w:val="1"/>
                <w:color w:val="auto"/>
              </w:rPr>
              <w:t>(#)(a)</w:t>
            </w:r>
          </w:p>
        </w:tc>
        <w:tc>
          <w:tcPr>
            <w:tcW w:w="1700" w:type="dxa"/>
            <w:vAlign w:val="bottom"/>
            <w:tcBorders>
              <w:right w:val="single" w:sz="8" w:color="auto"/>
            </w:tcBorders>
          </w:tcPr>
          <w:p>
            <w:pPr>
              <w:jc w:val="center"/>
              <w:ind w:right="339"/>
              <w:spacing w:after="0"/>
              <w:rPr>
                <w:sz w:val="20"/>
                <w:szCs w:val="20"/>
                <w:color w:val="auto"/>
              </w:rPr>
            </w:pPr>
            <w:r>
              <w:rPr>
                <w:rFonts w:ascii="Calibri" w:cs="Calibri" w:eastAsia="Calibri" w:hAnsi="Calibri"/>
                <w:sz w:val="14"/>
                <w:szCs w:val="14"/>
                <w:b w:val="1"/>
                <w:bCs w:val="1"/>
                <w:color w:val="auto"/>
              </w:rPr>
              <w:t>Vested ($)(b)</w:t>
            </w:r>
          </w:p>
        </w:tc>
        <w:tc>
          <w:tcPr>
            <w:tcW w:w="0" w:type="dxa"/>
            <w:vAlign w:val="bottom"/>
          </w:tcPr>
          <w:p>
            <w:pPr>
              <w:spacing w:after="0"/>
              <w:rPr>
                <w:sz w:val="1"/>
                <w:szCs w:val="1"/>
                <w:color w:val="auto"/>
              </w:rPr>
            </w:pPr>
          </w:p>
        </w:tc>
      </w:tr>
      <w:tr>
        <w:trPr>
          <w:trHeight w:val="46"/>
        </w:trPr>
        <w:tc>
          <w:tcPr>
            <w:tcW w:w="660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B3B3B3"/>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20" w:type="dxa"/>
            <w:vAlign w:val="bottom"/>
            <w:tcBorders>
              <w:bottom w:val="single" w:sz="8" w:color="B3B3B3"/>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600" w:type="dxa"/>
            <w:vAlign w:val="bottom"/>
            <w:tcBorders>
              <w:left w:val="single" w:sz="8" w:color="auto"/>
            </w:tcBorders>
            <w:shd w:val="clear" w:color="auto" w:fill="B3B3B3"/>
          </w:tcPr>
          <w:p>
            <w:pPr>
              <w:ind w:left="40"/>
              <w:spacing w:after="0" w:line="215" w:lineRule="exact"/>
              <w:rPr>
                <w:sz w:val="20"/>
                <w:szCs w:val="20"/>
                <w:color w:val="auto"/>
              </w:rPr>
            </w:pPr>
            <w:r>
              <w:rPr>
                <w:rFonts w:ascii="Calibri" w:cs="Calibri" w:eastAsia="Calibri" w:hAnsi="Calibri"/>
                <w:sz w:val="18"/>
                <w:szCs w:val="18"/>
                <w:color w:val="auto"/>
              </w:rPr>
              <w:t>Patrick H. Hawkins</w:t>
            </w:r>
          </w:p>
        </w:tc>
        <w:tc>
          <w:tcPr>
            <w:tcW w:w="100" w:type="dxa"/>
            <w:vAlign w:val="bottom"/>
            <w:shd w:val="clear" w:color="auto" w:fill="B3B3B3"/>
          </w:tcPr>
          <w:p>
            <w:pPr>
              <w:spacing w:after="0"/>
              <w:rPr>
                <w:sz w:val="19"/>
                <w:szCs w:val="19"/>
                <w:color w:val="auto"/>
              </w:rPr>
            </w:pPr>
          </w:p>
        </w:tc>
        <w:tc>
          <w:tcPr>
            <w:tcW w:w="208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65,889</w:t>
            </w:r>
          </w:p>
        </w:tc>
        <w:tc>
          <w:tcPr>
            <w:tcW w:w="120" w:type="dxa"/>
            <w:vAlign w:val="bottom"/>
            <w:shd w:val="clear" w:color="auto" w:fill="B3B3B3"/>
          </w:tcPr>
          <w:p>
            <w:pPr>
              <w:spacing w:after="0"/>
              <w:rPr>
                <w:sz w:val="19"/>
                <w:szCs w:val="19"/>
                <w:color w:val="auto"/>
              </w:rPr>
            </w:pPr>
          </w:p>
        </w:tc>
        <w:tc>
          <w:tcPr>
            <w:tcW w:w="400" w:type="dxa"/>
            <w:vAlign w:val="bottom"/>
            <w:shd w:val="clear" w:color="auto" w:fill="B3B3B3"/>
          </w:tcPr>
          <w:p>
            <w:pPr>
              <w:spacing w:after="0"/>
              <w:rPr>
                <w:sz w:val="19"/>
                <w:szCs w:val="19"/>
                <w:color w:val="auto"/>
              </w:rPr>
            </w:pPr>
          </w:p>
        </w:tc>
        <w:tc>
          <w:tcPr>
            <w:tcW w:w="1700" w:type="dxa"/>
            <w:vAlign w:val="bottom"/>
            <w:tcBorders>
              <w:right w:val="single" w:sz="8" w:color="auto"/>
            </w:tcBorders>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5,060,275</w:t>
            </w:r>
          </w:p>
        </w:tc>
        <w:tc>
          <w:tcPr>
            <w:tcW w:w="0" w:type="dxa"/>
            <w:vAlign w:val="bottom"/>
          </w:tcPr>
          <w:p>
            <w:pPr>
              <w:spacing w:after="0"/>
              <w:rPr>
                <w:sz w:val="1"/>
                <w:szCs w:val="1"/>
                <w:color w:val="auto"/>
              </w:rPr>
            </w:pPr>
          </w:p>
        </w:tc>
      </w:tr>
      <w:tr>
        <w:trPr>
          <w:trHeight w:val="222"/>
        </w:trPr>
        <w:tc>
          <w:tcPr>
            <w:tcW w:w="6700" w:type="dxa"/>
            <w:vAlign w:val="bottom"/>
            <w:tcBorders>
              <w:left w:val="single" w:sz="8" w:color="auto"/>
            </w:tcBorders>
            <w:gridSpan w:val="2"/>
          </w:tcPr>
          <w:p>
            <w:pPr>
              <w:ind w:left="40"/>
              <w:spacing w:after="0" w:line="215" w:lineRule="exact"/>
              <w:rPr>
                <w:sz w:val="20"/>
                <w:szCs w:val="20"/>
                <w:color w:val="auto"/>
              </w:rPr>
            </w:pPr>
            <w:r>
              <w:rPr>
                <w:rFonts w:ascii="Calibri" w:cs="Calibri" w:eastAsia="Calibri" w:hAnsi="Calibri"/>
                <w:sz w:val="18"/>
                <w:szCs w:val="18"/>
                <w:color w:val="auto"/>
              </w:rPr>
              <w:t>Jefrey. P. Oldenkamp</w:t>
            </w:r>
          </w:p>
        </w:tc>
        <w:tc>
          <w:tcPr>
            <w:tcW w:w="2080" w:type="dxa"/>
            <w:vAlign w:val="bottom"/>
          </w:tcPr>
          <w:p>
            <w:pPr>
              <w:jc w:val="right"/>
              <w:spacing w:after="0" w:line="215" w:lineRule="exact"/>
              <w:rPr>
                <w:sz w:val="20"/>
                <w:szCs w:val="20"/>
                <w:color w:val="auto"/>
              </w:rPr>
            </w:pPr>
            <w:r>
              <w:rPr>
                <w:rFonts w:ascii="Calibri" w:cs="Calibri" w:eastAsia="Calibri" w:hAnsi="Calibri"/>
                <w:sz w:val="18"/>
                <w:szCs w:val="18"/>
                <w:color w:val="auto"/>
              </w:rPr>
              <w:t>37,503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2,880,230</w:t>
            </w:r>
          </w:p>
        </w:tc>
        <w:tc>
          <w:tcPr>
            <w:tcW w:w="0" w:type="dxa"/>
            <w:vAlign w:val="bottom"/>
          </w:tcPr>
          <w:p>
            <w:pPr>
              <w:spacing w:after="0"/>
              <w:rPr>
                <w:sz w:val="1"/>
                <w:szCs w:val="1"/>
                <w:color w:val="auto"/>
              </w:rPr>
            </w:pPr>
          </w:p>
        </w:tc>
      </w:tr>
      <w:tr>
        <w:trPr>
          <w:trHeight w:val="237"/>
        </w:trPr>
        <w:tc>
          <w:tcPr>
            <w:tcW w:w="6700" w:type="dxa"/>
            <w:vAlign w:val="bottom"/>
            <w:tcBorders>
              <w:left w:val="single" w:sz="8" w:color="auto"/>
            </w:tcBorders>
            <w:gridSpan w:val="2"/>
            <w:shd w:val="clear" w:color="auto" w:fill="B3B3B3"/>
          </w:tcPr>
          <w:p>
            <w:pPr>
              <w:ind w:left="40"/>
              <w:spacing w:after="0"/>
              <w:rPr>
                <w:sz w:val="20"/>
                <w:szCs w:val="20"/>
                <w:color w:val="auto"/>
              </w:rPr>
            </w:pPr>
            <w:r>
              <w:rPr>
                <w:rFonts w:ascii="Calibri" w:cs="Calibri" w:eastAsia="Calibri" w:hAnsi="Calibri"/>
                <w:sz w:val="18"/>
                <w:szCs w:val="18"/>
                <w:color w:val="auto"/>
              </w:rPr>
              <w:t>Drew M. Grahek</w:t>
            </w:r>
          </w:p>
        </w:tc>
        <w:tc>
          <w:tcPr>
            <w:tcW w:w="208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23,608</w:t>
            </w:r>
          </w:p>
        </w:tc>
        <w:tc>
          <w:tcPr>
            <w:tcW w:w="120" w:type="dxa"/>
            <w:vAlign w:val="bottom"/>
            <w:shd w:val="clear" w:color="auto" w:fill="B3B3B3"/>
          </w:tcPr>
          <w:p>
            <w:pPr>
              <w:spacing w:after="0"/>
              <w:rPr>
                <w:sz w:val="20"/>
                <w:szCs w:val="20"/>
                <w:color w:val="auto"/>
              </w:rPr>
            </w:pPr>
          </w:p>
        </w:tc>
        <w:tc>
          <w:tcPr>
            <w:tcW w:w="400" w:type="dxa"/>
            <w:vAlign w:val="bottom"/>
            <w:shd w:val="clear" w:color="auto" w:fill="B3B3B3"/>
          </w:tcPr>
          <w:p>
            <w:pPr>
              <w:spacing w:after="0"/>
              <w:rPr>
                <w:sz w:val="20"/>
                <w:szCs w:val="20"/>
                <w:color w:val="auto"/>
              </w:rPr>
            </w:pPr>
          </w:p>
        </w:tc>
        <w:tc>
          <w:tcPr>
            <w:tcW w:w="1700" w:type="dxa"/>
            <w:vAlign w:val="bottom"/>
            <w:tcBorders>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1,813,094</w:t>
            </w:r>
          </w:p>
        </w:tc>
        <w:tc>
          <w:tcPr>
            <w:tcW w:w="0" w:type="dxa"/>
            <w:vAlign w:val="bottom"/>
          </w:tcPr>
          <w:p>
            <w:pPr>
              <w:spacing w:after="0"/>
              <w:rPr>
                <w:sz w:val="1"/>
                <w:szCs w:val="1"/>
                <w:color w:val="auto"/>
              </w:rPr>
            </w:pPr>
          </w:p>
        </w:tc>
      </w:tr>
      <w:tr>
        <w:trPr>
          <w:trHeight w:val="222"/>
        </w:trPr>
        <w:tc>
          <w:tcPr>
            <w:tcW w:w="6700" w:type="dxa"/>
            <w:vAlign w:val="bottom"/>
            <w:tcBorders>
              <w:left w:val="single" w:sz="8" w:color="auto"/>
            </w:tcBorders>
            <w:gridSpan w:val="2"/>
          </w:tcPr>
          <w:p>
            <w:pPr>
              <w:ind w:left="40"/>
              <w:spacing w:after="0" w:line="215" w:lineRule="exact"/>
              <w:rPr>
                <w:sz w:val="20"/>
                <w:szCs w:val="20"/>
                <w:color w:val="auto"/>
              </w:rPr>
            </w:pPr>
            <w:r>
              <w:rPr>
                <w:rFonts w:ascii="Calibri" w:cs="Calibri" w:eastAsia="Calibri" w:hAnsi="Calibri"/>
                <w:sz w:val="18"/>
                <w:szCs w:val="18"/>
                <w:color w:val="auto"/>
              </w:rPr>
              <w:t>Richard G. Erstad</w:t>
            </w:r>
          </w:p>
        </w:tc>
        <w:tc>
          <w:tcPr>
            <w:tcW w:w="2080" w:type="dxa"/>
            <w:vAlign w:val="bottom"/>
          </w:tcPr>
          <w:p>
            <w:pPr>
              <w:jc w:val="right"/>
              <w:spacing w:after="0" w:line="215" w:lineRule="exact"/>
              <w:rPr>
                <w:sz w:val="20"/>
                <w:szCs w:val="20"/>
                <w:color w:val="auto"/>
              </w:rPr>
            </w:pPr>
            <w:r>
              <w:rPr>
                <w:rFonts w:ascii="Calibri" w:cs="Calibri" w:eastAsia="Calibri" w:hAnsi="Calibri"/>
                <w:sz w:val="18"/>
                <w:szCs w:val="18"/>
                <w:color w:val="auto"/>
              </w:rPr>
              <w:t>23,442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1,800,346</w:t>
            </w:r>
          </w:p>
        </w:tc>
        <w:tc>
          <w:tcPr>
            <w:tcW w:w="0" w:type="dxa"/>
            <w:vAlign w:val="bottom"/>
          </w:tcPr>
          <w:p>
            <w:pPr>
              <w:spacing w:after="0"/>
              <w:rPr>
                <w:sz w:val="1"/>
                <w:szCs w:val="1"/>
                <w:color w:val="auto"/>
              </w:rPr>
            </w:pPr>
          </w:p>
        </w:tc>
      </w:tr>
      <w:tr>
        <w:trPr>
          <w:trHeight w:val="230"/>
        </w:trPr>
        <w:tc>
          <w:tcPr>
            <w:tcW w:w="670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Calibri" w:cs="Calibri" w:eastAsia="Calibri" w:hAnsi="Calibri"/>
                <w:sz w:val="18"/>
                <w:szCs w:val="18"/>
                <w:color w:val="auto"/>
              </w:rPr>
              <w:t>Douglas A. Lange</w:t>
            </w:r>
          </w:p>
        </w:tc>
        <w:tc>
          <w:tcPr>
            <w:tcW w:w="2080" w:type="dxa"/>
            <w:vAlign w:val="bottom"/>
            <w:tcBorders>
              <w:bottom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20,047</w:t>
            </w:r>
          </w:p>
        </w:tc>
        <w:tc>
          <w:tcPr>
            <w:tcW w:w="120" w:type="dxa"/>
            <w:vAlign w:val="bottom"/>
            <w:tcBorders>
              <w:bottom w:val="single" w:sz="8" w:color="auto"/>
            </w:tcBorders>
            <w:shd w:val="clear" w:color="auto" w:fill="B3B3B3"/>
          </w:tcPr>
          <w:p>
            <w:pPr>
              <w:spacing w:after="0"/>
              <w:rPr>
                <w:sz w:val="20"/>
                <w:szCs w:val="20"/>
                <w:color w:val="auto"/>
              </w:rPr>
            </w:pPr>
          </w:p>
        </w:tc>
        <w:tc>
          <w:tcPr>
            <w:tcW w:w="400" w:type="dxa"/>
            <w:vAlign w:val="bottom"/>
            <w:tcBorders>
              <w:bottom w:val="single" w:sz="8" w:color="auto"/>
            </w:tcBorders>
            <w:shd w:val="clear" w:color="auto" w:fill="B3B3B3"/>
          </w:tcPr>
          <w:p>
            <w:pPr>
              <w:spacing w:after="0"/>
              <w:rPr>
                <w:sz w:val="20"/>
                <w:szCs w:val="20"/>
                <w:color w:val="auto"/>
              </w:rPr>
            </w:pPr>
          </w:p>
        </w:tc>
        <w:tc>
          <w:tcPr>
            <w:tcW w:w="170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1,539,610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20" w:right="60" w:hanging="412"/>
        <w:spacing w:after="0" w:line="235" w:lineRule="auto"/>
        <w:tabs>
          <w:tab w:leader="none" w:pos="408"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The number of shares shown consists of performance-based restricted stock units and shares of restricted stock actually issued in setlement of the performance-based restricted stock unit awards granted for fscal years 2022, 2023 and 2024. The restricted stock issued in setlement of the performance-based restricted stock unit awards vests 100% on approximately the frst day of the second fscal year following the end of the fscal year to which the awards pertain. The shares of restricted stock issued for fscal 2022 vested on April 1, 2024. The shares of restricted stock issued for fscal 2023 will vest on March 31, 2025. The shares of restricted stock issued for fscal 2024 will vest on March 31, 2026. The number of shares of restricted stock vestng on each of those dates for each of the named executve ofcers is as follows:</w:t>
      </w:r>
    </w:p>
    <w:p>
      <w:pPr>
        <w:spacing w:after="0" w:line="35" w:lineRule="exact"/>
        <w:rPr>
          <w:sz w:val="20"/>
          <w:szCs w:val="20"/>
          <w:color w:val="auto"/>
        </w:rPr>
      </w:pPr>
    </w:p>
    <w:tbl>
      <w:tblPr>
        <w:tblLayout w:type="fixed"/>
        <w:tblInd w:w="430" w:type="dxa"/>
        <w:tblCellMar>
          <w:top w:w="0" w:type="dxa"/>
          <w:left w:w="0" w:type="dxa"/>
          <w:bottom w:w="0" w:type="dxa"/>
          <w:right w:w="0" w:type="dxa"/>
        </w:tblCellMar>
      </w:tblPr>
      <w:tr>
        <w:trPr>
          <w:trHeight w:val="183"/>
        </w:trPr>
        <w:tc>
          <w:tcPr>
            <w:tcW w:w="6080" w:type="dxa"/>
            <w:vAlign w:val="bottom"/>
            <w:tcBorders>
              <w:top w:val="single" w:sz="8" w:color="auto"/>
              <w:left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00" w:type="dxa"/>
            <w:vAlign w:val="bottom"/>
            <w:tcBorders>
              <w:top w:val="single" w:sz="8" w:color="auto"/>
              <w:right w:val="single" w:sz="8" w:color="auto"/>
            </w:tcBorders>
            <w:gridSpan w:val="5"/>
          </w:tcPr>
          <w:p>
            <w:pPr>
              <w:jc w:val="right"/>
              <w:ind w:right="733"/>
              <w:spacing w:after="0"/>
              <w:rPr>
                <w:sz w:val="20"/>
                <w:szCs w:val="20"/>
                <w:color w:val="auto"/>
              </w:rPr>
            </w:pPr>
            <w:r>
              <w:rPr>
                <w:rFonts w:ascii="Calibri" w:cs="Calibri" w:eastAsia="Calibri" w:hAnsi="Calibri"/>
                <w:sz w:val="14"/>
                <w:szCs w:val="14"/>
                <w:b w:val="1"/>
                <w:bCs w:val="1"/>
                <w:color w:val="auto"/>
              </w:rPr>
              <w:t>Number of Shares Vested or Vestng on:</w:t>
            </w:r>
          </w:p>
        </w:tc>
        <w:tc>
          <w:tcPr>
            <w:tcW w:w="0" w:type="dxa"/>
            <w:vAlign w:val="bottom"/>
          </w:tcPr>
          <w:p>
            <w:pPr>
              <w:spacing w:after="0"/>
              <w:rPr>
                <w:sz w:val="1"/>
                <w:szCs w:val="1"/>
                <w:color w:val="auto"/>
              </w:rPr>
            </w:pPr>
          </w:p>
        </w:tc>
      </w:tr>
      <w:tr>
        <w:trPr>
          <w:trHeight w:val="33"/>
        </w:trPr>
        <w:tc>
          <w:tcPr>
            <w:tcW w:w="6220" w:type="dxa"/>
            <w:vAlign w:val="bottom"/>
            <w:tcBorders>
              <w:left w:val="single" w:sz="8" w:color="auto"/>
            </w:tcBorders>
            <w:gridSpan w:val="2"/>
            <w:vMerge w:val="restart"/>
          </w:tcPr>
          <w:p>
            <w:pPr>
              <w:ind w:left="20"/>
              <w:spacing w:after="0"/>
              <w:rPr>
                <w:sz w:val="20"/>
                <w:szCs w:val="20"/>
                <w:color w:val="auto"/>
              </w:rPr>
            </w:pPr>
            <w:r>
              <w:rPr>
                <w:rFonts w:ascii="Calibri" w:cs="Calibri" w:eastAsia="Calibri" w:hAnsi="Calibri"/>
                <w:sz w:val="14"/>
                <w:szCs w:val="14"/>
                <w:b w:val="1"/>
                <w:bCs w:val="1"/>
                <w:color w:val="auto"/>
              </w:rPr>
              <w:t>Name</w:t>
            </w:r>
          </w:p>
        </w:tc>
        <w:tc>
          <w:tcPr>
            <w:tcW w:w="14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220" w:type="dxa"/>
            <w:vAlign w:val="bottom"/>
            <w:tcBorders>
              <w:left w:val="single" w:sz="8" w:color="auto"/>
            </w:tcBorders>
            <w:gridSpan w:val="2"/>
            <w:vMerge w:val="continue"/>
          </w:tcPr>
          <w:p>
            <w:pPr>
              <w:spacing w:after="0"/>
              <w:rPr>
                <w:sz w:val="14"/>
                <w:szCs w:val="14"/>
                <w:color w:val="auto"/>
              </w:rPr>
            </w:pPr>
          </w:p>
        </w:tc>
        <w:tc>
          <w:tcPr>
            <w:tcW w:w="1420" w:type="dxa"/>
            <w:vAlign w:val="bottom"/>
            <w:gridSpan w:val="2"/>
          </w:tcPr>
          <w:p>
            <w:pPr>
              <w:ind w:left="220"/>
              <w:spacing w:after="0" w:line="164" w:lineRule="exact"/>
              <w:rPr>
                <w:sz w:val="20"/>
                <w:szCs w:val="20"/>
                <w:color w:val="auto"/>
              </w:rPr>
            </w:pPr>
            <w:r>
              <w:rPr>
                <w:rFonts w:ascii="Calibri" w:cs="Calibri" w:eastAsia="Calibri" w:hAnsi="Calibri"/>
                <w:sz w:val="14"/>
                <w:szCs w:val="14"/>
                <w:b w:val="1"/>
                <w:bCs w:val="1"/>
                <w:color w:val="auto"/>
              </w:rPr>
              <w:t>April 1, 2024</w:t>
            </w:r>
          </w:p>
        </w:tc>
        <w:tc>
          <w:tcPr>
            <w:tcW w:w="1340" w:type="dxa"/>
            <w:vAlign w:val="bottom"/>
            <w:gridSpan w:val="2"/>
          </w:tcPr>
          <w:p>
            <w:pPr>
              <w:ind w:left="140"/>
              <w:spacing w:after="0" w:line="164" w:lineRule="exact"/>
              <w:rPr>
                <w:sz w:val="20"/>
                <w:szCs w:val="20"/>
                <w:color w:val="auto"/>
              </w:rPr>
            </w:pPr>
            <w:r>
              <w:rPr>
                <w:rFonts w:ascii="Calibri" w:cs="Calibri" w:eastAsia="Calibri" w:hAnsi="Calibri"/>
                <w:sz w:val="14"/>
                <w:szCs w:val="14"/>
                <w:b w:val="1"/>
                <w:bCs w:val="1"/>
                <w:color w:val="auto"/>
              </w:rPr>
              <w:t>March 31, 2025</w:t>
            </w:r>
          </w:p>
        </w:tc>
        <w:tc>
          <w:tcPr>
            <w:tcW w:w="1240" w:type="dxa"/>
            <w:vAlign w:val="bottom"/>
            <w:tcBorders>
              <w:right w:val="single" w:sz="8" w:color="auto"/>
            </w:tcBorders>
          </w:tcPr>
          <w:p>
            <w:pPr>
              <w:jc w:val="right"/>
              <w:ind w:right="73"/>
              <w:spacing w:after="0" w:line="164" w:lineRule="exact"/>
              <w:rPr>
                <w:sz w:val="20"/>
                <w:szCs w:val="20"/>
                <w:color w:val="auto"/>
              </w:rPr>
            </w:pPr>
            <w:r>
              <w:rPr>
                <w:rFonts w:ascii="Calibri" w:cs="Calibri" w:eastAsia="Calibri" w:hAnsi="Calibri"/>
                <w:sz w:val="14"/>
                <w:szCs w:val="14"/>
                <w:b w:val="1"/>
                <w:bCs w:val="1"/>
                <w:color w:val="auto"/>
              </w:rPr>
              <w:t>March 31, 2026</w:t>
            </w:r>
          </w:p>
        </w:tc>
        <w:tc>
          <w:tcPr>
            <w:tcW w:w="0" w:type="dxa"/>
            <w:vAlign w:val="bottom"/>
          </w:tcPr>
          <w:p>
            <w:pPr>
              <w:spacing w:after="0"/>
              <w:rPr>
                <w:sz w:val="1"/>
                <w:szCs w:val="1"/>
                <w:color w:val="auto"/>
              </w:rPr>
            </w:pPr>
          </w:p>
        </w:tc>
      </w:tr>
      <w:tr>
        <w:trPr>
          <w:trHeight w:val="33"/>
        </w:trPr>
        <w:tc>
          <w:tcPr>
            <w:tcW w:w="608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B3B3B3"/>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80" w:type="dxa"/>
            <w:vAlign w:val="bottom"/>
            <w:tcBorders>
              <w:left w:val="single" w:sz="8" w:color="auto"/>
            </w:tcBorders>
            <w:shd w:val="clear" w:color="auto" w:fill="B3B3B3"/>
          </w:tcPr>
          <w:p>
            <w:pPr>
              <w:ind w:left="20"/>
              <w:spacing w:after="0" w:line="215" w:lineRule="exact"/>
              <w:rPr>
                <w:sz w:val="20"/>
                <w:szCs w:val="20"/>
                <w:color w:val="auto"/>
              </w:rPr>
            </w:pPr>
            <w:r>
              <w:rPr>
                <w:rFonts w:ascii="Calibri" w:cs="Calibri" w:eastAsia="Calibri" w:hAnsi="Calibri"/>
                <w:sz w:val="18"/>
                <w:szCs w:val="18"/>
                <w:color w:val="auto"/>
              </w:rPr>
              <w:t>Patrick H. Hawkins</w:t>
            </w:r>
          </w:p>
        </w:tc>
        <w:tc>
          <w:tcPr>
            <w:tcW w:w="140" w:type="dxa"/>
            <w:vAlign w:val="bottom"/>
            <w:shd w:val="clear" w:color="auto" w:fill="B3B3B3"/>
          </w:tcPr>
          <w:p>
            <w:pPr>
              <w:spacing w:after="0"/>
              <w:rPr>
                <w:sz w:val="19"/>
                <w:szCs w:val="19"/>
                <w:color w:val="auto"/>
              </w:rPr>
            </w:pPr>
          </w:p>
        </w:tc>
        <w:tc>
          <w:tcPr>
            <w:tcW w:w="122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24,336</w:t>
            </w:r>
          </w:p>
        </w:tc>
        <w:tc>
          <w:tcPr>
            <w:tcW w:w="200" w:type="dxa"/>
            <w:vAlign w:val="bottom"/>
            <w:shd w:val="clear" w:color="auto" w:fill="B3B3B3"/>
          </w:tcPr>
          <w:p>
            <w:pPr>
              <w:spacing w:after="0"/>
              <w:rPr>
                <w:sz w:val="19"/>
                <w:szCs w:val="19"/>
                <w:color w:val="auto"/>
              </w:rPr>
            </w:pPr>
          </w:p>
        </w:tc>
        <w:tc>
          <w:tcPr>
            <w:tcW w:w="120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19,365</w:t>
            </w:r>
          </w:p>
        </w:tc>
        <w:tc>
          <w:tcPr>
            <w:tcW w:w="140" w:type="dxa"/>
            <w:vAlign w:val="bottom"/>
            <w:shd w:val="clear" w:color="auto" w:fill="B3B3B3"/>
          </w:tcPr>
          <w:p>
            <w:pPr>
              <w:spacing w:after="0"/>
              <w:rPr>
                <w:sz w:val="19"/>
                <w:szCs w:val="19"/>
                <w:color w:val="auto"/>
              </w:rPr>
            </w:pPr>
          </w:p>
        </w:tc>
        <w:tc>
          <w:tcPr>
            <w:tcW w:w="1240" w:type="dxa"/>
            <w:vAlign w:val="bottom"/>
            <w:tcBorders>
              <w:right w:val="single" w:sz="8" w:color="auto"/>
            </w:tcBorders>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22,188</w:t>
            </w:r>
          </w:p>
        </w:tc>
        <w:tc>
          <w:tcPr>
            <w:tcW w:w="0" w:type="dxa"/>
            <w:vAlign w:val="bottom"/>
          </w:tcPr>
          <w:p>
            <w:pPr>
              <w:spacing w:after="0"/>
              <w:rPr>
                <w:sz w:val="1"/>
                <w:szCs w:val="1"/>
                <w:color w:val="auto"/>
              </w:rPr>
            </w:pPr>
          </w:p>
        </w:tc>
      </w:tr>
      <w:tr>
        <w:trPr>
          <w:trHeight w:val="222"/>
        </w:trPr>
        <w:tc>
          <w:tcPr>
            <w:tcW w:w="6220" w:type="dxa"/>
            <w:vAlign w:val="bottom"/>
            <w:tcBorders>
              <w:left w:val="single" w:sz="8" w:color="auto"/>
            </w:tcBorders>
            <w:gridSpan w:val="2"/>
          </w:tcPr>
          <w:p>
            <w:pPr>
              <w:ind w:left="20"/>
              <w:spacing w:after="0" w:line="215" w:lineRule="exact"/>
              <w:rPr>
                <w:sz w:val="20"/>
                <w:szCs w:val="20"/>
                <w:color w:val="auto"/>
              </w:rPr>
            </w:pPr>
            <w:r>
              <w:rPr>
                <w:rFonts w:ascii="Calibri" w:cs="Calibri" w:eastAsia="Calibri" w:hAnsi="Calibri"/>
                <w:sz w:val="18"/>
                <w:szCs w:val="18"/>
                <w:color w:val="auto"/>
              </w:rPr>
              <w:t>Jefrey. P. Oldenkamp</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14,603</w:t>
            </w:r>
          </w:p>
        </w:tc>
        <w:tc>
          <w:tcPr>
            <w:tcW w:w="200" w:type="dxa"/>
            <w:vAlign w:val="bottom"/>
          </w:tcPr>
          <w:p>
            <w:pPr>
              <w:spacing w:after="0"/>
              <w:rPr>
                <w:sz w:val="19"/>
                <w:szCs w:val="19"/>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10,674</w:t>
            </w:r>
          </w:p>
        </w:tc>
        <w:tc>
          <w:tcPr>
            <w:tcW w:w="140" w:type="dxa"/>
            <w:vAlign w:val="bottom"/>
          </w:tcPr>
          <w:p>
            <w:pPr>
              <w:spacing w:after="0"/>
              <w:rPr>
                <w:sz w:val="19"/>
                <w:szCs w:val="19"/>
                <w:color w:val="auto"/>
              </w:rPr>
            </w:pPr>
          </w:p>
        </w:tc>
        <w:tc>
          <w:tcPr>
            <w:tcW w:w="124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12,266</w:t>
            </w:r>
          </w:p>
        </w:tc>
        <w:tc>
          <w:tcPr>
            <w:tcW w:w="0" w:type="dxa"/>
            <w:vAlign w:val="bottom"/>
          </w:tcPr>
          <w:p>
            <w:pPr>
              <w:spacing w:after="0"/>
              <w:rPr>
                <w:sz w:val="1"/>
                <w:szCs w:val="1"/>
                <w:color w:val="auto"/>
              </w:rPr>
            </w:pPr>
          </w:p>
        </w:tc>
      </w:tr>
      <w:tr>
        <w:trPr>
          <w:trHeight w:val="237"/>
        </w:trPr>
        <w:tc>
          <w:tcPr>
            <w:tcW w:w="6220" w:type="dxa"/>
            <w:vAlign w:val="bottom"/>
            <w:tcBorders>
              <w:left w:val="single" w:sz="8" w:color="auto"/>
            </w:tcBorders>
            <w:gridSpan w:val="2"/>
            <w:shd w:val="clear" w:color="auto" w:fill="B3B3B3"/>
          </w:tcPr>
          <w:p>
            <w:pPr>
              <w:ind w:left="20"/>
              <w:spacing w:after="0"/>
              <w:rPr>
                <w:sz w:val="20"/>
                <w:szCs w:val="20"/>
                <w:color w:val="auto"/>
              </w:rPr>
            </w:pPr>
            <w:r>
              <w:rPr>
                <w:rFonts w:ascii="Calibri" w:cs="Calibri" w:eastAsia="Calibri" w:hAnsi="Calibri"/>
                <w:sz w:val="18"/>
                <w:szCs w:val="18"/>
                <w:color w:val="auto"/>
              </w:rPr>
              <w:t>Drew M. Grahek</w:t>
            </w:r>
          </w:p>
        </w:tc>
        <w:tc>
          <w:tcPr>
            <w:tcW w:w="122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9,214</w:t>
            </w:r>
          </w:p>
        </w:tc>
        <w:tc>
          <w:tcPr>
            <w:tcW w:w="200" w:type="dxa"/>
            <w:vAlign w:val="bottom"/>
            <w:shd w:val="clear" w:color="auto" w:fill="B3B3B3"/>
          </w:tcPr>
          <w:p>
            <w:pPr>
              <w:spacing w:after="0"/>
              <w:rPr>
                <w:sz w:val="20"/>
                <w:szCs w:val="20"/>
                <w:color w:val="auto"/>
              </w:rPr>
            </w:pPr>
          </w:p>
        </w:tc>
        <w:tc>
          <w:tcPr>
            <w:tcW w:w="120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6,705</w:t>
            </w:r>
          </w:p>
        </w:tc>
        <w:tc>
          <w:tcPr>
            <w:tcW w:w="140" w:type="dxa"/>
            <w:vAlign w:val="bottom"/>
            <w:shd w:val="clear" w:color="auto" w:fill="B3B3B3"/>
          </w:tcPr>
          <w:p>
            <w:pPr>
              <w:spacing w:after="0"/>
              <w:rPr>
                <w:sz w:val="20"/>
                <w:szCs w:val="20"/>
                <w:color w:val="auto"/>
              </w:rPr>
            </w:pPr>
          </w:p>
        </w:tc>
        <w:tc>
          <w:tcPr>
            <w:tcW w:w="1240" w:type="dxa"/>
            <w:vAlign w:val="bottom"/>
            <w:tcBorders>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7,689</w:t>
            </w:r>
          </w:p>
        </w:tc>
        <w:tc>
          <w:tcPr>
            <w:tcW w:w="0" w:type="dxa"/>
            <w:vAlign w:val="bottom"/>
          </w:tcPr>
          <w:p>
            <w:pPr>
              <w:spacing w:after="0"/>
              <w:rPr>
                <w:sz w:val="1"/>
                <w:szCs w:val="1"/>
                <w:color w:val="auto"/>
              </w:rPr>
            </w:pPr>
          </w:p>
        </w:tc>
      </w:tr>
      <w:tr>
        <w:trPr>
          <w:trHeight w:val="222"/>
        </w:trPr>
        <w:tc>
          <w:tcPr>
            <w:tcW w:w="6220" w:type="dxa"/>
            <w:vAlign w:val="bottom"/>
            <w:tcBorders>
              <w:left w:val="single" w:sz="8" w:color="auto"/>
            </w:tcBorders>
            <w:gridSpan w:val="2"/>
          </w:tcPr>
          <w:p>
            <w:pPr>
              <w:ind w:left="20"/>
              <w:spacing w:after="0" w:line="215" w:lineRule="exact"/>
              <w:rPr>
                <w:sz w:val="20"/>
                <w:szCs w:val="20"/>
                <w:color w:val="auto"/>
              </w:rPr>
            </w:pPr>
            <w:r>
              <w:rPr>
                <w:rFonts w:ascii="Calibri" w:cs="Calibri" w:eastAsia="Calibri" w:hAnsi="Calibri"/>
                <w:sz w:val="18"/>
                <w:szCs w:val="18"/>
                <w:color w:val="auto"/>
              </w:rPr>
              <w:t>Richard G. Erstad</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9,160</w:t>
            </w:r>
          </w:p>
        </w:tc>
        <w:tc>
          <w:tcPr>
            <w:tcW w:w="200" w:type="dxa"/>
            <w:vAlign w:val="bottom"/>
          </w:tcPr>
          <w:p>
            <w:pPr>
              <w:spacing w:after="0"/>
              <w:rPr>
                <w:sz w:val="19"/>
                <w:szCs w:val="19"/>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6,652</w:t>
            </w:r>
          </w:p>
        </w:tc>
        <w:tc>
          <w:tcPr>
            <w:tcW w:w="140" w:type="dxa"/>
            <w:vAlign w:val="bottom"/>
          </w:tcPr>
          <w:p>
            <w:pPr>
              <w:spacing w:after="0"/>
              <w:rPr>
                <w:sz w:val="19"/>
                <w:szCs w:val="19"/>
                <w:color w:val="auto"/>
              </w:rPr>
            </w:pPr>
          </w:p>
        </w:tc>
        <w:tc>
          <w:tcPr>
            <w:tcW w:w="124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7,630</w:t>
            </w:r>
          </w:p>
        </w:tc>
        <w:tc>
          <w:tcPr>
            <w:tcW w:w="0" w:type="dxa"/>
            <w:vAlign w:val="bottom"/>
          </w:tcPr>
          <w:p>
            <w:pPr>
              <w:spacing w:after="0"/>
              <w:rPr>
                <w:sz w:val="1"/>
                <w:szCs w:val="1"/>
                <w:color w:val="auto"/>
              </w:rPr>
            </w:pPr>
          </w:p>
        </w:tc>
      </w:tr>
      <w:tr>
        <w:trPr>
          <w:trHeight w:val="230"/>
        </w:trPr>
        <w:tc>
          <w:tcPr>
            <w:tcW w:w="6220" w:type="dxa"/>
            <w:vAlign w:val="bottom"/>
            <w:tcBorders>
              <w:left w:val="single" w:sz="8" w:color="auto"/>
              <w:bottom w:val="single" w:sz="8" w:color="auto"/>
            </w:tcBorders>
            <w:gridSpan w:val="2"/>
            <w:shd w:val="clear" w:color="auto" w:fill="B3B3B3"/>
          </w:tcPr>
          <w:p>
            <w:pPr>
              <w:ind w:left="20"/>
              <w:spacing w:after="0"/>
              <w:rPr>
                <w:sz w:val="20"/>
                <w:szCs w:val="20"/>
                <w:color w:val="auto"/>
              </w:rPr>
            </w:pPr>
            <w:r>
              <w:rPr>
                <w:rFonts w:ascii="Calibri" w:cs="Calibri" w:eastAsia="Calibri" w:hAnsi="Calibri"/>
                <w:sz w:val="18"/>
                <w:szCs w:val="18"/>
                <w:color w:val="auto"/>
              </w:rPr>
              <w:t>Douglas A. Lange</w:t>
            </w:r>
          </w:p>
        </w:tc>
        <w:tc>
          <w:tcPr>
            <w:tcW w:w="1220" w:type="dxa"/>
            <w:vAlign w:val="bottom"/>
            <w:tcBorders>
              <w:bottom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6,864</w:t>
            </w:r>
          </w:p>
        </w:tc>
        <w:tc>
          <w:tcPr>
            <w:tcW w:w="200" w:type="dxa"/>
            <w:vAlign w:val="bottom"/>
            <w:tcBorders>
              <w:bottom w:val="single" w:sz="8" w:color="auto"/>
            </w:tcBorders>
            <w:shd w:val="clear" w:color="auto" w:fill="B3B3B3"/>
          </w:tcPr>
          <w:p>
            <w:pPr>
              <w:spacing w:after="0"/>
              <w:rPr>
                <w:sz w:val="20"/>
                <w:szCs w:val="20"/>
                <w:color w:val="auto"/>
              </w:rPr>
            </w:pPr>
          </w:p>
        </w:tc>
        <w:tc>
          <w:tcPr>
            <w:tcW w:w="1200" w:type="dxa"/>
            <w:vAlign w:val="bottom"/>
            <w:tcBorders>
              <w:bottom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6,141</w:t>
            </w:r>
          </w:p>
        </w:tc>
        <w:tc>
          <w:tcPr>
            <w:tcW w:w="140" w:type="dxa"/>
            <w:vAlign w:val="bottom"/>
            <w:tcBorders>
              <w:bottom w:val="single" w:sz="8" w:color="auto"/>
            </w:tcBorders>
            <w:shd w:val="clear" w:color="auto" w:fill="B3B3B3"/>
          </w:tcPr>
          <w:p>
            <w:pPr>
              <w:spacing w:after="0"/>
              <w:rPr>
                <w:sz w:val="20"/>
                <w:szCs w:val="20"/>
                <w:color w:val="auto"/>
              </w:rPr>
            </w:pPr>
          </w:p>
        </w:tc>
        <w:tc>
          <w:tcPr>
            <w:tcW w:w="124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7,042</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0" w:right="40"/>
        <w:spacing w:after="0" w:line="235" w:lineRule="auto"/>
        <w:rPr>
          <w:sz w:val="20"/>
          <w:szCs w:val="20"/>
          <w:color w:val="auto"/>
        </w:rPr>
      </w:pPr>
      <w:r>
        <w:rPr>
          <w:rFonts w:ascii="Calibri" w:cs="Calibri" w:eastAsia="Calibri" w:hAnsi="Calibri"/>
          <w:sz w:val="18"/>
          <w:szCs w:val="18"/>
          <w:color w:val="auto"/>
        </w:rPr>
        <w:t>The unvested restricted stock generally will be forfeited in their entrety if the named executve ofcer departs the company before the end of the applicable vestng period, except that the vestng of the units and restricted stock may be accelerated upon the occurrence of certain events described below under “Potental Payments Upon Terminaton or Change in Control."</w:t>
      </w:r>
    </w:p>
    <w:p>
      <w:pPr>
        <w:spacing w:after="0" w:line="92" w:lineRule="exact"/>
        <w:rPr>
          <w:sz w:val="20"/>
          <w:szCs w:val="20"/>
          <w:color w:val="auto"/>
        </w:rPr>
      </w:pPr>
    </w:p>
    <w:p>
      <w:pPr>
        <w:ind w:left="240" w:hanging="232"/>
        <w:spacing w:after="0"/>
        <w:tabs>
          <w:tab w:leader="none" w:pos="2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Based on closing price of our common stock of $76.80 per share as reported by Nasdaq on March 28, 2024, the last business day of fscal 2024.</w:t>
      </w:r>
    </w:p>
    <w:p>
      <w:pPr>
        <w:spacing w:after="0" w:line="200" w:lineRule="exact"/>
        <w:rPr>
          <w:rFonts w:ascii="Calibri" w:cs="Calibri" w:eastAsia="Calibri" w:hAnsi="Calibri"/>
          <w:sz w:val="18"/>
          <w:szCs w:val="18"/>
          <w:color w:val="auto"/>
        </w:rPr>
      </w:pPr>
    </w:p>
    <w:p>
      <w:pPr>
        <w:spacing w:after="0" w:line="349" w:lineRule="exact"/>
        <w:rPr>
          <w:rFonts w:ascii="Calibri" w:cs="Calibri" w:eastAsia="Calibri" w:hAnsi="Calibri"/>
          <w:sz w:val="18"/>
          <w:szCs w:val="18"/>
          <w:color w:val="auto"/>
        </w:rPr>
      </w:pPr>
    </w:p>
    <w:p>
      <w:pPr>
        <w:ind w:left="5540"/>
        <w:spacing w:after="0"/>
        <w:rPr>
          <w:rFonts w:ascii="Calibri" w:cs="Calibri" w:eastAsia="Calibri" w:hAnsi="Calibri"/>
          <w:sz w:val="18"/>
          <w:szCs w:val="18"/>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26" w:name="page27"/>
    <w:bookmarkEnd w:id="26"/>
    <w:p>
      <w:pPr>
        <w:spacing w:after="0"/>
        <w:rPr>
          <w:sz w:val="20"/>
          <w:szCs w:val="20"/>
          <w:color w:val="auto"/>
        </w:rPr>
      </w:pPr>
      <w:r>
        <w:rPr>
          <w:rFonts w:ascii="Calibri" w:cs="Calibri" w:eastAsia="Calibri" w:hAnsi="Calibri"/>
          <w:sz w:val="20"/>
          <w:szCs w:val="20"/>
          <w:b w:val="1"/>
          <w:bCs w:val="1"/>
          <w:color w:val="auto"/>
        </w:rPr>
        <w:t>Stock Vested</w:t>
      </w:r>
    </w:p>
    <w:p>
      <w:pPr>
        <w:spacing w:after="0" w:line="105"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following table provides informaton concerning the aggregate number of shares of restricted stock that vested for each of our named executve ofcers during fscal 2024, and the aggregate dollar values realized by each of our named executve ofcers upon such vestng.</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6600" w:type="dxa"/>
            <w:vAlign w:val="bottom"/>
            <w:tcBorders>
              <w:top w:val="single" w:sz="8" w:color="auto"/>
              <w:lef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300" w:type="dxa"/>
            <w:vAlign w:val="bottom"/>
            <w:tcBorders>
              <w:top w:val="single" w:sz="8" w:color="auto"/>
              <w:right w:val="single" w:sz="8" w:color="auto"/>
            </w:tcBorders>
            <w:gridSpan w:val="3"/>
          </w:tcPr>
          <w:p>
            <w:pPr>
              <w:jc w:val="right"/>
              <w:ind w:right="1673"/>
              <w:spacing w:after="0"/>
              <w:rPr>
                <w:sz w:val="20"/>
                <w:szCs w:val="20"/>
                <w:color w:val="auto"/>
              </w:rPr>
            </w:pPr>
            <w:r>
              <w:rPr>
                <w:rFonts w:ascii="Calibri" w:cs="Calibri" w:eastAsia="Calibri" w:hAnsi="Calibri"/>
                <w:sz w:val="14"/>
                <w:szCs w:val="14"/>
                <w:b w:val="1"/>
                <w:bCs w:val="1"/>
                <w:color w:val="auto"/>
              </w:rPr>
              <w:t>Stock Awards</w:t>
            </w:r>
          </w:p>
        </w:tc>
        <w:tc>
          <w:tcPr>
            <w:tcW w:w="0" w:type="dxa"/>
            <w:vAlign w:val="bottom"/>
          </w:tcPr>
          <w:p>
            <w:pPr>
              <w:spacing w:after="0"/>
              <w:rPr>
                <w:sz w:val="1"/>
                <w:szCs w:val="1"/>
                <w:color w:val="auto"/>
              </w:rPr>
            </w:pPr>
          </w:p>
        </w:tc>
      </w:tr>
      <w:tr>
        <w:trPr>
          <w:trHeight w:val="33"/>
        </w:trPr>
        <w:tc>
          <w:tcPr>
            <w:tcW w:w="66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00" w:type="dxa"/>
            <w:vAlign w:val="bottom"/>
            <w:tcBorders>
              <w:left w:val="single" w:sz="8" w:color="auto"/>
            </w:tcBorders>
            <w:gridSpan w:val="2"/>
            <w:vMerge w:val="restart"/>
          </w:tcPr>
          <w:p>
            <w:pPr>
              <w:ind w:left="40"/>
              <w:spacing w:after="0"/>
              <w:rPr>
                <w:sz w:val="20"/>
                <w:szCs w:val="20"/>
                <w:color w:val="auto"/>
              </w:rPr>
            </w:pPr>
            <w:r>
              <w:rPr>
                <w:rFonts w:ascii="Calibri" w:cs="Calibri" w:eastAsia="Calibri" w:hAnsi="Calibri"/>
                <w:sz w:val="14"/>
                <w:szCs w:val="14"/>
                <w:b w:val="1"/>
                <w:bCs w:val="1"/>
                <w:color w:val="auto"/>
              </w:rPr>
              <w:t>Name</w:t>
            </w:r>
          </w:p>
        </w:tc>
        <w:tc>
          <w:tcPr>
            <w:tcW w:w="2200" w:type="dxa"/>
            <w:vAlign w:val="bottom"/>
            <w:gridSpan w:val="2"/>
          </w:tcPr>
          <w:p>
            <w:pPr>
              <w:jc w:val="center"/>
              <w:ind w:right="120"/>
              <w:spacing w:after="0" w:line="127" w:lineRule="exact"/>
              <w:rPr>
                <w:sz w:val="20"/>
                <w:szCs w:val="20"/>
                <w:color w:val="auto"/>
              </w:rPr>
            </w:pPr>
            <w:r>
              <w:rPr>
                <w:rFonts w:ascii="Calibri" w:cs="Calibri" w:eastAsia="Calibri" w:hAnsi="Calibri"/>
                <w:sz w:val="13"/>
                <w:szCs w:val="13"/>
                <w:b w:val="1"/>
                <w:bCs w:val="1"/>
                <w:color w:val="auto"/>
              </w:rPr>
              <w:t>Number of Shares Acquired on</w:t>
            </w:r>
          </w:p>
        </w:tc>
        <w:tc>
          <w:tcPr>
            <w:tcW w:w="2100" w:type="dxa"/>
            <w:vAlign w:val="bottom"/>
            <w:tcBorders>
              <w:right w:val="single" w:sz="8" w:color="auto"/>
            </w:tcBorders>
            <w:vMerge w:val="restart"/>
          </w:tcPr>
          <w:p>
            <w:pPr>
              <w:jc w:val="right"/>
              <w:ind w:right="13"/>
              <w:spacing w:after="0"/>
              <w:rPr>
                <w:sz w:val="20"/>
                <w:szCs w:val="20"/>
                <w:color w:val="auto"/>
              </w:rPr>
            </w:pPr>
            <w:r>
              <w:rPr>
                <w:rFonts w:ascii="Calibri" w:cs="Calibri" w:eastAsia="Calibri" w:hAnsi="Calibri"/>
                <w:sz w:val="14"/>
                <w:szCs w:val="14"/>
                <w:b w:val="1"/>
                <w:bCs w:val="1"/>
                <w:color w:val="auto"/>
              </w:rPr>
              <w:t>Value Realized on Vestng ($) (b)</w:t>
            </w:r>
          </w:p>
        </w:tc>
        <w:tc>
          <w:tcPr>
            <w:tcW w:w="0" w:type="dxa"/>
            <w:vAlign w:val="bottom"/>
          </w:tcPr>
          <w:p>
            <w:pPr>
              <w:spacing w:after="0"/>
              <w:rPr>
                <w:sz w:val="1"/>
                <w:szCs w:val="1"/>
                <w:color w:val="auto"/>
              </w:rPr>
            </w:pPr>
          </w:p>
        </w:tc>
      </w:tr>
      <w:tr>
        <w:trPr>
          <w:trHeight w:val="170"/>
        </w:trPr>
        <w:tc>
          <w:tcPr>
            <w:tcW w:w="6700" w:type="dxa"/>
            <w:vAlign w:val="bottom"/>
            <w:tcBorders>
              <w:left w:val="single" w:sz="8" w:color="auto"/>
            </w:tcBorders>
            <w:gridSpan w:val="2"/>
            <w:vMerge w:val="continue"/>
          </w:tcPr>
          <w:p>
            <w:pPr>
              <w:spacing w:after="0"/>
              <w:rPr>
                <w:sz w:val="14"/>
                <w:szCs w:val="14"/>
                <w:color w:val="auto"/>
              </w:rPr>
            </w:pPr>
          </w:p>
        </w:tc>
        <w:tc>
          <w:tcPr>
            <w:tcW w:w="220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Vestng (#) (a)</w:t>
            </w:r>
          </w:p>
        </w:tc>
        <w:tc>
          <w:tcPr>
            <w:tcW w:w="2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6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0" w:type="dxa"/>
            <w:vAlign w:val="bottom"/>
            <w:tcBorders>
              <w:left w:val="single" w:sz="8" w:color="auto"/>
            </w:tcBorders>
            <w:shd w:val="clear" w:color="auto" w:fill="B3B3B3"/>
          </w:tcPr>
          <w:p>
            <w:pPr>
              <w:ind w:left="40"/>
              <w:spacing w:after="0" w:line="215" w:lineRule="exact"/>
              <w:rPr>
                <w:sz w:val="20"/>
                <w:szCs w:val="20"/>
                <w:color w:val="auto"/>
              </w:rPr>
            </w:pPr>
            <w:r>
              <w:rPr>
                <w:rFonts w:ascii="Calibri" w:cs="Calibri" w:eastAsia="Calibri" w:hAnsi="Calibri"/>
                <w:sz w:val="18"/>
                <w:szCs w:val="18"/>
                <w:color w:val="auto"/>
              </w:rPr>
              <w:t>Patrick H. Hawkins</w:t>
            </w:r>
          </w:p>
        </w:tc>
        <w:tc>
          <w:tcPr>
            <w:tcW w:w="100" w:type="dxa"/>
            <w:vAlign w:val="bottom"/>
            <w:shd w:val="clear" w:color="auto" w:fill="B3B3B3"/>
          </w:tcPr>
          <w:p>
            <w:pPr>
              <w:spacing w:after="0"/>
              <w:rPr>
                <w:sz w:val="19"/>
                <w:szCs w:val="19"/>
                <w:color w:val="auto"/>
              </w:rPr>
            </w:pPr>
          </w:p>
        </w:tc>
        <w:tc>
          <w:tcPr>
            <w:tcW w:w="208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40,137</w:t>
            </w:r>
          </w:p>
        </w:tc>
        <w:tc>
          <w:tcPr>
            <w:tcW w:w="120" w:type="dxa"/>
            <w:vAlign w:val="bottom"/>
            <w:shd w:val="clear" w:color="auto" w:fill="B3B3B3"/>
          </w:tcPr>
          <w:p>
            <w:pPr>
              <w:spacing w:after="0"/>
              <w:rPr>
                <w:sz w:val="19"/>
                <w:szCs w:val="19"/>
                <w:color w:val="auto"/>
              </w:rPr>
            </w:pPr>
          </w:p>
        </w:tc>
        <w:tc>
          <w:tcPr>
            <w:tcW w:w="2100" w:type="dxa"/>
            <w:vAlign w:val="bottom"/>
            <w:tcBorders>
              <w:right w:val="single" w:sz="8" w:color="auto"/>
            </w:tcBorders>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1,771,246</w:t>
            </w:r>
          </w:p>
        </w:tc>
        <w:tc>
          <w:tcPr>
            <w:tcW w:w="0" w:type="dxa"/>
            <w:vAlign w:val="bottom"/>
          </w:tcPr>
          <w:p>
            <w:pPr>
              <w:spacing w:after="0"/>
              <w:rPr>
                <w:sz w:val="1"/>
                <w:szCs w:val="1"/>
                <w:color w:val="auto"/>
              </w:rPr>
            </w:pPr>
          </w:p>
        </w:tc>
      </w:tr>
      <w:tr>
        <w:trPr>
          <w:trHeight w:val="222"/>
        </w:trPr>
        <w:tc>
          <w:tcPr>
            <w:tcW w:w="6700" w:type="dxa"/>
            <w:vAlign w:val="bottom"/>
            <w:tcBorders>
              <w:left w:val="single" w:sz="8" w:color="auto"/>
            </w:tcBorders>
            <w:gridSpan w:val="2"/>
          </w:tcPr>
          <w:p>
            <w:pPr>
              <w:ind w:left="40"/>
              <w:spacing w:after="0" w:line="215" w:lineRule="exact"/>
              <w:rPr>
                <w:sz w:val="20"/>
                <w:szCs w:val="20"/>
                <w:color w:val="auto"/>
              </w:rPr>
            </w:pPr>
            <w:r>
              <w:rPr>
                <w:rFonts w:ascii="Calibri" w:cs="Calibri" w:eastAsia="Calibri" w:hAnsi="Calibri"/>
                <w:sz w:val="18"/>
                <w:szCs w:val="18"/>
                <w:color w:val="auto"/>
              </w:rPr>
              <w:t>Jefery P. Oldenkamp</w:t>
            </w:r>
          </w:p>
        </w:tc>
        <w:tc>
          <w:tcPr>
            <w:tcW w:w="2080" w:type="dxa"/>
            <w:vAlign w:val="bottom"/>
          </w:tcPr>
          <w:p>
            <w:pPr>
              <w:jc w:val="right"/>
              <w:spacing w:after="0" w:line="215" w:lineRule="exact"/>
              <w:rPr>
                <w:sz w:val="20"/>
                <w:szCs w:val="20"/>
                <w:color w:val="auto"/>
              </w:rPr>
            </w:pPr>
            <w:r>
              <w:rPr>
                <w:rFonts w:ascii="Calibri" w:cs="Calibri" w:eastAsia="Calibri" w:hAnsi="Calibri"/>
                <w:sz w:val="18"/>
                <w:szCs w:val="18"/>
                <w:color w:val="auto"/>
              </w:rPr>
              <w:t>18,810</w:t>
            </w:r>
          </w:p>
        </w:tc>
        <w:tc>
          <w:tcPr>
            <w:tcW w:w="120" w:type="dxa"/>
            <w:vAlign w:val="bottom"/>
          </w:tcPr>
          <w:p>
            <w:pPr>
              <w:spacing w:after="0"/>
              <w:rPr>
                <w:sz w:val="19"/>
                <w:szCs w:val="19"/>
                <w:color w:val="auto"/>
              </w:rPr>
            </w:pPr>
          </w:p>
        </w:tc>
        <w:tc>
          <w:tcPr>
            <w:tcW w:w="210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830,085</w:t>
            </w:r>
          </w:p>
        </w:tc>
        <w:tc>
          <w:tcPr>
            <w:tcW w:w="0" w:type="dxa"/>
            <w:vAlign w:val="bottom"/>
          </w:tcPr>
          <w:p>
            <w:pPr>
              <w:spacing w:after="0"/>
              <w:rPr>
                <w:sz w:val="1"/>
                <w:szCs w:val="1"/>
                <w:color w:val="auto"/>
              </w:rPr>
            </w:pPr>
          </w:p>
        </w:tc>
      </w:tr>
      <w:tr>
        <w:trPr>
          <w:trHeight w:val="237"/>
        </w:trPr>
        <w:tc>
          <w:tcPr>
            <w:tcW w:w="6700" w:type="dxa"/>
            <w:vAlign w:val="bottom"/>
            <w:tcBorders>
              <w:left w:val="single" w:sz="8" w:color="auto"/>
            </w:tcBorders>
            <w:gridSpan w:val="2"/>
            <w:shd w:val="clear" w:color="auto" w:fill="B3B3B3"/>
          </w:tcPr>
          <w:p>
            <w:pPr>
              <w:ind w:left="40"/>
              <w:spacing w:after="0"/>
              <w:rPr>
                <w:sz w:val="20"/>
                <w:szCs w:val="20"/>
                <w:color w:val="auto"/>
              </w:rPr>
            </w:pPr>
            <w:r>
              <w:rPr>
                <w:rFonts w:ascii="Calibri" w:cs="Calibri" w:eastAsia="Calibri" w:hAnsi="Calibri"/>
                <w:sz w:val="18"/>
                <w:szCs w:val="18"/>
                <w:color w:val="auto"/>
              </w:rPr>
              <w:t>Drew M. Grahek</w:t>
            </w:r>
          </w:p>
        </w:tc>
        <w:tc>
          <w:tcPr>
            <w:tcW w:w="208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8,346</w:t>
            </w:r>
          </w:p>
        </w:tc>
        <w:tc>
          <w:tcPr>
            <w:tcW w:w="120" w:type="dxa"/>
            <w:vAlign w:val="bottom"/>
            <w:shd w:val="clear" w:color="auto" w:fill="B3B3B3"/>
          </w:tcPr>
          <w:p>
            <w:pPr>
              <w:spacing w:after="0"/>
              <w:rPr>
                <w:sz w:val="20"/>
                <w:szCs w:val="20"/>
                <w:color w:val="auto"/>
              </w:rPr>
            </w:pPr>
          </w:p>
        </w:tc>
        <w:tc>
          <w:tcPr>
            <w:tcW w:w="2100" w:type="dxa"/>
            <w:vAlign w:val="bottom"/>
            <w:tcBorders>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368,309</w:t>
            </w:r>
          </w:p>
        </w:tc>
        <w:tc>
          <w:tcPr>
            <w:tcW w:w="0" w:type="dxa"/>
            <w:vAlign w:val="bottom"/>
          </w:tcPr>
          <w:p>
            <w:pPr>
              <w:spacing w:after="0"/>
              <w:rPr>
                <w:sz w:val="1"/>
                <w:szCs w:val="1"/>
                <w:color w:val="auto"/>
              </w:rPr>
            </w:pPr>
          </w:p>
        </w:tc>
      </w:tr>
      <w:tr>
        <w:trPr>
          <w:trHeight w:val="222"/>
        </w:trPr>
        <w:tc>
          <w:tcPr>
            <w:tcW w:w="6700" w:type="dxa"/>
            <w:vAlign w:val="bottom"/>
            <w:tcBorders>
              <w:left w:val="single" w:sz="8" w:color="auto"/>
            </w:tcBorders>
            <w:gridSpan w:val="2"/>
          </w:tcPr>
          <w:p>
            <w:pPr>
              <w:ind w:left="40"/>
              <w:spacing w:after="0" w:line="215" w:lineRule="exact"/>
              <w:rPr>
                <w:sz w:val="20"/>
                <w:szCs w:val="20"/>
                <w:color w:val="auto"/>
              </w:rPr>
            </w:pPr>
            <w:r>
              <w:rPr>
                <w:rFonts w:ascii="Calibri" w:cs="Calibri" w:eastAsia="Calibri" w:hAnsi="Calibri"/>
                <w:sz w:val="18"/>
                <w:szCs w:val="18"/>
                <w:color w:val="auto"/>
              </w:rPr>
              <w:t>Richard G. Erstad</w:t>
            </w:r>
          </w:p>
        </w:tc>
        <w:tc>
          <w:tcPr>
            <w:tcW w:w="2080" w:type="dxa"/>
            <w:vAlign w:val="bottom"/>
          </w:tcPr>
          <w:p>
            <w:pPr>
              <w:jc w:val="right"/>
              <w:spacing w:after="0" w:line="215" w:lineRule="exact"/>
              <w:rPr>
                <w:sz w:val="20"/>
                <w:szCs w:val="20"/>
                <w:color w:val="auto"/>
              </w:rPr>
            </w:pPr>
            <w:r>
              <w:rPr>
                <w:rFonts w:ascii="Calibri" w:cs="Calibri" w:eastAsia="Calibri" w:hAnsi="Calibri"/>
                <w:sz w:val="18"/>
                <w:szCs w:val="18"/>
                <w:color w:val="auto"/>
              </w:rPr>
              <w:t>15,102</w:t>
            </w:r>
          </w:p>
        </w:tc>
        <w:tc>
          <w:tcPr>
            <w:tcW w:w="120" w:type="dxa"/>
            <w:vAlign w:val="bottom"/>
          </w:tcPr>
          <w:p>
            <w:pPr>
              <w:spacing w:after="0"/>
              <w:rPr>
                <w:sz w:val="19"/>
                <w:szCs w:val="19"/>
                <w:color w:val="auto"/>
              </w:rPr>
            </w:pPr>
          </w:p>
        </w:tc>
        <w:tc>
          <w:tcPr>
            <w:tcW w:w="210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666,451</w:t>
            </w:r>
          </w:p>
        </w:tc>
        <w:tc>
          <w:tcPr>
            <w:tcW w:w="0" w:type="dxa"/>
            <w:vAlign w:val="bottom"/>
          </w:tcPr>
          <w:p>
            <w:pPr>
              <w:spacing w:after="0"/>
              <w:rPr>
                <w:sz w:val="1"/>
                <w:szCs w:val="1"/>
                <w:color w:val="auto"/>
              </w:rPr>
            </w:pPr>
          </w:p>
        </w:tc>
      </w:tr>
      <w:tr>
        <w:trPr>
          <w:trHeight w:val="230"/>
        </w:trPr>
        <w:tc>
          <w:tcPr>
            <w:tcW w:w="670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Calibri" w:cs="Calibri" w:eastAsia="Calibri" w:hAnsi="Calibri"/>
                <w:sz w:val="18"/>
                <w:szCs w:val="18"/>
                <w:color w:val="auto"/>
              </w:rPr>
              <w:t>Douglas A. Lange</w:t>
            </w:r>
          </w:p>
        </w:tc>
        <w:tc>
          <w:tcPr>
            <w:tcW w:w="2080" w:type="dxa"/>
            <w:vAlign w:val="bottom"/>
            <w:tcBorders>
              <w:bottom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7,545</w:t>
            </w:r>
          </w:p>
        </w:tc>
        <w:tc>
          <w:tcPr>
            <w:tcW w:w="120" w:type="dxa"/>
            <w:vAlign w:val="bottom"/>
            <w:tcBorders>
              <w:bottom w:val="single" w:sz="8" w:color="auto"/>
            </w:tcBorders>
            <w:shd w:val="clear" w:color="auto" w:fill="B3B3B3"/>
          </w:tcPr>
          <w:p>
            <w:pPr>
              <w:spacing w:after="0"/>
              <w:rPr>
                <w:sz w:val="20"/>
                <w:szCs w:val="20"/>
                <w:color w:val="auto"/>
              </w:rPr>
            </w:pPr>
          </w:p>
        </w:tc>
        <w:tc>
          <w:tcPr>
            <w:tcW w:w="210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332,961</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40" w:hanging="232"/>
        <w:spacing w:after="0"/>
        <w:tabs>
          <w:tab w:leader="none" w:pos="2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The shares vestng in fscal 2024 were related to fscal 2021 performance-based stock awards, which shares vested on April 3, 2023.</w:t>
      </w:r>
    </w:p>
    <w:p>
      <w:pPr>
        <w:spacing w:after="0" w:line="77" w:lineRule="exact"/>
        <w:rPr>
          <w:rFonts w:ascii="Calibri" w:cs="Calibri" w:eastAsia="Calibri" w:hAnsi="Calibri"/>
          <w:sz w:val="18"/>
          <w:szCs w:val="18"/>
          <w:color w:val="auto"/>
        </w:rPr>
      </w:pPr>
    </w:p>
    <w:p>
      <w:pPr>
        <w:ind w:left="240" w:hanging="232"/>
        <w:spacing w:after="0"/>
        <w:tabs>
          <w:tab w:leader="none" w:pos="2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Amounts in this column are based on the fair market value of a share of our common stock on the date of vestng of $44.13 per share.</w:t>
      </w:r>
    </w:p>
    <w:p>
      <w:pPr>
        <w:spacing w:after="0" w:line="32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Nonqualifed Deferred Compensaton</w:t>
      </w:r>
    </w:p>
    <w:p>
      <w:pPr>
        <w:spacing w:after="0" w:line="105"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nonqualifed deferred compensaton plan is structured to comply with Secton 409A of the Code. Partcipants may not defer income under the plan. All contributons to the plan are made by the company and are fully vested immediately. Distributons under the plan begin six months afer terminaton of employment, and are made in one lump sum, or in installment payments over three or fve years, as chosen by the partcipant prior to their entry into the plan. Partcipant accounts are credited with the appropriate gains or losses resultng from the partcipant-directed investments made under the plan. Partcipants may change their investment selectons on a daily basis. For fscal 2024, we made contributons to the nonqualifed deferred compensaton plan equal to 10% of each partcipant’s eligible compensaton in the plan year, resultng in a contributon of $33,000 on behalf of each eligible named executve ofcer.</w:t>
      </w:r>
    </w:p>
    <w:p>
      <w:pPr>
        <w:spacing w:after="0" w:line="24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table provides informaton concerning nonqualifed deferred compensaton for each of our eligible named executve ofcers for fscal 2024. Contributons to this plan were made afer the end of fscal 2024, and thus the aggregate balance at fscal 2024 year end shown below does not include fscal 2024 contributons yet to be made. No withdrawals or distributons from the nonqualifed deferred compensaton plan were made in fscal 2024 by any named executve ofcer.</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6060" w:type="dxa"/>
            <w:vAlign w:val="bottom"/>
            <w:tcBorders>
              <w:top w:val="single" w:sz="8" w:color="auto"/>
              <w:left w:val="single" w:sz="8" w:color="auto"/>
            </w:tcBorders>
            <w:gridSpan w:val="2"/>
            <w:vMerge w:val="restart"/>
          </w:tcPr>
          <w:p>
            <w:pPr>
              <w:ind w:left="40"/>
              <w:spacing w:after="0"/>
              <w:rPr>
                <w:sz w:val="20"/>
                <w:szCs w:val="20"/>
                <w:color w:val="auto"/>
              </w:rPr>
            </w:pPr>
            <w:r>
              <w:rPr>
                <w:rFonts w:ascii="Calibri" w:cs="Calibri" w:eastAsia="Calibri" w:hAnsi="Calibri"/>
                <w:sz w:val="14"/>
                <w:szCs w:val="14"/>
                <w:b w:val="1"/>
                <w:bCs w:val="1"/>
                <w:color w:val="auto"/>
              </w:rPr>
              <w:t>Name</w:t>
            </w:r>
          </w:p>
        </w:tc>
        <w:tc>
          <w:tcPr>
            <w:tcW w:w="1620" w:type="dxa"/>
            <w:vAlign w:val="bottom"/>
            <w:tcBorders>
              <w:top w:val="single" w:sz="8" w:color="auto"/>
            </w:tcBorders>
            <w:gridSpan w:val="2"/>
          </w:tcPr>
          <w:p>
            <w:pPr>
              <w:jc w:val="right"/>
              <w:ind w:right="16"/>
              <w:spacing w:after="0" w:line="148" w:lineRule="exact"/>
              <w:rPr>
                <w:sz w:val="20"/>
                <w:szCs w:val="20"/>
                <w:color w:val="auto"/>
              </w:rPr>
            </w:pPr>
            <w:r>
              <w:rPr>
                <w:rFonts w:ascii="Calibri" w:cs="Calibri" w:eastAsia="Calibri" w:hAnsi="Calibri"/>
                <w:sz w:val="14"/>
                <w:szCs w:val="14"/>
                <w:b w:val="1"/>
                <w:bCs w:val="1"/>
                <w:color w:val="auto"/>
              </w:rPr>
              <w:t>Registrant Contributons</w:t>
            </w: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center"/>
              <w:ind w:right="220"/>
              <w:spacing w:after="0" w:line="148" w:lineRule="exact"/>
              <w:rPr>
                <w:sz w:val="20"/>
                <w:szCs w:val="20"/>
                <w:color w:val="auto"/>
              </w:rPr>
            </w:pPr>
            <w:r>
              <w:rPr>
                <w:rFonts w:ascii="Calibri" w:cs="Calibri" w:eastAsia="Calibri" w:hAnsi="Calibri"/>
                <w:sz w:val="14"/>
                <w:szCs w:val="14"/>
                <w:b w:val="1"/>
                <w:bCs w:val="1"/>
                <w:color w:val="auto"/>
              </w:rPr>
              <w:t>Aggregate Earnings in</w:t>
            </w:r>
          </w:p>
        </w:tc>
        <w:tc>
          <w:tcPr>
            <w:tcW w:w="100" w:type="dxa"/>
            <w:vAlign w:val="bottom"/>
            <w:tcBorders>
              <w:top w:val="single" w:sz="8" w:color="auto"/>
            </w:tcBorders>
          </w:tcPr>
          <w:p>
            <w:pPr>
              <w:spacing w:after="0"/>
              <w:rPr>
                <w:sz w:val="12"/>
                <w:szCs w:val="12"/>
                <w:color w:val="auto"/>
              </w:rPr>
            </w:pPr>
          </w:p>
        </w:tc>
        <w:tc>
          <w:tcPr>
            <w:tcW w:w="1500" w:type="dxa"/>
            <w:vAlign w:val="bottom"/>
            <w:tcBorders>
              <w:top w:val="single" w:sz="8" w:color="auto"/>
              <w:right w:val="single" w:sz="8" w:color="auto"/>
            </w:tcBorders>
          </w:tcPr>
          <w:p>
            <w:pPr>
              <w:jc w:val="right"/>
              <w:ind w:right="99"/>
              <w:spacing w:after="0" w:line="148" w:lineRule="exact"/>
              <w:rPr>
                <w:sz w:val="20"/>
                <w:szCs w:val="20"/>
                <w:color w:val="auto"/>
              </w:rPr>
            </w:pPr>
            <w:r>
              <w:rPr>
                <w:rFonts w:ascii="Calibri" w:cs="Calibri" w:eastAsia="Calibri" w:hAnsi="Calibri"/>
                <w:sz w:val="14"/>
                <w:szCs w:val="14"/>
                <w:b w:val="1"/>
                <w:bCs w:val="1"/>
                <w:color w:val="auto"/>
              </w:rPr>
              <w:t>Aggregate Balance at</w:t>
            </w:r>
          </w:p>
        </w:tc>
        <w:tc>
          <w:tcPr>
            <w:tcW w:w="0" w:type="dxa"/>
            <w:vAlign w:val="bottom"/>
          </w:tcPr>
          <w:p>
            <w:pPr>
              <w:spacing w:after="0"/>
              <w:rPr>
                <w:sz w:val="1"/>
                <w:szCs w:val="1"/>
                <w:color w:val="auto"/>
              </w:rPr>
            </w:pPr>
          </w:p>
        </w:tc>
      </w:tr>
      <w:tr>
        <w:trPr>
          <w:trHeight w:val="170"/>
        </w:trPr>
        <w:tc>
          <w:tcPr>
            <w:tcW w:w="6060" w:type="dxa"/>
            <w:vAlign w:val="bottom"/>
            <w:tcBorders>
              <w:left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ind w:right="216"/>
              <w:spacing w:after="0"/>
              <w:rPr>
                <w:sz w:val="20"/>
                <w:szCs w:val="20"/>
                <w:color w:val="auto"/>
              </w:rPr>
            </w:pPr>
            <w:r>
              <w:rPr>
                <w:rFonts w:ascii="Calibri" w:cs="Calibri" w:eastAsia="Calibri" w:hAnsi="Calibri"/>
                <w:sz w:val="14"/>
                <w:szCs w:val="14"/>
                <w:b w:val="1"/>
                <w:bCs w:val="1"/>
                <w:color w:val="auto"/>
              </w:rPr>
              <w:t>for Fiscal 2024 (a)</w:t>
            </w:r>
          </w:p>
        </w:tc>
        <w:tc>
          <w:tcPr>
            <w:tcW w:w="18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Fiscal 2024 (b)</w:t>
            </w:r>
          </w:p>
        </w:tc>
        <w:tc>
          <w:tcPr>
            <w:tcW w:w="100" w:type="dxa"/>
            <w:vAlign w:val="bottom"/>
          </w:tcPr>
          <w:p>
            <w:pPr>
              <w:spacing w:after="0"/>
              <w:rPr>
                <w:sz w:val="14"/>
                <w:szCs w:val="14"/>
                <w:color w:val="auto"/>
              </w:rPr>
            </w:pPr>
          </w:p>
        </w:tc>
        <w:tc>
          <w:tcPr>
            <w:tcW w:w="1500" w:type="dxa"/>
            <w:vAlign w:val="bottom"/>
            <w:tcBorders>
              <w:right w:val="single" w:sz="8" w:color="auto"/>
            </w:tcBorders>
          </w:tcPr>
          <w:p>
            <w:pPr>
              <w:jc w:val="right"/>
              <w:ind w:right="39"/>
              <w:spacing w:after="0"/>
              <w:rPr>
                <w:sz w:val="20"/>
                <w:szCs w:val="20"/>
                <w:color w:val="auto"/>
              </w:rPr>
            </w:pPr>
            <w:r>
              <w:rPr>
                <w:rFonts w:ascii="Calibri" w:cs="Calibri" w:eastAsia="Calibri" w:hAnsi="Calibri"/>
                <w:sz w:val="14"/>
                <w:szCs w:val="14"/>
                <w:b w:val="1"/>
                <w:bCs w:val="1"/>
                <w:color w:val="auto"/>
              </w:rPr>
              <w:t>Fiscal 2024 Year End (c)</w:t>
            </w:r>
          </w:p>
        </w:tc>
        <w:tc>
          <w:tcPr>
            <w:tcW w:w="0" w:type="dxa"/>
            <w:vAlign w:val="bottom"/>
          </w:tcPr>
          <w:p>
            <w:pPr>
              <w:spacing w:after="0"/>
              <w:rPr>
                <w:sz w:val="1"/>
                <w:szCs w:val="1"/>
                <w:color w:val="auto"/>
              </w:rPr>
            </w:pPr>
          </w:p>
        </w:tc>
      </w:tr>
      <w:tr>
        <w:trPr>
          <w:trHeight w:val="33"/>
        </w:trPr>
        <w:tc>
          <w:tcPr>
            <w:tcW w:w="596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B3B3B3"/>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tcBorders>
            <w:shd w:val="clear" w:color="auto" w:fill="B3B3B3"/>
          </w:tcPr>
          <w:p>
            <w:pPr>
              <w:ind w:left="40"/>
              <w:spacing w:after="0" w:line="215" w:lineRule="exact"/>
              <w:rPr>
                <w:sz w:val="20"/>
                <w:szCs w:val="20"/>
                <w:color w:val="auto"/>
              </w:rPr>
            </w:pPr>
            <w:r>
              <w:rPr>
                <w:rFonts w:ascii="Calibri" w:cs="Calibri" w:eastAsia="Calibri" w:hAnsi="Calibri"/>
                <w:sz w:val="18"/>
                <w:szCs w:val="18"/>
                <w:color w:val="auto"/>
              </w:rPr>
              <w:t>Patrick H. Hawkins</w:t>
            </w:r>
          </w:p>
        </w:tc>
        <w:tc>
          <w:tcPr>
            <w:tcW w:w="100" w:type="dxa"/>
            <w:vAlign w:val="bottom"/>
            <w:shd w:val="clear" w:color="auto" w:fill="B3B3B3"/>
          </w:tcPr>
          <w:p>
            <w:pPr>
              <w:spacing w:after="0"/>
              <w:rPr>
                <w:sz w:val="19"/>
                <w:szCs w:val="19"/>
                <w:color w:val="auto"/>
              </w:rPr>
            </w:pPr>
          </w:p>
        </w:tc>
        <w:tc>
          <w:tcPr>
            <w:tcW w:w="20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shd w:val="clear" w:color="auto" w:fill="B3B3B3"/>
          </w:tcPr>
          <w:p>
            <w:pPr>
              <w:jc w:val="right"/>
              <w:ind w:right="16"/>
              <w:spacing w:after="0" w:line="215" w:lineRule="exact"/>
              <w:rPr>
                <w:sz w:val="20"/>
                <w:szCs w:val="20"/>
                <w:color w:val="auto"/>
              </w:rPr>
            </w:pPr>
            <w:r>
              <w:rPr>
                <w:rFonts w:ascii="Calibri" w:cs="Calibri" w:eastAsia="Calibri" w:hAnsi="Calibri"/>
                <w:sz w:val="18"/>
                <w:szCs w:val="18"/>
                <w:color w:val="auto"/>
              </w:rPr>
              <w:t>33,000</w:t>
            </w:r>
          </w:p>
        </w:tc>
        <w:tc>
          <w:tcPr>
            <w:tcW w:w="18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80,630</w:t>
            </w:r>
          </w:p>
        </w:tc>
        <w:tc>
          <w:tcPr>
            <w:tcW w:w="120" w:type="dxa"/>
            <w:vAlign w:val="bottom"/>
            <w:shd w:val="clear" w:color="auto" w:fill="B3B3B3"/>
          </w:tcPr>
          <w:p>
            <w:pPr>
              <w:spacing w:after="0"/>
              <w:rPr>
                <w:sz w:val="19"/>
                <w:szCs w:val="19"/>
                <w:color w:val="auto"/>
              </w:rPr>
            </w:pPr>
          </w:p>
        </w:tc>
        <w:tc>
          <w:tcPr>
            <w:tcW w:w="10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500" w:type="dxa"/>
            <w:vAlign w:val="bottom"/>
            <w:tcBorders>
              <w:right w:val="single" w:sz="8" w:color="auto"/>
            </w:tcBorders>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332,090</w:t>
            </w:r>
          </w:p>
        </w:tc>
        <w:tc>
          <w:tcPr>
            <w:tcW w:w="0" w:type="dxa"/>
            <w:vAlign w:val="bottom"/>
          </w:tcPr>
          <w:p>
            <w:pPr>
              <w:spacing w:after="0"/>
              <w:rPr>
                <w:sz w:val="1"/>
                <w:szCs w:val="1"/>
                <w:color w:val="auto"/>
              </w:rPr>
            </w:pPr>
          </w:p>
        </w:tc>
      </w:tr>
      <w:tr>
        <w:trPr>
          <w:trHeight w:val="223"/>
        </w:trPr>
        <w:tc>
          <w:tcPr>
            <w:tcW w:w="6060" w:type="dxa"/>
            <w:vAlign w:val="bottom"/>
            <w:tcBorders>
              <w:left w:val="single" w:sz="8" w:color="auto"/>
              <w:bottom w:val="single" w:sz="8" w:color="auto"/>
            </w:tcBorders>
            <w:gridSpan w:val="2"/>
          </w:tcPr>
          <w:p>
            <w:pPr>
              <w:ind w:left="40"/>
              <w:spacing w:after="0" w:line="215" w:lineRule="exact"/>
              <w:rPr>
                <w:sz w:val="20"/>
                <w:szCs w:val="20"/>
                <w:color w:val="auto"/>
              </w:rPr>
            </w:pPr>
            <w:r>
              <w:rPr>
                <w:rFonts w:ascii="Calibri" w:cs="Calibri" w:eastAsia="Calibri" w:hAnsi="Calibri"/>
                <w:sz w:val="18"/>
                <w:szCs w:val="18"/>
                <w:color w:val="auto"/>
              </w:rPr>
              <w:t>Richard G. Erstad</w:t>
            </w:r>
          </w:p>
        </w:tc>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tcBorders>
              <w:bottom w:val="single" w:sz="8" w:color="auto"/>
            </w:tcBorders>
          </w:tcPr>
          <w:p>
            <w:pPr>
              <w:jc w:val="right"/>
              <w:ind w:right="16"/>
              <w:spacing w:after="0" w:line="215" w:lineRule="exact"/>
              <w:rPr>
                <w:sz w:val="20"/>
                <w:szCs w:val="20"/>
                <w:color w:val="auto"/>
              </w:rPr>
            </w:pPr>
            <w:r>
              <w:rPr>
                <w:rFonts w:ascii="Calibri" w:cs="Calibri" w:eastAsia="Calibri" w:hAnsi="Calibri"/>
                <w:sz w:val="18"/>
                <w:szCs w:val="18"/>
                <w:color w:val="auto"/>
              </w:rPr>
              <w:t>33,000</w:t>
            </w: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28,634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500" w:type="dxa"/>
            <w:vAlign w:val="bottom"/>
            <w:tcBorders>
              <w:bottom w:val="single" w:sz="8" w:color="auto"/>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249,885</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20" w:right="220" w:hanging="412"/>
        <w:spacing w:after="0" w:line="235" w:lineRule="auto"/>
        <w:tabs>
          <w:tab w:leader="none" w:pos="245"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Amounts included as nonqualifed deferred compensaton contributons are included in “all other compensaton” in the Summary Compensaton Table above.</w:t>
      </w:r>
    </w:p>
    <w:p>
      <w:pPr>
        <w:spacing w:after="0" w:line="82" w:lineRule="exact"/>
        <w:rPr>
          <w:rFonts w:ascii="Calibri" w:cs="Calibri" w:eastAsia="Calibri" w:hAnsi="Calibri"/>
          <w:sz w:val="18"/>
          <w:szCs w:val="18"/>
          <w:color w:val="auto"/>
        </w:rPr>
      </w:pPr>
    </w:p>
    <w:p>
      <w:pPr>
        <w:ind w:left="420" w:right="360" w:hanging="412"/>
        <w:spacing w:after="0" w:line="251" w:lineRule="auto"/>
        <w:tabs>
          <w:tab w:leader="none" w:pos="253" w:val="left"/>
        </w:tabs>
        <w:numPr>
          <w:ilvl w:val="0"/>
          <w:numId w:val="25"/>
        </w:numPr>
        <w:rPr>
          <w:rFonts w:ascii="Calibri" w:cs="Calibri" w:eastAsia="Calibri" w:hAnsi="Calibri"/>
          <w:sz w:val="17"/>
          <w:szCs w:val="17"/>
          <w:color w:val="auto"/>
        </w:rPr>
      </w:pPr>
      <w:r>
        <w:rPr>
          <w:rFonts w:ascii="Calibri" w:cs="Calibri" w:eastAsia="Calibri" w:hAnsi="Calibri"/>
          <w:sz w:val="17"/>
          <w:szCs w:val="17"/>
          <w:color w:val="auto"/>
        </w:rPr>
        <w:t>Amounts deferred are credited with earnings from measuring investments selected by the partcipant from a collecton of unafliated mutual funds identfed by the company that generally mirror the investment optons of our 401(k) plan. The nonqualifed deferred compensaton plan does not credit above market earnings or preferental earnings to amounts deferred, thus none of the amounts in this column are included in "all other compensaton" in the Summary Compensaton Table above. The returns on the investment alternatves available to partcipants during fscal 2024 ranged from 3.3% to 45.6%, with a median return of 19.0% for fscal 2024. Partcipants may change their investment selectons on a daily basis.</w:t>
      </w:r>
    </w:p>
    <w:p>
      <w:pPr>
        <w:spacing w:after="0" w:line="89" w:lineRule="exact"/>
        <w:rPr>
          <w:rFonts w:ascii="Calibri" w:cs="Calibri" w:eastAsia="Calibri" w:hAnsi="Calibri"/>
          <w:sz w:val="17"/>
          <w:szCs w:val="17"/>
          <w:color w:val="auto"/>
        </w:rPr>
      </w:pPr>
    </w:p>
    <w:p>
      <w:pPr>
        <w:ind w:left="420" w:right="820" w:hanging="412"/>
        <w:spacing w:after="0" w:line="235" w:lineRule="auto"/>
        <w:tabs>
          <w:tab w:leader="none" w:pos="235"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Includes aggregate contributons made for Mr. Hawkins and Mr. Erstad of $197,000 prior to the end of fscal 2024, as reported in the Summary Compensaton Table in the applicable prior years.</w:t>
      </w:r>
    </w:p>
    <w:p>
      <w:pPr>
        <w:spacing w:after="0" w:line="32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Potental Payments Upon Terminaton or Change in Control</w:t>
      </w:r>
    </w:p>
    <w:p>
      <w:pPr>
        <w:spacing w:after="0" w:line="113"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color w:val="auto"/>
        </w:rPr>
        <w:t>Our Compensaton Commitee has adopted an Executve Severance Plan for the beneft of our Chief Executve Ofcer and certain other key employees, including all of our named executve ofcers. Executves covered by the plan are eligible to</w:t>
      </w: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2" w:right="419" w:bottom="1440" w:gutter="0" w:footer="0" w:header="0"/>
        </w:sectPr>
      </w:pPr>
    </w:p>
    <w:bookmarkStart w:id="27" w:name="page28"/>
    <w:bookmarkEnd w:id="27"/>
    <w:p>
      <w:pPr>
        <w:ind w:right="20"/>
        <w:spacing w:after="0" w:line="235" w:lineRule="auto"/>
        <w:rPr>
          <w:sz w:val="20"/>
          <w:szCs w:val="20"/>
          <w:color w:val="auto"/>
        </w:rPr>
      </w:pPr>
      <w:r>
        <w:rPr>
          <w:rFonts w:ascii="Calibri" w:cs="Calibri" w:eastAsia="Calibri" w:hAnsi="Calibri"/>
          <w:sz w:val="18"/>
          <w:szCs w:val="18"/>
          <w:color w:val="auto"/>
        </w:rPr>
        <w:t>receive specifed payments and benefts if their employment is terminated (1) by us without “cause” at any tme or (2) by them for “good reason” within a period beginning 30 days before and contnuing untl two years afer a “change in control” as described below. In additon, award agreements for our equity incentve awards provide for accelerated vestng and exercisability of such awards in connecton with an individual’s terminaton of employment due to death or disability, or under certain circumstances in connecton with a “fundamental change” (as defned in the “Compensaton Discussion and Analysis” above) involving the company, as described below.</w:t>
      </w: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Potental Payments under Executve Severance Plan</w:t>
      </w:r>
    </w:p>
    <w:p>
      <w:pPr>
        <w:spacing w:after="0" w:line="119"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Under the terms of the Executve Severance Plan, the Compensaton Commitee is responsible for assigning each eligible executve, including our named executve ofcers, to one of four ters, which determines the duraton of salary contnuaton for which an executve may be eligible. Mr. Hawkins has been assigned to Tier 1, Mr. Oldenkamp, Mr. Grahek and Mr. Lange have been assigned to Tier 3 and Mr. Erstad has been assigned to Tier 4. Tiers 1 and 2 provide for a salary contnuaton period of 18 months in the case of a terminaton without cause not due to change in control and 24 months in the case of a "terminaton due to change in control" (as defned below). Tiers 3 and 4 provide for a salary contnuaton period of 12 months in the case of terminaton without cause not due to change in control and 18 months in the case of terminaton due to change in control.</w:t>
      </w:r>
    </w:p>
    <w:p>
      <w:pPr>
        <w:spacing w:after="0" w:line="24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payments and benefts that each executve would be eligible to receive under the Executve Severance Plan as a result of a terminaton of employment without cause not due to a change in control include (1) base salary for the salary contnuaton period associated with the executve’s ter, (2) reimbursement for the employer porton of the premium payments for COBRA contnuaton coverage for medical and dental benefts for the salary contnuaton period (up to a maximum of 18 months), and (3) the reasonable costs of outplacement services for a maximum of one year.</w:t>
      </w:r>
    </w:p>
    <w:p>
      <w:pPr>
        <w:spacing w:after="0" w:line="246"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 additonal payments and benefts that each executve would be eligible to receive under the Executve Severance Plan as a result of a qualifying terminaton of employment in connecton with a “change in control” (as defned below) include (1) six additonal months of base salary contnuaton, (2) an amount equal to 1/12th of the executve's target annual bonus multplied by the number of months of salary contnuaton, and (3) an amount equal to the additonal beneft, if any, that would have been received under the Proft Sharing Plan, depending on partcipant eligibility, if the executve had remained employed and eligible for the plan for the entre salary contnuaton period, plus the 401(k) employer matching contributons that would have been received for the salary contnuaton period if the executve had made 401(k) contributons at least at the rate that would have enttled the executve to the maximum employer matching contributons permited under the Proft Sharing Plan.</w:t>
      </w:r>
    </w:p>
    <w:p>
      <w:pPr>
        <w:spacing w:after="0" w:line="24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As a conditon of receiving benefts, an executve must enter into an agreement with the company that contains covenants against disparagement, disclosure and solicitaton of business or employees, and a release of claims.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color w:val="auto"/>
        </w:rPr>
        <w:t>Under the Executve Severance Plan, “cause” means:</w:t>
      </w:r>
    </w:p>
    <w:p>
      <w:pPr>
        <w:ind w:left="640" w:hanging="308"/>
        <w:spacing w:after="0" w:line="235" w:lineRule="auto"/>
        <w:tabs>
          <w:tab w:leader="none" w:pos="64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the executve’s willful and material failure or refusal during his or her employment to carry out any reasonable directve of the Board;</w:t>
      </w:r>
    </w:p>
    <w:p>
      <w:pPr>
        <w:spacing w:after="0" w:line="1"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any willful and material failure by the executve during his or her employment to comply with any material policy, rule or code of conduct generally applicable to our employees or to our management employees, which failure is materially and demonstratvely injurious to our fnancial conditon or business reputaton;</w:t>
      </w:r>
    </w:p>
    <w:p>
      <w:pPr>
        <w:spacing w:after="0" w:line="2" w:lineRule="exact"/>
        <w:rPr>
          <w:rFonts w:ascii="Calibri" w:cs="Calibri" w:eastAsia="Calibri" w:hAnsi="Calibri"/>
          <w:sz w:val="18"/>
          <w:szCs w:val="18"/>
          <w:color w:val="auto"/>
        </w:rPr>
      </w:pPr>
    </w:p>
    <w:p>
      <w:pPr>
        <w:ind w:left="660" w:right="120" w:hanging="328"/>
        <w:spacing w:after="0" w:line="235" w:lineRule="auto"/>
        <w:tabs>
          <w:tab w:leader="none" w:pos="653"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the executve’s embezzlement or misappropriaton of our funds or any other willful act or omission by the executve which is materially injurious to our fnancial conditon or business reputaton; or</w:t>
      </w:r>
    </w:p>
    <w:p>
      <w:pPr>
        <w:spacing w:after="0" w:line="1" w:lineRule="exact"/>
        <w:rPr>
          <w:rFonts w:ascii="Calibri" w:cs="Calibri" w:eastAsia="Calibri" w:hAnsi="Calibri"/>
          <w:sz w:val="18"/>
          <w:szCs w:val="18"/>
          <w:color w:val="auto"/>
        </w:rPr>
      </w:pPr>
    </w:p>
    <w:p>
      <w:pPr>
        <w:ind w:left="660" w:right="80" w:hanging="328"/>
        <w:spacing w:after="0" w:line="235" w:lineRule="auto"/>
        <w:tabs>
          <w:tab w:leader="none" w:pos="653"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the executve’s convicton or confession of an act or acts consttutng a felony under the laws of the United States or any state thereof related to our business or which is materially injurious to our fnancial conditon or business reputaton.</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color w:val="auto"/>
        </w:rPr>
        <w:t>Under the Executve Severance Plan, “change in control” means:</w:t>
      </w:r>
    </w:p>
    <w:p>
      <w:pPr>
        <w:spacing w:after="0" w:line="1" w:lineRule="exact"/>
        <w:rPr>
          <w:sz w:val="20"/>
          <w:szCs w:val="20"/>
          <w:color w:val="auto"/>
        </w:rPr>
      </w:pPr>
    </w:p>
    <w:p>
      <w:pPr>
        <w:ind w:left="660" w:right="160" w:hanging="328"/>
        <w:spacing w:after="0" w:line="235" w:lineRule="auto"/>
        <w:tabs>
          <w:tab w:leader="none" w:pos="653"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a dissoluton, liquidaton, sale of substantally all of our assets or a merger or consolidaton of us or a statutory share exchange involving our stock unless, immediately following the transacton, all or substantally all of our benefcial owners immediately prior to the transacton benefcially own more than 50% of the combined votng power of the surviving or acquiring entty (or its parent) resultng from the transacton in substantally the same proportons as their ownership of us immediately prior to the transacton;</w:t>
      </w:r>
    </w:p>
    <w:p>
      <w:pPr>
        <w:spacing w:after="0" w:line="3" w:lineRule="exact"/>
        <w:rPr>
          <w:rFonts w:ascii="Calibri" w:cs="Calibri" w:eastAsia="Calibri" w:hAnsi="Calibri"/>
          <w:sz w:val="18"/>
          <w:szCs w:val="18"/>
          <w:color w:val="auto"/>
        </w:rPr>
      </w:pPr>
    </w:p>
    <w:p>
      <w:pPr>
        <w:ind w:left="660" w:right="180" w:hanging="328"/>
        <w:spacing w:after="0" w:line="235" w:lineRule="auto"/>
        <w:tabs>
          <w:tab w:leader="none" w:pos="653"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any person or group, other than (1) one or more of our subsidiaries, or (2) an employee beneft plan (or related trust) sponsored or maintained by us, becomes a benefcial owner of our equity securites representng more than 50% of the combined votng power of our then outstanding votng securites, except that (A) any acquisiton of our equity securites directly from us for the purpose of providing fnancing to us, any formaton of a group consistng solely of</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8" w:name="page29"/>
    <w:bookmarkEnd w:id="28"/>
    <w:p>
      <w:pPr>
        <w:ind w:left="660" w:right="40"/>
        <w:spacing w:after="0" w:line="235" w:lineRule="auto"/>
        <w:rPr>
          <w:sz w:val="20"/>
          <w:szCs w:val="20"/>
          <w:color w:val="auto"/>
        </w:rPr>
      </w:pPr>
      <w:r>
        <w:rPr>
          <w:rFonts w:ascii="Calibri" w:cs="Calibri" w:eastAsia="Calibri" w:hAnsi="Calibri"/>
          <w:sz w:val="18"/>
          <w:szCs w:val="18"/>
          <w:color w:val="auto"/>
        </w:rPr>
        <w:t>our benefcial owners as of August 2, 2011, or any repurchase or other acquisiton by us of our equity securites that causes any person to become the benefcial owner of more than 50% of our combined votng power, will not be considered a “change in control” unless and untl, the person acquires benefcial ownership of additonal votng securites of ours afer the person initally became the benefcial owner of more than 50% of the combined votng power of our votng securites by one of the means described in this clause (A); and (B) a change in control will occur if a person or group becomes the benefcial owner of more than 50% of our votng securites as the result of a transacton only if the transacton is itself a “change in control” pursuant to the preceding bullet point; or</w:t>
      </w:r>
    </w:p>
    <w:p>
      <w:pPr>
        <w:spacing w:after="0" w:line="248" w:lineRule="exact"/>
        <w:rPr>
          <w:sz w:val="20"/>
          <w:szCs w:val="20"/>
          <w:color w:val="auto"/>
        </w:rPr>
      </w:pPr>
    </w:p>
    <w:p>
      <w:pPr>
        <w:jc w:val="both"/>
        <w:ind w:left="660" w:right="20" w:hanging="328"/>
        <w:spacing w:after="0" w:line="235" w:lineRule="auto"/>
        <w:tabs>
          <w:tab w:leader="none" w:pos="653"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individuals who were “contnuing directors” cease for any reason to consttute a majority of the members of our Board. “Contnuing director” means an individual who was a director as of August 2, 2011 or was nominated or elected by at least a majority of the then contnuing directors (other than a person whose inital assumpton of ofce occurs as a result of an actual or threatened electon contest or other actual or threatened solicitaton of proxies or consents on behalf of anyone other than the Board).</w:t>
      </w:r>
    </w:p>
    <w:p>
      <w:pPr>
        <w:spacing w:after="0" w:line="246"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Under the Executve Severance Plan, a “terminaton due to change in control” means a terminaton for good reason or a terminaton without cause that happens during the 30-day period preceding or the two-year period beginning on the date of a change in control. A “terminaton for good reason” means a terminaton of employment by the executve provided the executve has given us writen notce of the existence of a conditon consttutng a “good reason” within 90 days of its frst occurrence and we have failed to remedy the conditon within 30 days thereafer and the terminaton occurs not later than the expiraton of the two-year period following the inital existence of the conditon consttutng “good reason.” “Good reason” means any of the following conditons arising without the consent of the executve:</w:t>
      </w:r>
    </w:p>
    <w:p>
      <w:pPr>
        <w:ind w:left="640" w:hanging="308"/>
        <w:spacing w:after="0"/>
        <w:tabs>
          <w:tab w:leader="none" w:pos="6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a material decrease in the executve’s base compensaton;</w:t>
      </w:r>
    </w:p>
    <w:p>
      <w:pPr>
        <w:ind w:left="640" w:hanging="308"/>
        <w:spacing w:after="0" w:line="235" w:lineRule="auto"/>
        <w:tabs>
          <w:tab w:leader="none" w:pos="6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a material diminuton in the executve’s authority, dutes, or responsibilites;</w:t>
      </w:r>
    </w:p>
    <w:p>
      <w:pPr>
        <w:ind w:left="640" w:hanging="308"/>
        <w:spacing w:after="0" w:line="235" w:lineRule="auto"/>
        <w:tabs>
          <w:tab w:leader="none" w:pos="6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relocaton of the executve’s principal ofce more than 50 miles from its current locaton; or</w:t>
      </w:r>
    </w:p>
    <w:p>
      <w:pPr>
        <w:spacing w:after="0" w:line="1" w:lineRule="exact"/>
        <w:rPr>
          <w:rFonts w:ascii="Calibri" w:cs="Calibri" w:eastAsia="Calibri" w:hAnsi="Calibri"/>
          <w:sz w:val="18"/>
          <w:szCs w:val="18"/>
          <w:color w:val="auto"/>
        </w:rPr>
      </w:pPr>
    </w:p>
    <w:p>
      <w:pPr>
        <w:ind w:left="660" w:right="340" w:hanging="328"/>
        <w:spacing w:after="0" w:line="235" w:lineRule="auto"/>
        <w:tabs>
          <w:tab w:leader="none" w:pos="653"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any other acton or inacton that consttutes a material breach by us of any terms or conditons of any agreement between us and the executve, which breach has not been caused by the executve.</w:t>
      </w:r>
    </w:p>
    <w:p>
      <w:pPr>
        <w:spacing w:after="0" w:line="23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Potental Accelerated Vestng of Equity Awards</w:t>
      </w:r>
    </w:p>
    <w:p>
      <w:pPr>
        <w:spacing w:after="0" w:line="119" w:lineRule="exact"/>
        <w:rPr>
          <w:sz w:val="20"/>
          <w:szCs w:val="20"/>
          <w:color w:val="auto"/>
        </w:rPr>
      </w:pPr>
    </w:p>
    <w:p>
      <w:pPr>
        <w:spacing w:after="0" w:line="235" w:lineRule="auto"/>
        <w:rPr>
          <w:sz w:val="20"/>
          <w:szCs w:val="20"/>
          <w:color w:val="auto"/>
        </w:rPr>
      </w:pPr>
      <w:r>
        <w:rPr>
          <w:rFonts w:ascii="Calibri" w:cs="Calibri" w:eastAsia="Calibri" w:hAnsi="Calibri"/>
          <w:sz w:val="18"/>
          <w:szCs w:val="18"/>
          <w:i w:val="1"/>
          <w:iCs w:val="1"/>
          <w:color w:val="auto"/>
        </w:rPr>
        <w:t xml:space="preserve">Terminaton Following a Fundamental Change. </w:t>
      </w:r>
      <w:r>
        <w:rPr>
          <w:rFonts w:ascii="Calibri" w:cs="Calibri" w:eastAsia="Calibri" w:hAnsi="Calibri"/>
          <w:sz w:val="18"/>
          <w:szCs w:val="18"/>
          <w:color w:val="auto"/>
        </w:rPr>
        <w:t>All performance-based restricted stock units or shares of restricted stock held by named executve ofcers are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subject to accelerated vestng following a “fundamental change” involving the company if (i) the awards will not be contnued, assumed or replaced in connecton with the fundamental change, or (ii) the awards are contnued, assumed or replaced, and the named executve ofcer's employment is involuntarily terminated without cause or the executve resigns for good reason during the applicable performance period or prior to the fnal vestng of the restricted stock. Under either of these circumstances, a performance-based restricted stock unit award will vest immediately at 100% of its target payout, and any shares of restricted stock issuable in setlement of such units or already outstanding as the result of earlier setlement of performance-based restricted stock unit awards will also immediately vest. For these purposes, “cause” for terminaton generally involves the commission of a felony or convicton for a criminal misdemeanor, gross misconduct or fraud that is likely to cause material harm to the company, a material violaton of company policies or its code of conduct, or a willful or material breach of any agreement with the company.</w:t>
      </w:r>
    </w:p>
    <w:p>
      <w:pPr>
        <w:spacing w:after="0" w:line="251" w:lineRule="exact"/>
        <w:rPr>
          <w:sz w:val="20"/>
          <w:szCs w:val="20"/>
          <w:color w:val="auto"/>
        </w:rPr>
      </w:pPr>
    </w:p>
    <w:p>
      <w:pPr>
        <w:ind w:right="40"/>
        <w:spacing w:after="0" w:line="251" w:lineRule="auto"/>
        <w:rPr>
          <w:sz w:val="20"/>
          <w:szCs w:val="20"/>
          <w:color w:val="auto"/>
        </w:rPr>
      </w:pPr>
      <w:r>
        <w:rPr>
          <w:rFonts w:ascii="Calibri" w:cs="Calibri" w:eastAsia="Calibri" w:hAnsi="Calibri"/>
          <w:sz w:val="17"/>
          <w:szCs w:val="17"/>
          <w:color w:val="auto"/>
        </w:rPr>
        <w:t>In additon, in connecton with a fundamental change involving the company, the Compensaton Commitee may generally, in its discreton, (1) accelerate the vestng of outstanding unvested stock optons, (2) make appropriate provision to protect any stock opton in a manner that equitably preserves the compensaton element of the stock opton at the tme of the fundamental change, or (3) cancel the stock opton in exchange for a lump sum payment of cash equal to the amount, if any, by which the then current “fair market value” of the shares subject to the opton exceeds the aggregate exercise price of the shares covered by the stock opton. “Fair market value” per share means the cash plus the fair market value, as determined in good faith by the Compensaton Commitee, of the non-cash consideraton to be received per share by the shareholders of the company upon the occurrence of the fundamental change; the calculaton of any consideraton to be received by shareholders following the fundamental change will be based on present value.</w:t>
      </w:r>
    </w:p>
    <w:p>
      <w:pPr>
        <w:spacing w:after="0" w:line="236" w:lineRule="exact"/>
        <w:rPr>
          <w:sz w:val="20"/>
          <w:szCs w:val="20"/>
          <w:color w:val="auto"/>
        </w:rPr>
      </w:pPr>
    </w:p>
    <w:p>
      <w:pPr>
        <w:ind w:right="300"/>
        <w:spacing w:after="0" w:line="251" w:lineRule="auto"/>
        <w:rPr>
          <w:sz w:val="20"/>
          <w:szCs w:val="20"/>
          <w:color w:val="auto"/>
        </w:rPr>
      </w:pPr>
      <w:r>
        <w:rPr>
          <w:rFonts w:ascii="Calibri" w:cs="Calibri" w:eastAsia="Calibri" w:hAnsi="Calibri"/>
          <w:sz w:val="17"/>
          <w:szCs w:val="17"/>
          <w:i w:val="1"/>
          <w:iCs w:val="1"/>
          <w:color w:val="auto"/>
        </w:rPr>
        <w:t xml:space="preserve">Terminaton of Employment Due to Death or Disability. </w:t>
      </w:r>
      <w:r>
        <w:rPr>
          <w:rFonts w:ascii="Calibri" w:cs="Calibri" w:eastAsia="Calibri" w:hAnsi="Calibri"/>
          <w:sz w:val="17"/>
          <w:szCs w:val="17"/>
          <w:color w:val="auto"/>
        </w:rPr>
        <w:t>All performance-based restricted stock units or shares of restricted stock held by named executve</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ofcers are subject to accelerated vestng upon terminaton of the named executve ofcer's employment due to death or disability. In the event that the named executve ofcer’s employment with the company ceases due to death or disability during a performance period, then any performance-based restricted stock unit award will vest immediately at 100% of its target payout. Any shares of restricted stock issuable in setlement of such units or already outstanding as the result of earlier setlements of performance-based restricted stock unit awards will also immediately vest.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9" w:name="page30"/>
    <w:bookmarkEnd w:id="29"/>
    <w:p>
      <w:pPr>
        <w:spacing w:after="0" w:line="235" w:lineRule="auto"/>
        <w:rPr>
          <w:sz w:val="20"/>
          <w:szCs w:val="20"/>
          <w:color w:val="auto"/>
        </w:rPr>
      </w:pPr>
      <w:r>
        <w:rPr>
          <w:rFonts w:ascii="Calibri" w:cs="Calibri" w:eastAsia="Calibri" w:hAnsi="Calibri"/>
          <w:sz w:val="18"/>
          <w:szCs w:val="18"/>
          <w:color w:val="auto"/>
        </w:rPr>
        <w:t>The following table presents the amounts that would have been received by each named executve ofcer under the Executve Severance Plan if a terminaton of the named executve ofcer’s employment had taken place on the last business day of our most recently completed fscal year under the following circumstances: terminaton without cause not in connecton with a change in control; terminaton due to death or disability; or terminaton without cause or for good reason in connecton with a change in control.</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860" w:type="dxa"/>
            <w:vAlign w:val="bottom"/>
            <w:tcBorders>
              <w:top w:val="single" w:sz="8" w:color="auto"/>
              <w:left w:val="single" w:sz="8" w:color="auto"/>
            </w:tcBorders>
          </w:tcPr>
          <w:p>
            <w:pPr>
              <w:spacing w:after="0"/>
              <w:rPr>
                <w:sz w:val="15"/>
                <w:szCs w:val="15"/>
                <w:color w:val="auto"/>
              </w:rPr>
            </w:pPr>
          </w:p>
        </w:tc>
        <w:tc>
          <w:tcPr>
            <w:tcW w:w="320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940" w:type="dxa"/>
            <w:vAlign w:val="bottom"/>
            <w:tcBorders>
              <w:top w:val="single" w:sz="8" w:color="auto"/>
              <w:right w:val="single" w:sz="8" w:color="auto"/>
            </w:tcBorders>
          </w:tcPr>
          <w:p>
            <w:pPr>
              <w:jc w:val="center"/>
              <w:spacing w:after="0" w:line="180" w:lineRule="exact"/>
              <w:rPr>
                <w:sz w:val="20"/>
                <w:szCs w:val="20"/>
                <w:color w:val="auto"/>
              </w:rPr>
            </w:pPr>
            <w:r>
              <w:rPr>
                <w:rFonts w:ascii="Calibri" w:cs="Calibri" w:eastAsia="Calibri" w:hAnsi="Calibri"/>
                <w:sz w:val="18"/>
                <w:szCs w:val="18"/>
                <w:b w:val="1"/>
                <w:bCs w:val="1"/>
                <w:color w:val="auto"/>
              </w:rPr>
              <w:t>Terminaton Without</w:t>
            </w:r>
          </w:p>
        </w:tc>
      </w:tr>
      <w:tr>
        <w:trPr>
          <w:trHeight w:val="189"/>
        </w:trPr>
        <w:tc>
          <w:tcPr>
            <w:tcW w:w="3860" w:type="dxa"/>
            <w:vAlign w:val="bottom"/>
            <w:tcBorders>
              <w:left w:val="single" w:sz="8" w:color="auto"/>
            </w:tcBorders>
          </w:tcPr>
          <w:p>
            <w:pPr>
              <w:spacing w:after="0"/>
              <w:rPr>
                <w:sz w:val="16"/>
                <w:szCs w:val="16"/>
                <w:color w:val="auto"/>
              </w:rPr>
            </w:pPr>
          </w:p>
        </w:tc>
        <w:tc>
          <w:tcPr>
            <w:tcW w:w="3200" w:type="dxa"/>
            <w:vAlign w:val="bottom"/>
          </w:tcPr>
          <w:p>
            <w:pPr>
              <w:jc w:val="center"/>
              <w:ind w:left="1078"/>
              <w:spacing w:after="0" w:line="189" w:lineRule="exact"/>
              <w:rPr>
                <w:sz w:val="20"/>
                <w:szCs w:val="20"/>
                <w:color w:val="auto"/>
              </w:rPr>
            </w:pPr>
            <w:r>
              <w:rPr>
                <w:rFonts w:ascii="Calibri" w:cs="Calibri" w:eastAsia="Calibri" w:hAnsi="Calibri"/>
                <w:sz w:val="18"/>
                <w:szCs w:val="18"/>
                <w:b w:val="1"/>
                <w:bCs w:val="1"/>
                <w:color w:val="auto"/>
                <w:w w:val="98"/>
              </w:rPr>
              <w:t>Terminaton Without</w:t>
            </w:r>
          </w:p>
        </w:tc>
        <w:tc>
          <w:tcPr>
            <w:tcW w:w="1900" w:type="dxa"/>
            <w:vAlign w:val="bottom"/>
          </w:tcPr>
          <w:p>
            <w:pPr>
              <w:spacing w:after="0"/>
              <w:rPr>
                <w:sz w:val="16"/>
                <w:szCs w:val="16"/>
                <w:color w:val="auto"/>
              </w:rPr>
            </w:pPr>
          </w:p>
        </w:tc>
        <w:tc>
          <w:tcPr>
            <w:tcW w:w="194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18"/>
                <w:szCs w:val="18"/>
                <w:b w:val="1"/>
                <w:bCs w:val="1"/>
                <w:color w:val="auto"/>
                <w:w w:val="96"/>
              </w:rPr>
              <w:t>Cause or for Good</w:t>
            </w:r>
          </w:p>
        </w:tc>
      </w:tr>
      <w:tr>
        <w:trPr>
          <w:trHeight w:val="175"/>
        </w:trPr>
        <w:tc>
          <w:tcPr>
            <w:tcW w:w="3860" w:type="dxa"/>
            <w:vAlign w:val="bottom"/>
            <w:tcBorders>
              <w:left w:val="single" w:sz="8" w:color="auto"/>
            </w:tcBorders>
          </w:tcPr>
          <w:p>
            <w:pPr>
              <w:spacing w:after="0"/>
              <w:rPr>
                <w:sz w:val="15"/>
                <w:szCs w:val="15"/>
                <w:color w:val="auto"/>
              </w:rPr>
            </w:pPr>
          </w:p>
        </w:tc>
        <w:tc>
          <w:tcPr>
            <w:tcW w:w="3200" w:type="dxa"/>
            <w:vAlign w:val="bottom"/>
          </w:tcPr>
          <w:p>
            <w:pPr>
              <w:jc w:val="center"/>
              <w:ind w:left="1078"/>
              <w:spacing w:after="0" w:line="175" w:lineRule="exact"/>
              <w:rPr>
                <w:sz w:val="20"/>
                <w:szCs w:val="20"/>
                <w:color w:val="auto"/>
              </w:rPr>
            </w:pPr>
            <w:r>
              <w:rPr>
                <w:rFonts w:ascii="Calibri" w:cs="Calibri" w:eastAsia="Calibri" w:hAnsi="Calibri"/>
                <w:sz w:val="18"/>
                <w:szCs w:val="18"/>
                <w:b w:val="1"/>
                <w:bCs w:val="1"/>
                <w:color w:val="auto"/>
              </w:rPr>
              <w:t>Cause not in connecton</w:t>
            </w:r>
          </w:p>
        </w:tc>
        <w:tc>
          <w:tcPr>
            <w:tcW w:w="1900" w:type="dxa"/>
            <w:vAlign w:val="bottom"/>
          </w:tcPr>
          <w:p>
            <w:pPr>
              <w:spacing w:after="0"/>
              <w:rPr>
                <w:sz w:val="15"/>
                <w:szCs w:val="15"/>
                <w:color w:val="auto"/>
              </w:rPr>
            </w:pPr>
          </w:p>
        </w:tc>
        <w:tc>
          <w:tcPr>
            <w:tcW w:w="1940" w:type="dxa"/>
            <w:vAlign w:val="bottom"/>
            <w:tcBorders>
              <w:right w:val="single" w:sz="8" w:color="auto"/>
            </w:tcBorders>
          </w:tcPr>
          <w:p>
            <w:pPr>
              <w:jc w:val="center"/>
              <w:spacing w:after="0" w:line="175" w:lineRule="exact"/>
              <w:rPr>
                <w:sz w:val="20"/>
                <w:szCs w:val="20"/>
                <w:color w:val="auto"/>
              </w:rPr>
            </w:pPr>
            <w:r>
              <w:rPr>
                <w:rFonts w:ascii="Calibri" w:cs="Calibri" w:eastAsia="Calibri" w:hAnsi="Calibri"/>
                <w:sz w:val="18"/>
                <w:szCs w:val="18"/>
                <w:b w:val="1"/>
                <w:bCs w:val="1"/>
                <w:color w:val="auto"/>
              </w:rPr>
              <w:t>Reason in connecton</w:t>
            </w:r>
          </w:p>
        </w:tc>
      </w:tr>
      <w:tr>
        <w:trPr>
          <w:trHeight w:val="184"/>
        </w:trPr>
        <w:tc>
          <w:tcPr>
            <w:tcW w:w="3860" w:type="dxa"/>
            <w:vAlign w:val="bottom"/>
            <w:tcBorders>
              <w:left w:val="single" w:sz="8" w:color="auto"/>
            </w:tcBorders>
          </w:tcPr>
          <w:p>
            <w:pPr>
              <w:spacing w:after="0"/>
              <w:rPr>
                <w:sz w:val="16"/>
                <w:szCs w:val="16"/>
                <w:color w:val="auto"/>
              </w:rPr>
            </w:pPr>
          </w:p>
        </w:tc>
        <w:tc>
          <w:tcPr>
            <w:tcW w:w="3200" w:type="dxa"/>
            <w:vAlign w:val="bottom"/>
          </w:tcPr>
          <w:p>
            <w:pPr>
              <w:jc w:val="center"/>
              <w:ind w:left="1078"/>
              <w:spacing w:after="0" w:line="185" w:lineRule="exact"/>
              <w:rPr>
                <w:sz w:val="20"/>
                <w:szCs w:val="20"/>
                <w:color w:val="auto"/>
              </w:rPr>
            </w:pPr>
            <w:r>
              <w:rPr>
                <w:rFonts w:ascii="Calibri" w:cs="Calibri" w:eastAsia="Calibri" w:hAnsi="Calibri"/>
                <w:sz w:val="18"/>
                <w:szCs w:val="18"/>
                <w:b w:val="1"/>
                <w:bCs w:val="1"/>
                <w:color w:val="auto"/>
                <w:w w:val="97"/>
              </w:rPr>
              <w:t>with a Change in Control</w:t>
            </w:r>
          </w:p>
        </w:tc>
        <w:tc>
          <w:tcPr>
            <w:tcW w:w="1900" w:type="dxa"/>
            <w:vAlign w:val="bottom"/>
          </w:tcPr>
          <w:p>
            <w:pPr>
              <w:spacing w:after="0"/>
              <w:rPr>
                <w:sz w:val="16"/>
                <w:szCs w:val="16"/>
                <w:color w:val="auto"/>
              </w:rPr>
            </w:pPr>
          </w:p>
        </w:tc>
        <w:tc>
          <w:tcPr>
            <w:tcW w:w="194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8"/>
                <w:szCs w:val="18"/>
                <w:b w:val="1"/>
                <w:bCs w:val="1"/>
                <w:color w:val="auto"/>
                <w:w w:val="96"/>
              </w:rPr>
              <w:t>with a Change in Control</w:t>
            </w:r>
          </w:p>
        </w:tc>
      </w:tr>
      <w:tr>
        <w:trPr>
          <w:trHeight w:val="219"/>
        </w:trPr>
        <w:tc>
          <w:tcPr>
            <w:tcW w:w="3860" w:type="dxa"/>
            <w:vAlign w:val="bottom"/>
            <w:tcBorders>
              <w:left w:val="single" w:sz="8" w:color="auto"/>
            </w:tcBorders>
          </w:tcPr>
          <w:p>
            <w:pPr>
              <w:ind w:left="40"/>
              <w:spacing w:after="0"/>
              <w:rPr>
                <w:sz w:val="20"/>
                <w:szCs w:val="20"/>
                <w:color w:val="auto"/>
              </w:rPr>
            </w:pPr>
            <w:r>
              <w:rPr>
                <w:rFonts w:ascii="Calibri" w:cs="Calibri" w:eastAsia="Calibri" w:hAnsi="Calibri"/>
                <w:sz w:val="18"/>
                <w:szCs w:val="18"/>
                <w:b w:val="1"/>
                <w:bCs w:val="1"/>
                <w:color w:val="auto"/>
              </w:rPr>
              <w:t>Compensaton Element</w:t>
            </w:r>
          </w:p>
        </w:tc>
        <w:tc>
          <w:tcPr>
            <w:tcW w:w="3200" w:type="dxa"/>
            <w:vAlign w:val="bottom"/>
          </w:tcPr>
          <w:p>
            <w:pPr>
              <w:jc w:val="center"/>
              <w:ind w:left="1078"/>
              <w:spacing w:after="0"/>
              <w:rPr>
                <w:sz w:val="20"/>
                <w:szCs w:val="20"/>
                <w:color w:val="auto"/>
              </w:rPr>
            </w:pPr>
            <w:r>
              <w:rPr>
                <w:rFonts w:ascii="Calibri" w:cs="Calibri" w:eastAsia="Calibri" w:hAnsi="Calibri"/>
                <w:sz w:val="18"/>
                <w:szCs w:val="18"/>
                <w:b w:val="1"/>
                <w:bCs w:val="1"/>
                <w:color w:val="auto"/>
                <w:w w:val="97"/>
              </w:rPr>
              <w:t>($)</w:t>
            </w:r>
          </w:p>
        </w:tc>
        <w:tc>
          <w:tcPr>
            <w:tcW w:w="1900" w:type="dxa"/>
            <w:vAlign w:val="bottom"/>
          </w:tcPr>
          <w:p>
            <w:pPr>
              <w:jc w:val="right"/>
              <w:ind w:right="79"/>
              <w:spacing w:after="0"/>
              <w:rPr>
                <w:sz w:val="20"/>
                <w:szCs w:val="20"/>
                <w:color w:val="auto"/>
              </w:rPr>
            </w:pPr>
            <w:r>
              <w:rPr>
                <w:rFonts w:ascii="Calibri" w:cs="Calibri" w:eastAsia="Calibri" w:hAnsi="Calibri"/>
                <w:sz w:val="18"/>
                <w:szCs w:val="18"/>
                <w:b w:val="1"/>
                <w:bCs w:val="1"/>
                <w:color w:val="auto"/>
              </w:rPr>
              <w:t>Death or Disability ($)</w:t>
            </w:r>
          </w:p>
        </w:tc>
        <w:tc>
          <w:tcPr>
            <w:tcW w:w="194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7"/>
              </w:rPr>
              <w:t>($)</w:t>
            </w:r>
          </w:p>
        </w:tc>
      </w:tr>
      <w:tr>
        <w:trPr>
          <w:trHeight w:val="23"/>
        </w:trPr>
        <w:tc>
          <w:tcPr>
            <w:tcW w:w="3860" w:type="dxa"/>
            <w:vAlign w:val="bottom"/>
            <w:tcBorders>
              <w:left w:val="single" w:sz="8" w:color="auto"/>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190"/>
        </w:trPr>
        <w:tc>
          <w:tcPr>
            <w:tcW w:w="3860" w:type="dxa"/>
            <w:vAlign w:val="bottom"/>
            <w:tcBorders>
              <w:left w:val="single" w:sz="8" w:color="auto"/>
              <w:bottom w:val="single" w:sz="8" w:color="B3B3B3"/>
            </w:tcBorders>
            <w:shd w:val="clear" w:color="auto" w:fill="B3B3B3"/>
          </w:tcPr>
          <w:p>
            <w:pPr>
              <w:ind w:left="40"/>
              <w:spacing w:after="0" w:line="187" w:lineRule="exact"/>
              <w:rPr>
                <w:sz w:val="20"/>
                <w:szCs w:val="20"/>
                <w:color w:val="auto"/>
              </w:rPr>
            </w:pPr>
            <w:r>
              <w:rPr>
                <w:rFonts w:ascii="Calibri" w:cs="Calibri" w:eastAsia="Calibri" w:hAnsi="Calibri"/>
                <w:sz w:val="16"/>
                <w:szCs w:val="16"/>
                <w:color w:val="auto"/>
              </w:rPr>
              <w:t>Salary Contnuaton Amount (a)</w:t>
            </w:r>
          </w:p>
        </w:tc>
        <w:tc>
          <w:tcPr>
            <w:tcW w:w="3200" w:type="dxa"/>
            <w:vAlign w:val="bottom"/>
            <w:tcBorders>
              <w:bottom w:val="single" w:sz="8" w:color="B3B3B3"/>
            </w:tcBorders>
            <w:shd w:val="clear" w:color="auto" w:fill="B3B3B3"/>
          </w:tcPr>
          <w:p>
            <w:pPr>
              <w:spacing w:after="0"/>
              <w:rPr>
                <w:sz w:val="16"/>
                <w:szCs w:val="16"/>
                <w:color w:val="auto"/>
              </w:rPr>
            </w:pPr>
          </w:p>
        </w:tc>
        <w:tc>
          <w:tcPr>
            <w:tcW w:w="1900" w:type="dxa"/>
            <w:vAlign w:val="bottom"/>
            <w:tcBorders>
              <w:bottom w:val="single" w:sz="8" w:color="B3B3B3"/>
            </w:tcBorders>
            <w:shd w:val="clear" w:color="auto" w:fill="B3B3B3"/>
          </w:tcPr>
          <w:p>
            <w:pPr>
              <w:spacing w:after="0"/>
              <w:rPr>
                <w:sz w:val="16"/>
                <w:szCs w:val="16"/>
                <w:color w:val="auto"/>
              </w:rPr>
            </w:pPr>
          </w:p>
        </w:tc>
        <w:tc>
          <w:tcPr>
            <w:tcW w:w="1940" w:type="dxa"/>
            <w:vAlign w:val="bottom"/>
            <w:tcBorders>
              <w:bottom w:val="single" w:sz="8" w:color="B3B3B3"/>
              <w:right w:val="single" w:sz="8" w:color="auto"/>
            </w:tcBorders>
            <w:shd w:val="clear" w:color="auto" w:fill="B3B3B3"/>
          </w:tcPr>
          <w:p>
            <w:pPr>
              <w:spacing w:after="0"/>
              <w:rPr>
                <w:sz w:val="16"/>
                <w:szCs w:val="16"/>
                <w:color w:val="auto"/>
              </w:rPr>
            </w:pPr>
          </w:p>
        </w:tc>
      </w:tr>
      <w:tr>
        <w:trPr>
          <w:trHeight w:val="193"/>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Patrick H. Hawkins</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955,500</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1,274,000</w:t>
            </w:r>
          </w:p>
        </w:tc>
      </w:tr>
      <w:tr>
        <w:trPr>
          <w:trHeight w:val="23"/>
        </w:trPr>
        <w:tc>
          <w:tcPr>
            <w:tcW w:w="3860" w:type="dxa"/>
            <w:vAlign w:val="bottom"/>
            <w:tcBorders>
              <w:left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r>
      <w:tr>
        <w:trPr>
          <w:trHeight w:val="196"/>
        </w:trPr>
        <w:tc>
          <w:tcPr>
            <w:tcW w:w="3860" w:type="dxa"/>
            <w:vAlign w:val="bottom"/>
            <w:tcBorders>
              <w:left w:val="single" w:sz="8" w:color="auto"/>
              <w:bottom w:val="single" w:sz="8" w:color="B3B3B3"/>
            </w:tcBorders>
            <w:shd w:val="clear" w:color="auto" w:fill="B3B3B3"/>
          </w:tcPr>
          <w:p>
            <w:pPr>
              <w:ind w:left="360"/>
              <w:spacing w:after="0" w:line="193" w:lineRule="exact"/>
              <w:rPr>
                <w:sz w:val="20"/>
                <w:szCs w:val="20"/>
                <w:color w:val="auto"/>
              </w:rPr>
            </w:pPr>
            <w:r>
              <w:rPr>
                <w:rFonts w:ascii="Calibri" w:cs="Calibri" w:eastAsia="Calibri" w:hAnsi="Calibri"/>
                <w:sz w:val="16"/>
                <w:szCs w:val="16"/>
                <w:color w:val="auto"/>
              </w:rPr>
              <w:t>Jefrey P. Oldenkamp</w:t>
            </w:r>
          </w:p>
        </w:tc>
        <w:tc>
          <w:tcPr>
            <w:tcW w:w="3200" w:type="dxa"/>
            <w:vAlign w:val="bottom"/>
            <w:tcBorders>
              <w:bottom w:val="single" w:sz="8" w:color="B3B3B3"/>
            </w:tcBorders>
            <w:shd w:val="clear" w:color="auto" w:fill="B3B3B3"/>
          </w:tcPr>
          <w:p>
            <w:pPr>
              <w:jc w:val="right"/>
              <w:ind w:right="78"/>
              <w:spacing w:after="0" w:line="193" w:lineRule="exact"/>
              <w:rPr>
                <w:sz w:val="20"/>
                <w:szCs w:val="20"/>
                <w:color w:val="auto"/>
              </w:rPr>
            </w:pPr>
            <w:r>
              <w:rPr>
                <w:rFonts w:ascii="Calibri" w:cs="Calibri" w:eastAsia="Calibri" w:hAnsi="Calibri"/>
                <w:sz w:val="16"/>
                <w:szCs w:val="16"/>
                <w:color w:val="auto"/>
              </w:rPr>
              <w:t>468,000</w:t>
            </w:r>
          </w:p>
        </w:tc>
        <w:tc>
          <w:tcPr>
            <w:tcW w:w="1900" w:type="dxa"/>
            <w:vAlign w:val="bottom"/>
            <w:tcBorders>
              <w:bottom w:val="single" w:sz="8" w:color="B3B3B3"/>
            </w:tcBorders>
            <w:shd w:val="clear" w:color="auto" w:fill="B3B3B3"/>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bottom w:val="single" w:sz="8" w:color="B3B3B3"/>
              <w:right w:val="single" w:sz="8" w:color="auto"/>
            </w:tcBorders>
            <w:shd w:val="clear" w:color="auto" w:fill="B3B3B3"/>
          </w:tcPr>
          <w:p>
            <w:pPr>
              <w:jc w:val="right"/>
              <w:spacing w:after="0" w:line="193" w:lineRule="exact"/>
              <w:rPr>
                <w:sz w:val="20"/>
                <w:szCs w:val="20"/>
                <w:color w:val="auto"/>
              </w:rPr>
            </w:pPr>
            <w:r>
              <w:rPr>
                <w:rFonts w:ascii="Calibri" w:cs="Calibri" w:eastAsia="Calibri" w:hAnsi="Calibri"/>
                <w:sz w:val="16"/>
                <w:szCs w:val="16"/>
                <w:color w:val="auto"/>
              </w:rPr>
              <w:t>702,000</w:t>
            </w:r>
          </w:p>
        </w:tc>
      </w:tr>
      <w:tr>
        <w:trPr>
          <w:trHeight w:val="193"/>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Drew M. Grahek</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368,000</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552,000</w:t>
            </w:r>
          </w:p>
        </w:tc>
      </w:tr>
      <w:tr>
        <w:trPr>
          <w:trHeight w:val="23"/>
        </w:trPr>
        <w:tc>
          <w:tcPr>
            <w:tcW w:w="3860" w:type="dxa"/>
            <w:vAlign w:val="bottom"/>
            <w:tcBorders>
              <w:left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r>
      <w:tr>
        <w:trPr>
          <w:trHeight w:val="196"/>
        </w:trPr>
        <w:tc>
          <w:tcPr>
            <w:tcW w:w="3860" w:type="dxa"/>
            <w:vAlign w:val="bottom"/>
            <w:tcBorders>
              <w:left w:val="single" w:sz="8" w:color="auto"/>
              <w:bottom w:val="single" w:sz="8" w:color="B3B3B3"/>
            </w:tcBorders>
            <w:shd w:val="clear" w:color="auto" w:fill="B3B3B3"/>
          </w:tcPr>
          <w:p>
            <w:pPr>
              <w:ind w:left="360"/>
              <w:spacing w:after="0" w:line="193" w:lineRule="exact"/>
              <w:rPr>
                <w:sz w:val="20"/>
                <w:szCs w:val="20"/>
                <w:color w:val="auto"/>
              </w:rPr>
            </w:pPr>
            <w:r>
              <w:rPr>
                <w:rFonts w:ascii="Calibri" w:cs="Calibri" w:eastAsia="Calibri" w:hAnsi="Calibri"/>
                <w:sz w:val="16"/>
                <w:szCs w:val="16"/>
                <w:color w:val="auto"/>
              </w:rPr>
              <w:t>Richard G. Erstad</w:t>
            </w:r>
          </w:p>
        </w:tc>
        <w:tc>
          <w:tcPr>
            <w:tcW w:w="3200" w:type="dxa"/>
            <w:vAlign w:val="bottom"/>
            <w:tcBorders>
              <w:bottom w:val="single" w:sz="8" w:color="B3B3B3"/>
            </w:tcBorders>
            <w:shd w:val="clear" w:color="auto" w:fill="B3B3B3"/>
          </w:tcPr>
          <w:p>
            <w:pPr>
              <w:jc w:val="right"/>
              <w:ind w:right="78"/>
              <w:spacing w:after="0" w:line="193" w:lineRule="exact"/>
              <w:rPr>
                <w:sz w:val="20"/>
                <w:szCs w:val="20"/>
                <w:color w:val="auto"/>
              </w:rPr>
            </w:pPr>
            <w:r>
              <w:rPr>
                <w:rFonts w:ascii="Calibri" w:cs="Calibri" w:eastAsia="Calibri" w:hAnsi="Calibri"/>
                <w:sz w:val="16"/>
                <w:szCs w:val="16"/>
                <w:color w:val="auto"/>
              </w:rPr>
              <w:t>337,000</w:t>
            </w:r>
          </w:p>
        </w:tc>
        <w:tc>
          <w:tcPr>
            <w:tcW w:w="1900" w:type="dxa"/>
            <w:vAlign w:val="bottom"/>
            <w:tcBorders>
              <w:bottom w:val="single" w:sz="8" w:color="B3B3B3"/>
            </w:tcBorders>
            <w:shd w:val="clear" w:color="auto" w:fill="B3B3B3"/>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bottom w:val="single" w:sz="8" w:color="B3B3B3"/>
              <w:right w:val="single" w:sz="8" w:color="auto"/>
            </w:tcBorders>
            <w:shd w:val="clear" w:color="auto" w:fill="B3B3B3"/>
          </w:tcPr>
          <w:p>
            <w:pPr>
              <w:jc w:val="right"/>
              <w:spacing w:after="0" w:line="193" w:lineRule="exact"/>
              <w:rPr>
                <w:sz w:val="20"/>
                <w:szCs w:val="20"/>
                <w:color w:val="auto"/>
              </w:rPr>
            </w:pPr>
            <w:r>
              <w:rPr>
                <w:rFonts w:ascii="Calibri" w:cs="Calibri" w:eastAsia="Calibri" w:hAnsi="Calibri"/>
                <w:sz w:val="16"/>
                <w:szCs w:val="16"/>
                <w:color w:val="auto"/>
              </w:rPr>
              <w:t>505,500</w:t>
            </w:r>
          </w:p>
        </w:tc>
      </w:tr>
      <w:tr>
        <w:trPr>
          <w:trHeight w:val="193"/>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Douglas A. Lange</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337,000</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505,500</w:t>
            </w:r>
          </w:p>
        </w:tc>
      </w:tr>
      <w:tr>
        <w:trPr>
          <w:trHeight w:val="117"/>
        </w:trPr>
        <w:tc>
          <w:tcPr>
            <w:tcW w:w="3860" w:type="dxa"/>
            <w:vAlign w:val="bottom"/>
            <w:tcBorders>
              <w:left w:val="single" w:sz="8" w:color="auto"/>
            </w:tcBorders>
          </w:tcPr>
          <w:p>
            <w:pPr>
              <w:spacing w:after="0"/>
              <w:rPr>
                <w:sz w:val="10"/>
                <w:szCs w:val="10"/>
                <w:color w:val="auto"/>
              </w:rPr>
            </w:pPr>
          </w:p>
        </w:tc>
        <w:tc>
          <w:tcPr>
            <w:tcW w:w="3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r>
      <w:tr>
        <w:trPr>
          <w:trHeight w:val="196"/>
        </w:trPr>
        <w:tc>
          <w:tcPr>
            <w:tcW w:w="3860" w:type="dxa"/>
            <w:vAlign w:val="bottom"/>
            <w:tcBorders>
              <w:left w:val="single" w:sz="8" w:color="auto"/>
              <w:bottom w:val="single" w:sz="8" w:color="B3B3B3"/>
            </w:tcBorders>
            <w:shd w:val="clear" w:color="auto" w:fill="B3B3B3"/>
          </w:tcPr>
          <w:p>
            <w:pPr>
              <w:ind w:left="40"/>
              <w:spacing w:after="0" w:line="193" w:lineRule="exact"/>
              <w:rPr>
                <w:sz w:val="20"/>
                <w:szCs w:val="20"/>
                <w:color w:val="auto"/>
              </w:rPr>
            </w:pPr>
            <w:r>
              <w:rPr>
                <w:rFonts w:ascii="Calibri" w:cs="Calibri" w:eastAsia="Calibri" w:hAnsi="Calibri"/>
                <w:sz w:val="16"/>
                <w:szCs w:val="16"/>
                <w:color w:val="auto"/>
              </w:rPr>
              <w:t>Medical and Dental Coverage (b)</w:t>
            </w:r>
          </w:p>
        </w:tc>
        <w:tc>
          <w:tcPr>
            <w:tcW w:w="3200" w:type="dxa"/>
            <w:vAlign w:val="bottom"/>
            <w:tcBorders>
              <w:bottom w:val="single" w:sz="8" w:color="B3B3B3"/>
            </w:tcBorders>
            <w:shd w:val="clear" w:color="auto" w:fill="B3B3B3"/>
          </w:tcPr>
          <w:p>
            <w:pPr>
              <w:spacing w:after="0"/>
              <w:rPr>
                <w:sz w:val="17"/>
                <w:szCs w:val="17"/>
                <w:color w:val="auto"/>
              </w:rPr>
            </w:pPr>
          </w:p>
        </w:tc>
        <w:tc>
          <w:tcPr>
            <w:tcW w:w="1900" w:type="dxa"/>
            <w:vAlign w:val="bottom"/>
            <w:tcBorders>
              <w:bottom w:val="single" w:sz="8" w:color="B3B3B3"/>
            </w:tcBorders>
            <w:shd w:val="clear" w:color="auto" w:fill="B3B3B3"/>
          </w:tcPr>
          <w:p>
            <w:pPr>
              <w:spacing w:after="0"/>
              <w:rPr>
                <w:sz w:val="17"/>
                <w:szCs w:val="17"/>
                <w:color w:val="auto"/>
              </w:rPr>
            </w:pPr>
          </w:p>
        </w:tc>
        <w:tc>
          <w:tcPr>
            <w:tcW w:w="1940" w:type="dxa"/>
            <w:vAlign w:val="bottom"/>
            <w:tcBorders>
              <w:bottom w:val="single" w:sz="8" w:color="B3B3B3"/>
              <w:right w:val="single" w:sz="8" w:color="auto"/>
            </w:tcBorders>
            <w:shd w:val="clear" w:color="auto" w:fill="B3B3B3"/>
          </w:tcPr>
          <w:p>
            <w:pPr>
              <w:spacing w:after="0"/>
              <w:rPr>
                <w:sz w:val="17"/>
                <w:szCs w:val="17"/>
                <w:color w:val="auto"/>
              </w:rPr>
            </w:pPr>
          </w:p>
        </w:tc>
      </w:tr>
      <w:tr>
        <w:trPr>
          <w:trHeight w:val="193"/>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Patrick H. Hawkins</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20,039</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20,039</w:t>
            </w:r>
          </w:p>
        </w:tc>
      </w:tr>
      <w:tr>
        <w:trPr>
          <w:trHeight w:val="23"/>
        </w:trPr>
        <w:tc>
          <w:tcPr>
            <w:tcW w:w="3860" w:type="dxa"/>
            <w:vAlign w:val="bottom"/>
            <w:tcBorders>
              <w:left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r>
      <w:tr>
        <w:trPr>
          <w:trHeight w:val="196"/>
        </w:trPr>
        <w:tc>
          <w:tcPr>
            <w:tcW w:w="3860" w:type="dxa"/>
            <w:vAlign w:val="bottom"/>
            <w:tcBorders>
              <w:left w:val="single" w:sz="8" w:color="auto"/>
              <w:bottom w:val="single" w:sz="8" w:color="B3B3B3"/>
            </w:tcBorders>
            <w:shd w:val="clear" w:color="auto" w:fill="B3B3B3"/>
          </w:tcPr>
          <w:p>
            <w:pPr>
              <w:ind w:left="360"/>
              <w:spacing w:after="0" w:line="193" w:lineRule="exact"/>
              <w:rPr>
                <w:sz w:val="20"/>
                <w:szCs w:val="20"/>
                <w:color w:val="auto"/>
              </w:rPr>
            </w:pPr>
            <w:r>
              <w:rPr>
                <w:rFonts w:ascii="Calibri" w:cs="Calibri" w:eastAsia="Calibri" w:hAnsi="Calibri"/>
                <w:sz w:val="16"/>
                <w:szCs w:val="16"/>
                <w:color w:val="auto"/>
              </w:rPr>
              <w:t>Jefrey P. Oldenkamp</w:t>
            </w:r>
          </w:p>
        </w:tc>
        <w:tc>
          <w:tcPr>
            <w:tcW w:w="3200" w:type="dxa"/>
            <w:vAlign w:val="bottom"/>
            <w:tcBorders>
              <w:bottom w:val="single" w:sz="8" w:color="B3B3B3"/>
            </w:tcBorders>
            <w:shd w:val="clear" w:color="auto" w:fill="B3B3B3"/>
          </w:tcPr>
          <w:p>
            <w:pPr>
              <w:jc w:val="right"/>
              <w:ind w:right="78"/>
              <w:spacing w:after="0" w:line="193" w:lineRule="exact"/>
              <w:rPr>
                <w:sz w:val="20"/>
                <w:szCs w:val="20"/>
                <w:color w:val="auto"/>
              </w:rPr>
            </w:pPr>
            <w:r>
              <w:rPr>
                <w:rFonts w:ascii="Calibri" w:cs="Calibri" w:eastAsia="Calibri" w:hAnsi="Calibri"/>
                <w:sz w:val="16"/>
                <w:szCs w:val="16"/>
                <w:color w:val="auto"/>
              </w:rPr>
              <w:t>11,361</w:t>
            </w:r>
          </w:p>
        </w:tc>
        <w:tc>
          <w:tcPr>
            <w:tcW w:w="1900" w:type="dxa"/>
            <w:vAlign w:val="bottom"/>
            <w:tcBorders>
              <w:bottom w:val="single" w:sz="8" w:color="B3B3B3"/>
            </w:tcBorders>
            <w:shd w:val="clear" w:color="auto" w:fill="B3B3B3"/>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bottom w:val="single" w:sz="8" w:color="B3B3B3"/>
              <w:right w:val="single" w:sz="8" w:color="auto"/>
            </w:tcBorders>
            <w:shd w:val="clear" w:color="auto" w:fill="B3B3B3"/>
          </w:tcPr>
          <w:p>
            <w:pPr>
              <w:jc w:val="right"/>
              <w:spacing w:after="0" w:line="193" w:lineRule="exact"/>
              <w:rPr>
                <w:sz w:val="20"/>
                <w:szCs w:val="20"/>
                <w:color w:val="auto"/>
              </w:rPr>
            </w:pPr>
            <w:r>
              <w:rPr>
                <w:rFonts w:ascii="Calibri" w:cs="Calibri" w:eastAsia="Calibri" w:hAnsi="Calibri"/>
                <w:sz w:val="16"/>
                <w:szCs w:val="16"/>
                <w:color w:val="auto"/>
              </w:rPr>
              <w:t>17,041</w:t>
            </w:r>
          </w:p>
        </w:tc>
      </w:tr>
      <w:tr>
        <w:trPr>
          <w:trHeight w:val="193"/>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Drew M. Grahek</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13,362</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20,043</w:t>
            </w:r>
          </w:p>
        </w:tc>
      </w:tr>
      <w:tr>
        <w:trPr>
          <w:trHeight w:val="23"/>
        </w:trPr>
        <w:tc>
          <w:tcPr>
            <w:tcW w:w="3860" w:type="dxa"/>
            <w:vAlign w:val="bottom"/>
            <w:tcBorders>
              <w:left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r>
      <w:tr>
        <w:trPr>
          <w:trHeight w:val="196"/>
        </w:trPr>
        <w:tc>
          <w:tcPr>
            <w:tcW w:w="3860" w:type="dxa"/>
            <w:vAlign w:val="bottom"/>
            <w:tcBorders>
              <w:left w:val="single" w:sz="8" w:color="auto"/>
              <w:bottom w:val="single" w:sz="8" w:color="B3B3B3"/>
            </w:tcBorders>
            <w:shd w:val="clear" w:color="auto" w:fill="B3B3B3"/>
          </w:tcPr>
          <w:p>
            <w:pPr>
              <w:ind w:left="360"/>
              <w:spacing w:after="0" w:line="193" w:lineRule="exact"/>
              <w:rPr>
                <w:sz w:val="20"/>
                <w:szCs w:val="20"/>
                <w:color w:val="auto"/>
              </w:rPr>
            </w:pPr>
            <w:r>
              <w:rPr>
                <w:rFonts w:ascii="Calibri" w:cs="Calibri" w:eastAsia="Calibri" w:hAnsi="Calibri"/>
                <w:sz w:val="16"/>
                <w:szCs w:val="16"/>
                <w:color w:val="auto"/>
              </w:rPr>
              <w:t>Richard G. Erstad</w:t>
            </w:r>
          </w:p>
        </w:tc>
        <w:tc>
          <w:tcPr>
            <w:tcW w:w="3200" w:type="dxa"/>
            <w:vAlign w:val="bottom"/>
            <w:tcBorders>
              <w:bottom w:val="single" w:sz="8" w:color="B3B3B3"/>
            </w:tcBorders>
            <w:shd w:val="clear" w:color="auto" w:fill="B3B3B3"/>
          </w:tcPr>
          <w:p>
            <w:pPr>
              <w:jc w:val="right"/>
              <w:ind w:right="78"/>
              <w:spacing w:after="0" w:line="193" w:lineRule="exact"/>
              <w:rPr>
                <w:sz w:val="20"/>
                <w:szCs w:val="20"/>
                <w:color w:val="auto"/>
              </w:rPr>
            </w:pPr>
            <w:r>
              <w:rPr>
                <w:rFonts w:ascii="Calibri" w:cs="Calibri" w:eastAsia="Calibri" w:hAnsi="Calibri"/>
                <w:sz w:val="16"/>
                <w:szCs w:val="16"/>
                <w:color w:val="auto"/>
              </w:rPr>
              <w:t>13,244</w:t>
            </w:r>
          </w:p>
        </w:tc>
        <w:tc>
          <w:tcPr>
            <w:tcW w:w="1900" w:type="dxa"/>
            <w:vAlign w:val="bottom"/>
            <w:tcBorders>
              <w:bottom w:val="single" w:sz="8" w:color="B3B3B3"/>
            </w:tcBorders>
            <w:shd w:val="clear" w:color="auto" w:fill="B3B3B3"/>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bottom w:val="single" w:sz="8" w:color="B3B3B3"/>
              <w:right w:val="single" w:sz="8" w:color="auto"/>
            </w:tcBorders>
            <w:shd w:val="clear" w:color="auto" w:fill="B3B3B3"/>
          </w:tcPr>
          <w:p>
            <w:pPr>
              <w:jc w:val="right"/>
              <w:spacing w:after="0" w:line="193" w:lineRule="exact"/>
              <w:rPr>
                <w:sz w:val="20"/>
                <w:szCs w:val="20"/>
                <w:color w:val="auto"/>
              </w:rPr>
            </w:pPr>
            <w:r>
              <w:rPr>
                <w:rFonts w:ascii="Calibri" w:cs="Calibri" w:eastAsia="Calibri" w:hAnsi="Calibri"/>
                <w:sz w:val="16"/>
                <w:szCs w:val="16"/>
                <w:color w:val="auto"/>
              </w:rPr>
              <w:t>19,865</w:t>
            </w:r>
          </w:p>
        </w:tc>
      </w:tr>
      <w:tr>
        <w:trPr>
          <w:trHeight w:val="193"/>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Douglas A. Lange</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19,505</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29,257</w:t>
            </w:r>
          </w:p>
        </w:tc>
      </w:tr>
      <w:tr>
        <w:trPr>
          <w:trHeight w:val="117"/>
        </w:trPr>
        <w:tc>
          <w:tcPr>
            <w:tcW w:w="3860" w:type="dxa"/>
            <w:vAlign w:val="bottom"/>
            <w:tcBorders>
              <w:left w:val="single" w:sz="8" w:color="auto"/>
            </w:tcBorders>
          </w:tcPr>
          <w:p>
            <w:pPr>
              <w:spacing w:after="0"/>
              <w:rPr>
                <w:sz w:val="10"/>
                <w:szCs w:val="10"/>
                <w:color w:val="auto"/>
              </w:rPr>
            </w:pPr>
          </w:p>
        </w:tc>
        <w:tc>
          <w:tcPr>
            <w:tcW w:w="3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r>
      <w:tr>
        <w:trPr>
          <w:trHeight w:val="196"/>
        </w:trPr>
        <w:tc>
          <w:tcPr>
            <w:tcW w:w="3860" w:type="dxa"/>
            <w:vAlign w:val="bottom"/>
            <w:tcBorders>
              <w:left w:val="single" w:sz="8" w:color="auto"/>
              <w:bottom w:val="single" w:sz="8" w:color="B3B3B3"/>
            </w:tcBorders>
            <w:shd w:val="clear" w:color="auto" w:fill="B3B3B3"/>
          </w:tcPr>
          <w:p>
            <w:pPr>
              <w:ind w:left="40"/>
              <w:spacing w:after="0" w:line="193" w:lineRule="exact"/>
              <w:rPr>
                <w:sz w:val="20"/>
                <w:szCs w:val="20"/>
                <w:color w:val="auto"/>
              </w:rPr>
            </w:pPr>
            <w:r>
              <w:rPr>
                <w:rFonts w:ascii="Calibri" w:cs="Calibri" w:eastAsia="Calibri" w:hAnsi="Calibri"/>
                <w:sz w:val="16"/>
                <w:szCs w:val="16"/>
                <w:color w:val="auto"/>
              </w:rPr>
              <w:t>Outplacement Costs (c)</w:t>
            </w:r>
          </w:p>
        </w:tc>
        <w:tc>
          <w:tcPr>
            <w:tcW w:w="3200" w:type="dxa"/>
            <w:vAlign w:val="bottom"/>
            <w:tcBorders>
              <w:bottom w:val="single" w:sz="8" w:color="B3B3B3"/>
            </w:tcBorders>
            <w:shd w:val="clear" w:color="auto" w:fill="B3B3B3"/>
          </w:tcPr>
          <w:p>
            <w:pPr>
              <w:spacing w:after="0"/>
              <w:rPr>
                <w:sz w:val="17"/>
                <w:szCs w:val="17"/>
                <w:color w:val="auto"/>
              </w:rPr>
            </w:pPr>
          </w:p>
        </w:tc>
        <w:tc>
          <w:tcPr>
            <w:tcW w:w="1900" w:type="dxa"/>
            <w:vAlign w:val="bottom"/>
            <w:tcBorders>
              <w:bottom w:val="single" w:sz="8" w:color="B3B3B3"/>
            </w:tcBorders>
            <w:shd w:val="clear" w:color="auto" w:fill="B3B3B3"/>
          </w:tcPr>
          <w:p>
            <w:pPr>
              <w:spacing w:after="0"/>
              <w:rPr>
                <w:sz w:val="17"/>
                <w:szCs w:val="17"/>
                <w:color w:val="auto"/>
              </w:rPr>
            </w:pPr>
          </w:p>
        </w:tc>
        <w:tc>
          <w:tcPr>
            <w:tcW w:w="1940" w:type="dxa"/>
            <w:vAlign w:val="bottom"/>
            <w:tcBorders>
              <w:bottom w:val="single" w:sz="8" w:color="B3B3B3"/>
              <w:right w:val="single" w:sz="8" w:color="auto"/>
            </w:tcBorders>
            <w:shd w:val="clear" w:color="auto" w:fill="B3B3B3"/>
          </w:tcPr>
          <w:p>
            <w:pPr>
              <w:spacing w:after="0"/>
              <w:rPr>
                <w:sz w:val="17"/>
                <w:szCs w:val="17"/>
                <w:color w:val="auto"/>
              </w:rPr>
            </w:pPr>
          </w:p>
        </w:tc>
      </w:tr>
      <w:tr>
        <w:trPr>
          <w:trHeight w:val="193"/>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Patrick H. Hawkins</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20,000</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20,000</w:t>
            </w:r>
          </w:p>
        </w:tc>
      </w:tr>
      <w:tr>
        <w:trPr>
          <w:trHeight w:val="23"/>
        </w:trPr>
        <w:tc>
          <w:tcPr>
            <w:tcW w:w="3860" w:type="dxa"/>
            <w:vAlign w:val="bottom"/>
            <w:tcBorders>
              <w:left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r>
      <w:tr>
        <w:trPr>
          <w:trHeight w:val="196"/>
        </w:trPr>
        <w:tc>
          <w:tcPr>
            <w:tcW w:w="3860" w:type="dxa"/>
            <w:vAlign w:val="bottom"/>
            <w:tcBorders>
              <w:left w:val="single" w:sz="8" w:color="auto"/>
              <w:bottom w:val="single" w:sz="8" w:color="B3B3B3"/>
            </w:tcBorders>
            <w:shd w:val="clear" w:color="auto" w:fill="B3B3B3"/>
          </w:tcPr>
          <w:p>
            <w:pPr>
              <w:ind w:left="360"/>
              <w:spacing w:after="0" w:line="193" w:lineRule="exact"/>
              <w:rPr>
                <w:sz w:val="20"/>
                <w:szCs w:val="20"/>
                <w:color w:val="auto"/>
              </w:rPr>
            </w:pPr>
            <w:r>
              <w:rPr>
                <w:rFonts w:ascii="Calibri" w:cs="Calibri" w:eastAsia="Calibri" w:hAnsi="Calibri"/>
                <w:sz w:val="16"/>
                <w:szCs w:val="16"/>
                <w:color w:val="auto"/>
              </w:rPr>
              <w:t>Jefrey P. Oldenkamp</w:t>
            </w:r>
          </w:p>
        </w:tc>
        <w:tc>
          <w:tcPr>
            <w:tcW w:w="3200" w:type="dxa"/>
            <w:vAlign w:val="bottom"/>
            <w:tcBorders>
              <w:bottom w:val="single" w:sz="8" w:color="B3B3B3"/>
            </w:tcBorders>
            <w:shd w:val="clear" w:color="auto" w:fill="B3B3B3"/>
          </w:tcPr>
          <w:p>
            <w:pPr>
              <w:jc w:val="right"/>
              <w:ind w:right="78"/>
              <w:spacing w:after="0" w:line="193" w:lineRule="exact"/>
              <w:rPr>
                <w:sz w:val="20"/>
                <w:szCs w:val="20"/>
                <w:color w:val="auto"/>
              </w:rPr>
            </w:pPr>
            <w:r>
              <w:rPr>
                <w:rFonts w:ascii="Calibri" w:cs="Calibri" w:eastAsia="Calibri" w:hAnsi="Calibri"/>
                <w:sz w:val="16"/>
                <w:szCs w:val="16"/>
                <w:color w:val="auto"/>
              </w:rPr>
              <w:t>20,000</w:t>
            </w:r>
          </w:p>
        </w:tc>
        <w:tc>
          <w:tcPr>
            <w:tcW w:w="1900" w:type="dxa"/>
            <w:vAlign w:val="bottom"/>
            <w:tcBorders>
              <w:bottom w:val="single" w:sz="8" w:color="B3B3B3"/>
            </w:tcBorders>
            <w:shd w:val="clear" w:color="auto" w:fill="B3B3B3"/>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bottom w:val="single" w:sz="8" w:color="B3B3B3"/>
              <w:right w:val="single" w:sz="8" w:color="auto"/>
            </w:tcBorders>
            <w:shd w:val="clear" w:color="auto" w:fill="B3B3B3"/>
          </w:tcPr>
          <w:p>
            <w:pPr>
              <w:jc w:val="right"/>
              <w:spacing w:after="0" w:line="193" w:lineRule="exact"/>
              <w:rPr>
                <w:sz w:val="20"/>
                <w:szCs w:val="20"/>
                <w:color w:val="auto"/>
              </w:rPr>
            </w:pPr>
            <w:r>
              <w:rPr>
                <w:rFonts w:ascii="Calibri" w:cs="Calibri" w:eastAsia="Calibri" w:hAnsi="Calibri"/>
                <w:sz w:val="16"/>
                <w:szCs w:val="16"/>
                <w:color w:val="auto"/>
              </w:rPr>
              <w:t>20,000</w:t>
            </w:r>
          </w:p>
        </w:tc>
      </w:tr>
      <w:tr>
        <w:trPr>
          <w:trHeight w:val="193"/>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Drew M. Grahek</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20,000</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20,000</w:t>
            </w:r>
          </w:p>
        </w:tc>
      </w:tr>
      <w:tr>
        <w:trPr>
          <w:trHeight w:val="23"/>
        </w:trPr>
        <w:tc>
          <w:tcPr>
            <w:tcW w:w="3860" w:type="dxa"/>
            <w:vAlign w:val="bottom"/>
            <w:tcBorders>
              <w:left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r>
      <w:tr>
        <w:trPr>
          <w:trHeight w:val="196"/>
        </w:trPr>
        <w:tc>
          <w:tcPr>
            <w:tcW w:w="3860" w:type="dxa"/>
            <w:vAlign w:val="bottom"/>
            <w:tcBorders>
              <w:left w:val="single" w:sz="8" w:color="auto"/>
              <w:bottom w:val="single" w:sz="8" w:color="B3B3B3"/>
            </w:tcBorders>
            <w:shd w:val="clear" w:color="auto" w:fill="B3B3B3"/>
          </w:tcPr>
          <w:p>
            <w:pPr>
              <w:ind w:left="360"/>
              <w:spacing w:after="0" w:line="193" w:lineRule="exact"/>
              <w:rPr>
                <w:sz w:val="20"/>
                <w:szCs w:val="20"/>
                <w:color w:val="auto"/>
              </w:rPr>
            </w:pPr>
            <w:r>
              <w:rPr>
                <w:rFonts w:ascii="Calibri" w:cs="Calibri" w:eastAsia="Calibri" w:hAnsi="Calibri"/>
                <w:sz w:val="16"/>
                <w:szCs w:val="16"/>
                <w:color w:val="auto"/>
              </w:rPr>
              <w:t>Richard G. Erstad</w:t>
            </w:r>
          </w:p>
        </w:tc>
        <w:tc>
          <w:tcPr>
            <w:tcW w:w="3200" w:type="dxa"/>
            <w:vAlign w:val="bottom"/>
            <w:tcBorders>
              <w:bottom w:val="single" w:sz="8" w:color="B3B3B3"/>
            </w:tcBorders>
            <w:shd w:val="clear" w:color="auto" w:fill="B3B3B3"/>
          </w:tcPr>
          <w:p>
            <w:pPr>
              <w:jc w:val="right"/>
              <w:ind w:right="78"/>
              <w:spacing w:after="0" w:line="193" w:lineRule="exact"/>
              <w:rPr>
                <w:sz w:val="20"/>
                <w:szCs w:val="20"/>
                <w:color w:val="auto"/>
              </w:rPr>
            </w:pPr>
            <w:r>
              <w:rPr>
                <w:rFonts w:ascii="Calibri" w:cs="Calibri" w:eastAsia="Calibri" w:hAnsi="Calibri"/>
                <w:sz w:val="16"/>
                <w:szCs w:val="16"/>
                <w:color w:val="auto"/>
              </w:rPr>
              <w:t>20,000</w:t>
            </w:r>
          </w:p>
        </w:tc>
        <w:tc>
          <w:tcPr>
            <w:tcW w:w="1900" w:type="dxa"/>
            <w:vAlign w:val="bottom"/>
            <w:tcBorders>
              <w:bottom w:val="single" w:sz="8" w:color="B3B3B3"/>
            </w:tcBorders>
            <w:shd w:val="clear" w:color="auto" w:fill="B3B3B3"/>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bottom w:val="single" w:sz="8" w:color="B3B3B3"/>
              <w:right w:val="single" w:sz="8" w:color="auto"/>
            </w:tcBorders>
            <w:shd w:val="clear" w:color="auto" w:fill="B3B3B3"/>
          </w:tcPr>
          <w:p>
            <w:pPr>
              <w:jc w:val="right"/>
              <w:spacing w:after="0" w:line="193" w:lineRule="exact"/>
              <w:rPr>
                <w:sz w:val="20"/>
                <w:szCs w:val="20"/>
                <w:color w:val="auto"/>
              </w:rPr>
            </w:pPr>
            <w:r>
              <w:rPr>
                <w:rFonts w:ascii="Calibri" w:cs="Calibri" w:eastAsia="Calibri" w:hAnsi="Calibri"/>
                <w:sz w:val="16"/>
                <w:szCs w:val="16"/>
                <w:color w:val="auto"/>
              </w:rPr>
              <w:t>20,000</w:t>
            </w:r>
          </w:p>
        </w:tc>
      </w:tr>
      <w:tr>
        <w:trPr>
          <w:trHeight w:val="193"/>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Douglas A. Lange</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20,000</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20,000</w:t>
            </w:r>
          </w:p>
        </w:tc>
      </w:tr>
      <w:tr>
        <w:trPr>
          <w:trHeight w:val="117"/>
        </w:trPr>
        <w:tc>
          <w:tcPr>
            <w:tcW w:w="3860" w:type="dxa"/>
            <w:vAlign w:val="bottom"/>
            <w:tcBorders>
              <w:left w:val="single" w:sz="8" w:color="auto"/>
            </w:tcBorders>
          </w:tcPr>
          <w:p>
            <w:pPr>
              <w:spacing w:after="0"/>
              <w:rPr>
                <w:sz w:val="10"/>
                <w:szCs w:val="10"/>
                <w:color w:val="auto"/>
              </w:rPr>
            </w:pPr>
          </w:p>
        </w:tc>
        <w:tc>
          <w:tcPr>
            <w:tcW w:w="3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r>
      <w:tr>
        <w:trPr>
          <w:trHeight w:val="196"/>
        </w:trPr>
        <w:tc>
          <w:tcPr>
            <w:tcW w:w="3860" w:type="dxa"/>
            <w:vAlign w:val="bottom"/>
            <w:tcBorders>
              <w:left w:val="single" w:sz="8" w:color="auto"/>
              <w:bottom w:val="single" w:sz="8" w:color="B3B3B3"/>
            </w:tcBorders>
            <w:shd w:val="clear" w:color="auto" w:fill="B3B3B3"/>
          </w:tcPr>
          <w:p>
            <w:pPr>
              <w:ind w:left="40"/>
              <w:spacing w:after="0" w:line="193" w:lineRule="exact"/>
              <w:rPr>
                <w:sz w:val="20"/>
                <w:szCs w:val="20"/>
                <w:color w:val="auto"/>
              </w:rPr>
            </w:pPr>
            <w:r>
              <w:rPr>
                <w:rFonts w:ascii="Calibri" w:cs="Calibri" w:eastAsia="Calibri" w:hAnsi="Calibri"/>
                <w:sz w:val="16"/>
                <w:szCs w:val="16"/>
                <w:color w:val="auto"/>
              </w:rPr>
              <w:t>Target Bonus Amount (d)</w:t>
            </w:r>
          </w:p>
        </w:tc>
        <w:tc>
          <w:tcPr>
            <w:tcW w:w="3200" w:type="dxa"/>
            <w:vAlign w:val="bottom"/>
            <w:tcBorders>
              <w:bottom w:val="single" w:sz="8" w:color="B3B3B3"/>
            </w:tcBorders>
            <w:shd w:val="clear" w:color="auto" w:fill="B3B3B3"/>
          </w:tcPr>
          <w:p>
            <w:pPr>
              <w:spacing w:after="0"/>
              <w:rPr>
                <w:sz w:val="17"/>
                <w:szCs w:val="17"/>
                <w:color w:val="auto"/>
              </w:rPr>
            </w:pPr>
          </w:p>
        </w:tc>
        <w:tc>
          <w:tcPr>
            <w:tcW w:w="1900" w:type="dxa"/>
            <w:vAlign w:val="bottom"/>
            <w:tcBorders>
              <w:bottom w:val="single" w:sz="8" w:color="B3B3B3"/>
            </w:tcBorders>
            <w:shd w:val="clear" w:color="auto" w:fill="B3B3B3"/>
          </w:tcPr>
          <w:p>
            <w:pPr>
              <w:spacing w:after="0"/>
              <w:rPr>
                <w:sz w:val="17"/>
                <w:szCs w:val="17"/>
                <w:color w:val="auto"/>
              </w:rPr>
            </w:pPr>
          </w:p>
        </w:tc>
        <w:tc>
          <w:tcPr>
            <w:tcW w:w="1940" w:type="dxa"/>
            <w:vAlign w:val="bottom"/>
            <w:tcBorders>
              <w:bottom w:val="single" w:sz="8" w:color="B3B3B3"/>
              <w:right w:val="single" w:sz="8" w:color="auto"/>
            </w:tcBorders>
            <w:shd w:val="clear" w:color="auto" w:fill="B3B3B3"/>
          </w:tcPr>
          <w:p>
            <w:pPr>
              <w:spacing w:after="0"/>
              <w:rPr>
                <w:sz w:val="17"/>
                <w:szCs w:val="17"/>
                <w:color w:val="auto"/>
              </w:rPr>
            </w:pPr>
          </w:p>
        </w:tc>
      </w:tr>
      <w:tr>
        <w:trPr>
          <w:trHeight w:val="194"/>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Patrick H. Hawkins</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1,274,000</w:t>
            </w:r>
          </w:p>
        </w:tc>
      </w:tr>
      <w:tr>
        <w:trPr>
          <w:trHeight w:val="23"/>
        </w:trPr>
        <w:tc>
          <w:tcPr>
            <w:tcW w:w="3860" w:type="dxa"/>
            <w:vAlign w:val="bottom"/>
            <w:tcBorders>
              <w:left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r>
      <w:tr>
        <w:trPr>
          <w:trHeight w:val="196"/>
        </w:trPr>
        <w:tc>
          <w:tcPr>
            <w:tcW w:w="3860" w:type="dxa"/>
            <w:vAlign w:val="bottom"/>
            <w:tcBorders>
              <w:left w:val="single" w:sz="8" w:color="auto"/>
              <w:bottom w:val="single" w:sz="8" w:color="B3B3B3"/>
            </w:tcBorders>
            <w:shd w:val="clear" w:color="auto" w:fill="B3B3B3"/>
          </w:tcPr>
          <w:p>
            <w:pPr>
              <w:ind w:left="360"/>
              <w:spacing w:after="0" w:line="193" w:lineRule="exact"/>
              <w:rPr>
                <w:sz w:val="20"/>
                <w:szCs w:val="20"/>
                <w:color w:val="auto"/>
              </w:rPr>
            </w:pPr>
            <w:r>
              <w:rPr>
                <w:rFonts w:ascii="Calibri" w:cs="Calibri" w:eastAsia="Calibri" w:hAnsi="Calibri"/>
                <w:sz w:val="16"/>
                <w:szCs w:val="16"/>
                <w:color w:val="auto"/>
              </w:rPr>
              <w:t>Jefrey P. Oldenkamp</w:t>
            </w:r>
          </w:p>
        </w:tc>
        <w:tc>
          <w:tcPr>
            <w:tcW w:w="3200" w:type="dxa"/>
            <w:vAlign w:val="bottom"/>
            <w:tcBorders>
              <w:bottom w:val="single" w:sz="8" w:color="B3B3B3"/>
            </w:tcBorders>
            <w:shd w:val="clear" w:color="auto" w:fill="B3B3B3"/>
          </w:tcPr>
          <w:p>
            <w:pPr>
              <w:jc w:val="right"/>
              <w:ind w:right="78"/>
              <w:spacing w:after="0" w:line="193" w:lineRule="exact"/>
              <w:rPr>
                <w:sz w:val="20"/>
                <w:szCs w:val="20"/>
                <w:color w:val="auto"/>
              </w:rPr>
            </w:pPr>
            <w:r>
              <w:rPr>
                <w:rFonts w:ascii="Calibri" w:cs="Calibri" w:eastAsia="Calibri" w:hAnsi="Calibri"/>
                <w:sz w:val="16"/>
                <w:szCs w:val="16"/>
                <w:color w:val="auto"/>
              </w:rPr>
              <w:t>—</w:t>
            </w:r>
          </w:p>
        </w:tc>
        <w:tc>
          <w:tcPr>
            <w:tcW w:w="1900" w:type="dxa"/>
            <w:vAlign w:val="bottom"/>
            <w:tcBorders>
              <w:bottom w:val="single" w:sz="8" w:color="B3B3B3"/>
            </w:tcBorders>
            <w:shd w:val="clear" w:color="auto" w:fill="B3B3B3"/>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bottom w:val="single" w:sz="8" w:color="B3B3B3"/>
              <w:right w:val="single" w:sz="8" w:color="auto"/>
            </w:tcBorders>
            <w:shd w:val="clear" w:color="auto" w:fill="B3B3B3"/>
          </w:tcPr>
          <w:p>
            <w:pPr>
              <w:jc w:val="right"/>
              <w:spacing w:after="0" w:line="193" w:lineRule="exact"/>
              <w:rPr>
                <w:sz w:val="20"/>
                <w:szCs w:val="20"/>
                <w:color w:val="auto"/>
              </w:rPr>
            </w:pPr>
            <w:r>
              <w:rPr>
                <w:rFonts w:ascii="Calibri" w:cs="Calibri" w:eastAsia="Calibri" w:hAnsi="Calibri"/>
                <w:sz w:val="16"/>
                <w:szCs w:val="16"/>
                <w:color w:val="auto"/>
              </w:rPr>
              <w:t>526,500</w:t>
            </w:r>
          </w:p>
        </w:tc>
      </w:tr>
      <w:tr>
        <w:trPr>
          <w:trHeight w:val="193"/>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Drew M. Grahek</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220,800</w:t>
            </w:r>
          </w:p>
        </w:tc>
      </w:tr>
      <w:tr>
        <w:trPr>
          <w:trHeight w:val="23"/>
        </w:trPr>
        <w:tc>
          <w:tcPr>
            <w:tcW w:w="3860" w:type="dxa"/>
            <w:vAlign w:val="bottom"/>
            <w:tcBorders>
              <w:left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r>
      <w:tr>
        <w:trPr>
          <w:trHeight w:val="196"/>
        </w:trPr>
        <w:tc>
          <w:tcPr>
            <w:tcW w:w="3860" w:type="dxa"/>
            <w:vAlign w:val="bottom"/>
            <w:tcBorders>
              <w:left w:val="single" w:sz="8" w:color="auto"/>
              <w:bottom w:val="single" w:sz="8" w:color="B3B3B3"/>
            </w:tcBorders>
            <w:shd w:val="clear" w:color="auto" w:fill="B3B3B3"/>
          </w:tcPr>
          <w:p>
            <w:pPr>
              <w:ind w:left="360"/>
              <w:spacing w:after="0" w:line="193" w:lineRule="exact"/>
              <w:rPr>
                <w:sz w:val="20"/>
                <w:szCs w:val="20"/>
                <w:color w:val="auto"/>
              </w:rPr>
            </w:pPr>
            <w:r>
              <w:rPr>
                <w:rFonts w:ascii="Calibri" w:cs="Calibri" w:eastAsia="Calibri" w:hAnsi="Calibri"/>
                <w:sz w:val="16"/>
                <w:szCs w:val="16"/>
                <w:color w:val="auto"/>
              </w:rPr>
              <w:t>Richard G. Erstad</w:t>
            </w:r>
          </w:p>
        </w:tc>
        <w:tc>
          <w:tcPr>
            <w:tcW w:w="3200" w:type="dxa"/>
            <w:vAlign w:val="bottom"/>
            <w:tcBorders>
              <w:bottom w:val="single" w:sz="8" w:color="B3B3B3"/>
            </w:tcBorders>
            <w:shd w:val="clear" w:color="auto" w:fill="B3B3B3"/>
          </w:tcPr>
          <w:p>
            <w:pPr>
              <w:jc w:val="right"/>
              <w:ind w:right="78"/>
              <w:spacing w:after="0" w:line="193" w:lineRule="exact"/>
              <w:rPr>
                <w:sz w:val="20"/>
                <w:szCs w:val="20"/>
                <w:color w:val="auto"/>
              </w:rPr>
            </w:pPr>
            <w:r>
              <w:rPr>
                <w:rFonts w:ascii="Calibri" w:cs="Calibri" w:eastAsia="Calibri" w:hAnsi="Calibri"/>
                <w:sz w:val="16"/>
                <w:szCs w:val="16"/>
                <w:color w:val="auto"/>
              </w:rPr>
              <w:t>—</w:t>
            </w:r>
          </w:p>
        </w:tc>
        <w:tc>
          <w:tcPr>
            <w:tcW w:w="1900" w:type="dxa"/>
            <w:vAlign w:val="bottom"/>
            <w:tcBorders>
              <w:bottom w:val="single" w:sz="8" w:color="B3B3B3"/>
            </w:tcBorders>
            <w:shd w:val="clear" w:color="auto" w:fill="B3B3B3"/>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bottom w:val="single" w:sz="8" w:color="B3B3B3"/>
              <w:right w:val="single" w:sz="8" w:color="auto"/>
            </w:tcBorders>
            <w:shd w:val="clear" w:color="auto" w:fill="B3B3B3"/>
          </w:tcPr>
          <w:p>
            <w:pPr>
              <w:jc w:val="right"/>
              <w:spacing w:after="0" w:line="193" w:lineRule="exact"/>
              <w:rPr>
                <w:sz w:val="20"/>
                <w:szCs w:val="20"/>
                <w:color w:val="auto"/>
              </w:rPr>
            </w:pPr>
            <w:r>
              <w:rPr>
                <w:rFonts w:ascii="Calibri" w:cs="Calibri" w:eastAsia="Calibri" w:hAnsi="Calibri"/>
                <w:sz w:val="16"/>
                <w:szCs w:val="16"/>
                <w:color w:val="auto"/>
              </w:rPr>
              <w:t>202,200</w:t>
            </w:r>
          </w:p>
        </w:tc>
      </w:tr>
      <w:tr>
        <w:trPr>
          <w:trHeight w:val="193"/>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Douglas A. Lange</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202,200</w:t>
            </w:r>
          </w:p>
        </w:tc>
      </w:tr>
      <w:tr>
        <w:trPr>
          <w:trHeight w:val="117"/>
        </w:trPr>
        <w:tc>
          <w:tcPr>
            <w:tcW w:w="3860" w:type="dxa"/>
            <w:vAlign w:val="bottom"/>
            <w:tcBorders>
              <w:left w:val="single" w:sz="8" w:color="auto"/>
            </w:tcBorders>
          </w:tcPr>
          <w:p>
            <w:pPr>
              <w:spacing w:after="0"/>
              <w:rPr>
                <w:sz w:val="10"/>
                <w:szCs w:val="10"/>
                <w:color w:val="auto"/>
              </w:rPr>
            </w:pPr>
          </w:p>
        </w:tc>
        <w:tc>
          <w:tcPr>
            <w:tcW w:w="3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r>
      <w:tr>
        <w:trPr>
          <w:trHeight w:val="196"/>
        </w:trPr>
        <w:tc>
          <w:tcPr>
            <w:tcW w:w="3860" w:type="dxa"/>
            <w:vAlign w:val="bottom"/>
            <w:tcBorders>
              <w:left w:val="single" w:sz="8" w:color="auto"/>
              <w:bottom w:val="single" w:sz="8" w:color="B3B3B3"/>
            </w:tcBorders>
            <w:shd w:val="clear" w:color="auto" w:fill="B3B3B3"/>
          </w:tcPr>
          <w:p>
            <w:pPr>
              <w:ind w:left="40"/>
              <w:spacing w:after="0" w:line="193" w:lineRule="exact"/>
              <w:rPr>
                <w:sz w:val="20"/>
                <w:szCs w:val="20"/>
                <w:color w:val="auto"/>
              </w:rPr>
            </w:pPr>
            <w:r>
              <w:rPr>
                <w:rFonts w:ascii="Calibri" w:cs="Calibri" w:eastAsia="Calibri" w:hAnsi="Calibri"/>
                <w:sz w:val="16"/>
                <w:szCs w:val="16"/>
                <w:color w:val="auto"/>
              </w:rPr>
              <w:t>Proft Sharing / 401(k) Contributon (e)</w:t>
            </w:r>
          </w:p>
        </w:tc>
        <w:tc>
          <w:tcPr>
            <w:tcW w:w="3200" w:type="dxa"/>
            <w:vAlign w:val="bottom"/>
            <w:tcBorders>
              <w:bottom w:val="single" w:sz="8" w:color="B3B3B3"/>
            </w:tcBorders>
            <w:shd w:val="clear" w:color="auto" w:fill="B3B3B3"/>
          </w:tcPr>
          <w:p>
            <w:pPr>
              <w:spacing w:after="0"/>
              <w:rPr>
                <w:sz w:val="17"/>
                <w:szCs w:val="17"/>
                <w:color w:val="auto"/>
              </w:rPr>
            </w:pPr>
          </w:p>
        </w:tc>
        <w:tc>
          <w:tcPr>
            <w:tcW w:w="1900" w:type="dxa"/>
            <w:vAlign w:val="bottom"/>
            <w:tcBorders>
              <w:bottom w:val="single" w:sz="8" w:color="B3B3B3"/>
            </w:tcBorders>
            <w:shd w:val="clear" w:color="auto" w:fill="B3B3B3"/>
          </w:tcPr>
          <w:p>
            <w:pPr>
              <w:spacing w:after="0"/>
              <w:rPr>
                <w:sz w:val="17"/>
                <w:szCs w:val="17"/>
                <w:color w:val="auto"/>
              </w:rPr>
            </w:pPr>
          </w:p>
        </w:tc>
        <w:tc>
          <w:tcPr>
            <w:tcW w:w="1940" w:type="dxa"/>
            <w:vAlign w:val="bottom"/>
            <w:tcBorders>
              <w:bottom w:val="single" w:sz="8" w:color="B3B3B3"/>
              <w:right w:val="single" w:sz="8" w:color="auto"/>
            </w:tcBorders>
            <w:shd w:val="clear" w:color="auto" w:fill="B3B3B3"/>
          </w:tcPr>
          <w:p>
            <w:pPr>
              <w:spacing w:after="0"/>
              <w:rPr>
                <w:sz w:val="17"/>
                <w:szCs w:val="17"/>
                <w:color w:val="auto"/>
              </w:rPr>
            </w:pPr>
          </w:p>
        </w:tc>
      </w:tr>
      <w:tr>
        <w:trPr>
          <w:trHeight w:val="194"/>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Patrick H. Hawkins</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33,000</w:t>
            </w:r>
          </w:p>
        </w:tc>
      </w:tr>
      <w:tr>
        <w:trPr>
          <w:trHeight w:val="23"/>
        </w:trPr>
        <w:tc>
          <w:tcPr>
            <w:tcW w:w="3860" w:type="dxa"/>
            <w:vAlign w:val="bottom"/>
            <w:tcBorders>
              <w:left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r>
      <w:tr>
        <w:trPr>
          <w:trHeight w:val="196"/>
        </w:trPr>
        <w:tc>
          <w:tcPr>
            <w:tcW w:w="3860" w:type="dxa"/>
            <w:vAlign w:val="bottom"/>
            <w:tcBorders>
              <w:left w:val="single" w:sz="8" w:color="auto"/>
              <w:bottom w:val="single" w:sz="8" w:color="B3B3B3"/>
            </w:tcBorders>
            <w:shd w:val="clear" w:color="auto" w:fill="B3B3B3"/>
          </w:tcPr>
          <w:p>
            <w:pPr>
              <w:ind w:left="360"/>
              <w:spacing w:after="0" w:line="193" w:lineRule="exact"/>
              <w:rPr>
                <w:sz w:val="20"/>
                <w:szCs w:val="20"/>
                <w:color w:val="auto"/>
              </w:rPr>
            </w:pPr>
            <w:r>
              <w:rPr>
                <w:rFonts w:ascii="Calibri" w:cs="Calibri" w:eastAsia="Calibri" w:hAnsi="Calibri"/>
                <w:sz w:val="16"/>
                <w:szCs w:val="16"/>
                <w:color w:val="auto"/>
              </w:rPr>
              <w:t>Jefrey P. Oldenkamp</w:t>
            </w:r>
          </w:p>
        </w:tc>
        <w:tc>
          <w:tcPr>
            <w:tcW w:w="3200" w:type="dxa"/>
            <w:vAlign w:val="bottom"/>
            <w:tcBorders>
              <w:bottom w:val="single" w:sz="8" w:color="B3B3B3"/>
            </w:tcBorders>
            <w:shd w:val="clear" w:color="auto" w:fill="B3B3B3"/>
          </w:tcPr>
          <w:p>
            <w:pPr>
              <w:jc w:val="right"/>
              <w:ind w:right="78"/>
              <w:spacing w:after="0" w:line="193" w:lineRule="exact"/>
              <w:rPr>
                <w:sz w:val="20"/>
                <w:szCs w:val="20"/>
                <w:color w:val="auto"/>
              </w:rPr>
            </w:pPr>
            <w:r>
              <w:rPr>
                <w:rFonts w:ascii="Calibri" w:cs="Calibri" w:eastAsia="Calibri" w:hAnsi="Calibri"/>
                <w:sz w:val="16"/>
                <w:szCs w:val="16"/>
                <w:color w:val="auto"/>
              </w:rPr>
              <w:t>—</w:t>
            </w:r>
          </w:p>
        </w:tc>
        <w:tc>
          <w:tcPr>
            <w:tcW w:w="1900" w:type="dxa"/>
            <w:vAlign w:val="bottom"/>
            <w:tcBorders>
              <w:bottom w:val="single" w:sz="8" w:color="B3B3B3"/>
            </w:tcBorders>
            <w:shd w:val="clear" w:color="auto" w:fill="B3B3B3"/>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bottom w:val="single" w:sz="8" w:color="B3B3B3"/>
              <w:right w:val="single" w:sz="8" w:color="auto"/>
            </w:tcBorders>
            <w:shd w:val="clear" w:color="auto" w:fill="B3B3B3"/>
          </w:tcPr>
          <w:p>
            <w:pPr>
              <w:jc w:val="right"/>
              <w:spacing w:after="0" w:line="193" w:lineRule="exact"/>
              <w:rPr>
                <w:sz w:val="20"/>
                <w:szCs w:val="20"/>
                <w:color w:val="auto"/>
              </w:rPr>
            </w:pPr>
            <w:r>
              <w:rPr>
                <w:rFonts w:ascii="Calibri" w:cs="Calibri" w:eastAsia="Calibri" w:hAnsi="Calibri"/>
                <w:sz w:val="16"/>
                <w:szCs w:val="16"/>
                <w:color w:val="auto"/>
              </w:rPr>
              <w:t>49,500</w:t>
            </w:r>
          </w:p>
        </w:tc>
      </w:tr>
      <w:tr>
        <w:trPr>
          <w:trHeight w:val="193"/>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Drew M. Grahek</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49,500</w:t>
            </w:r>
          </w:p>
        </w:tc>
      </w:tr>
      <w:tr>
        <w:trPr>
          <w:trHeight w:val="23"/>
        </w:trPr>
        <w:tc>
          <w:tcPr>
            <w:tcW w:w="3860" w:type="dxa"/>
            <w:vAlign w:val="bottom"/>
            <w:tcBorders>
              <w:left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r>
      <w:tr>
        <w:trPr>
          <w:trHeight w:val="196"/>
        </w:trPr>
        <w:tc>
          <w:tcPr>
            <w:tcW w:w="3860" w:type="dxa"/>
            <w:vAlign w:val="bottom"/>
            <w:tcBorders>
              <w:left w:val="single" w:sz="8" w:color="auto"/>
              <w:bottom w:val="single" w:sz="8" w:color="B3B3B3"/>
            </w:tcBorders>
            <w:shd w:val="clear" w:color="auto" w:fill="B3B3B3"/>
          </w:tcPr>
          <w:p>
            <w:pPr>
              <w:ind w:left="360"/>
              <w:spacing w:after="0" w:line="193" w:lineRule="exact"/>
              <w:rPr>
                <w:sz w:val="20"/>
                <w:szCs w:val="20"/>
                <w:color w:val="auto"/>
              </w:rPr>
            </w:pPr>
            <w:r>
              <w:rPr>
                <w:rFonts w:ascii="Calibri" w:cs="Calibri" w:eastAsia="Calibri" w:hAnsi="Calibri"/>
                <w:sz w:val="16"/>
                <w:szCs w:val="16"/>
                <w:color w:val="auto"/>
              </w:rPr>
              <w:t>Richard G. Erstad</w:t>
            </w:r>
          </w:p>
        </w:tc>
        <w:tc>
          <w:tcPr>
            <w:tcW w:w="3200" w:type="dxa"/>
            <w:vAlign w:val="bottom"/>
            <w:tcBorders>
              <w:bottom w:val="single" w:sz="8" w:color="B3B3B3"/>
            </w:tcBorders>
            <w:shd w:val="clear" w:color="auto" w:fill="B3B3B3"/>
          </w:tcPr>
          <w:p>
            <w:pPr>
              <w:jc w:val="right"/>
              <w:ind w:right="78"/>
              <w:spacing w:after="0" w:line="193" w:lineRule="exact"/>
              <w:rPr>
                <w:sz w:val="20"/>
                <w:szCs w:val="20"/>
                <w:color w:val="auto"/>
              </w:rPr>
            </w:pPr>
            <w:r>
              <w:rPr>
                <w:rFonts w:ascii="Calibri" w:cs="Calibri" w:eastAsia="Calibri" w:hAnsi="Calibri"/>
                <w:sz w:val="16"/>
                <w:szCs w:val="16"/>
                <w:color w:val="auto"/>
              </w:rPr>
              <w:t>—</w:t>
            </w:r>
          </w:p>
        </w:tc>
        <w:tc>
          <w:tcPr>
            <w:tcW w:w="1900" w:type="dxa"/>
            <w:vAlign w:val="bottom"/>
            <w:tcBorders>
              <w:bottom w:val="single" w:sz="8" w:color="B3B3B3"/>
            </w:tcBorders>
            <w:shd w:val="clear" w:color="auto" w:fill="B3B3B3"/>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bottom w:val="single" w:sz="8" w:color="B3B3B3"/>
              <w:right w:val="single" w:sz="8" w:color="auto"/>
            </w:tcBorders>
            <w:shd w:val="clear" w:color="auto" w:fill="B3B3B3"/>
          </w:tcPr>
          <w:p>
            <w:pPr>
              <w:jc w:val="right"/>
              <w:spacing w:after="0" w:line="193" w:lineRule="exact"/>
              <w:rPr>
                <w:sz w:val="20"/>
                <w:szCs w:val="20"/>
                <w:color w:val="auto"/>
              </w:rPr>
            </w:pPr>
            <w:r>
              <w:rPr>
                <w:rFonts w:ascii="Calibri" w:cs="Calibri" w:eastAsia="Calibri" w:hAnsi="Calibri"/>
                <w:sz w:val="16"/>
                <w:szCs w:val="16"/>
                <w:color w:val="auto"/>
              </w:rPr>
              <w:t>24,750</w:t>
            </w:r>
          </w:p>
        </w:tc>
      </w:tr>
      <w:tr>
        <w:trPr>
          <w:trHeight w:val="194"/>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Douglas A. Lange</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49,500</w:t>
            </w:r>
          </w:p>
        </w:tc>
      </w:tr>
      <w:tr>
        <w:trPr>
          <w:trHeight w:val="117"/>
        </w:trPr>
        <w:tc>
          <w:tcPr>
            <w:tcW w:w="3860" w:type="dxa"/>
            <w:vAlign w:val="bottom"/>
            <w:tcBorders>
              <w:left w:val="single" w:sz="8" w:color="auto"/>
            </w:tcBorders>
          </w:tcPr>
          <w:p>
            <w:pPr>
              <w:spacing w:after="0"/>
              <w:rPr>
                <w:sz w:val="10"/>
                <w:szCs w:val="10"/>
                <w:color w:val="auto"/>
              </w:rPr>
            </w:pPr>
          </w:p>
        </w:tc>
        <w:tc>
          <w:tcPr>
            <w:tcW w:w="3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r>
      <w:tr>
        <w:trPr>
          <w:trHeight w:val="196"/>
        </w:trPr>
        <w:tc>
          <w:tcPr>
            <w:tcW w:w="3860" w:type="dxa"/>
            <w:vAlign w:val="bottom"/>
            <w:tcBorders>
              <w:left w:val="single" w:sz="8" w:color="auto"/>
              <w:bottom w:val="single" w:sz="8" w:color="B3B3B3"/>
            </w:tcBorders>
            <w:shd w:val="clear" w:color="auto" w:fill="B3B3B3"/>
          </w:tcPr>
          <w:p>
            <w:pPr>
              <w:ind w:left="40"/>
              <w:spacing w:after="0" w:line="193" w:lineRule="exact"/>
              <w:rPr>
                <w:sz w:val="20"/>
                <w:szCs w:val="20"/>
                <w:color w:val="auto"/>
              </w:rPr>
            </w:pPr>
            <w:r>
              <w:rPr>
                <w:rFonts w:ascii="Calibri" w:cs="Calibri" w:eastAsia="Calibri" w:hAnsi="Calibri"/>
                <w:sz w:val="16"/>
                <w:szCs w:val="16"/>
                <w:color w:val="auto"/>
              </w:rPr>
              <w:t>Acceleraton of Equity Awards (f)</w:t>
            </w:r>
          </w:p>
        </w:tc>
        <w:tc>
          <w:tcPr>
            <w:tcW w:w="3200" w:type="dxa"/>
            <w:vAlign w:val="bottom"/>
            <w:tcBorders>
              <w:bottom w:val="single" w:sz="8" w:color="B3B3B3"/>
            </w:tcBorders>
            <w:shd w:val="clear" w:color="auto" w:fill="B3B3B3"/>
          </w:tcPr>
          <w:p>
            <w:pPr>
              <w:spacing w:after="0"/>
              <w:rPr>
                <w:sz w:val="17"/>
                <w:szCs w:val="17"/>
                <w:color w:val="auto"/>
              </w:rPr>
            </w:pPr>
          </w:p>
        </w:tc>
        <w:tc>
          <w:tcPr>
            <w:tcW w:w="1900" w:type="dxa"/>
            <w:vAlign w:val="bottom"/>
            <w:tcBorders>
              <w:bottom w:val="single" w:sz="8" w:color="B3B3B3"/>
            </w:tcBorders>
            <w:shd w:val="clear" w:color="auto" w:fill="B3B3B3"/>
          </w:tcPr>
          <w:p>
            <w:pPr>
              <w:spacing w:after="0"/>
              <w:rPr>
                <w:sz w:val="17"/>
                <w:szCs w:val="17"/>
                <w:color w:val="auto"/>
              </w:rPr>
            </w:pPr>
          </w:p>
        </w:tc>
        <w:tc>
          <w:tcPr>
            <w:tcW w:w="1940" w:type="dxa"/>
            <w:vAlign w:val="bottom"/>
            <w:tcBorders>
              <w:bottom w:val="single" w:sz="8" w:color="B3B3B3"/>
              <w:right w:val="single" w:sz="8" w:color="auto"/>
            </w:tcBorders>
            <w:shd w:val="clear" w:color="auto" w:fill="B3B3B3"/>
          </w:tcPr>
          <w:p>
            <w:pPr>
              <w:spacing w:after="0"/>
              <w:rPr>
                <w:sz w:val="17"/>
                <w:szCs w:val="17"/>
                <w:color w:val="auto"/>
              </w:rPr>
            </w:pPr>
          </w:p>
        </w:tc>
      </w:tr>
      <w:tr>
        <w:trPr>
          <w:trHeight w:val="194"/>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Patrick H. Hawkins</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4,492,262</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4,492,262</w:t>
            </w:r>
          </w:p>
        </w:tc>
      </w:tr>
      <w:tr>
        <w:trPr>
          <w:trHeight w:val="23"/>
        </w:trPr>
        <w:tc>
          <w:tcPr>
            <w:tcW w:w="3860" w:type="dxa"/>
            <w:vAlign w:val="bottom"/>
            <w:tcBorders>
              <w:left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r>
      <w:tr>
        <w:trPr>
          <w:trHeight w:val="196"/>
        </w:trPr>
        <w:tc>
          <w:tcPr>
            <w:tcW w:w="3860" w:type="dxa"/>
            <w:vAlign w:val="bottom"/>
            <w:tcBorders>
              <w:left w:val="single" w:sz="8" w:color="auto"/>
              <w:bottom w:val="single" w:sz="8" w:color="B3B3B3"/>
            </w:tcBorders>
            <w:shd w:val="clear" w:color="auto" w:fill="B3B3B3"/>
          </w:tcPr>
          <w:p>
            <w:pPr>
              <w:ind w:left="360"/>
              <w:spacing w:after="0" w:line="193" w:lineRule="exact"/>
              <w:rPr>
                <w:sz w:val="20"/>
                <w:szCs w:val="20"/>
                <w:color w:val="auto"/>
              </w:rPr>
            </w:pPr>
            <w:r>
              <w:rPr>
                <w:rFonts w:ascii="Calibri" w:cs="Calibri" w:eastAsia="Calibri" w:hAnsi="Calibri"/>
                <w:sz w:val="16"/>
                <w:szCs w:val="16"/>
                <w:color w:val="auto"/>
              </w:rPr>
              <w:t>Jefrey P. Oldenkamp</w:t>
            </w:r>
          </w:p>
        </w:tc>
        <w:tc>
          <w:tcPr>
            <w:tcW w:w="3200" w:type="dxa"/>
            <w:vAlign w:val="bottom"/>
            <w:tcBorders>
              <w:bottom w:val="single" w:sz="8" w:color="B3B3B3"/>
            </w:tcBorders>
            <w:shd w:val="clear" w:color="auto" w:fill="B3B3B3"/>
          </w:tcPr>
          <w:p>
            <w:pPr>
              <w:jc w:val="right"/>
              <w:ind w:right="78"/>
              <w:spacing w:after="0" w:line="193" w:lineRule="exact"/>
              <w:rPr>
                <w:sz w:val="20"/>
                <w:szCs w:val="20"/>
                <w:color w:val="auto"/>
              </w:rPr>
            </w:pPr>
            <w:r>
              <w:rPr>
                <w:rFonts w:ascii="Calibri" w:cs="Calibri" w:eastAsia="Calibri" w:hAnsi="Calibri"/>
                <w:sz w:val="16"/>
                <w:szCs w:val="16"/>
                <w:color w:val="auto"/>
              </w:rPr>
              <w:t>—</w:t>
            </w:r>
          </w:p>
        </w:tc>
        <w:tc>
          <w:tcPr>
            <w:tcW w:w="1900" w:type="dxa"/>
            <w:vAlign w:val="bottom"/>
            <w:tcBorders>
              <w:bottom w:val="single" w:sz="8" w:color="B3B3B3"/>
            </w:tcBorders>
            <w:shd w:val="clear" w:color="auto" w:fill="B3B3B3"/>
          </w:tcPr>
          <w:p>
            <w:pPr>
              <w:jc w:val="right"/>
              <w:ind w:right="19"/>
              <w:spacing w:after="0" w:line="193" w:lineRule="exact"/>
              <w:rPr>
                <w:sz w:val="20"/>
                <w:szCs w:val="20"/>
                <w:color w:val="auto"/>
              </w:rPr>
            </w:pPr>
            <w:r>
              <w:rPr>
                <w:rFonts w:ascii="Calibri" w:cs="Calibri" w:eastAsia="Calibri" w:hAnsi="Calibri"/>
                <w:sz w:val="16"/>
                <w:szCs w:val="16"/>
                <w:color w:val="auto"/>
              </w:rPr>
              <w:t>2,567,270</w:t>
            </w:r>
          </w:p>
        </w:tc>
        <w:tc>
          <w:tcPr>
            <w:tcW w:w="1940" w:type="dxa"/>
            <w:vAlign w:val="bottom"/>
            <w:tcBorders>
              <w:bottom w:val="single" w:sz="8" w:color="B3B3B3"/>
              <w:right w:val="single" w:sz="8" w:color="auto"/>
            </w:tcBorders>
            <w:shd w:val="clear" w:color="auto" w:fill="B3B3B3"/>
          </w:tcPr>
          <w:p>
            <w:pPr>
              <w:jc w:val="right"/>
              <w:spacing w:after="0" w:line="193" w:lineRule="exact"/>
              <w:rPr>
                <w:sz w:val="20"/>
                <w:szCs w:val="20"/>
                <w:color w:val="auto"/>
              </w:rPr>
            </w:pPr>
            <w:r>
              <w:rPr>
                <w:rFonts w:ascii="Calibri" w:cs="Calibri" w:eastAsia="Calibri" w:hAnsi="Calibri"/>
                <w:sz w:val="16"/>
                <w:szCs w:val="16"/>
                <w:color w:val="auto"/>
              </w:rPr>
              <w:t>2,567,270</w:t>
            </w:r>
          </w:p>
        </w:tc>
      </w:tr>
      <w:tr>
        <w:trPr>
          <w:trHeight w:val="193"/>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Drew M. Grahek</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1,616,256</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1,616,256</w:t>
            </w:r>
          </w:p>
        </w:tc>
      </w:tr>
      <w:tr>
        <w:trPr>
          <w:trHeight w:val="23"/>
        </w:trPr>
        <w:tc>
          <w:tcPr>
            <w:tcW w:w="3860" w:type="dxa"/>
            <w:vAlign w:val="bottom"/>
            <w:tcBorders>
              <w:left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r>
      <w:tr>
        <w:trPr>
          <w:trHeight w:val="196"/>
        </w:trPr>
        <w:tc>
          <w:tcPr>
            <w:tcW w:w="3860" w:type="dxa"/>
            <w:vAlign w:val="bottom"/>
            <w:tcBorders>
              <w:left w:val="single" w:sz="8" w:color="auto"/>
              <w:bottom w:val="single" w:sz="8" w:color="B3B3B3"/>
            </w:tcBorders>
            <w:shd w:val="clear" w:color="auto" w:fill="B3B3B3"/>
          </w:tcPr>
          <w:p>
            <w:pPr>
              <w:ind w:left="360"/>
              <w:spacing w:after="0" w:line="193" w:lineRule="exact"/>
              <w:rPr>
                <w:sz w:val="20"/>
                <w:szCs w:val="20"/>
                <w:color w:val="auto"/>
              </w:rPr>
            </w:pPr>
            <w:r>
              <w:rPr>
                <w:rFonts w:ascii="Calibri" w:cs="Calibri" w:eastAsia="Calibri" w:hAnsi="Calibri"/>
                <w:sz w:val="16"/>
                <w:szCs w:val="16"/>
                <w:color w:val="auto"/>
              </w:rPr>
              <w:t>Richard G. Erstad</w:t>
            </w:r>
          </w:p>
        </w:tc>
        <w:tc>
          <w:tcPr>
            <w:tcW w:w="3200" w:type="dxa"/>
            <w:vAlign w:val="bottom"/>
            <w:tcBorders>
              <w:bottom w:val="single" w:sz="8" w:color="B3B3B3"/>
            </w:tcBorders>
            <w:shd w:val="clear" w:color="auto" w:fill="B3B3B3"/>
          </w:tcPr>
          <w:p>
            <w:pPr>
              <w:jc w:val="right"/>
              <w:ind w:right="78"/>
              <w:spacing w:after="0" w:line="193" w:lineRule="exact"/>
              <w:rPr>
                <w:sz w:val="20"/>
                <w:szCs w:val="20"/>
                <w:color w:val="auto"/>
              </w:rPr>
            </w:pPr>
            <w:r>
              <w:rPr>
                <w:rFonts w:ascii="Calibri" w:cs="Calibri" w:eastAsia="Calibri" w:hAnsi="Calibri"/>
                <w:sz w:val="16"/>
                <w:szCs w:val="16"/>
                <w:color w:val="auto"/>
              </w:rPr>
              <w:t>—</w:t>
            </w:r>
          </w:p>
        </w:tc>
        <w:tc>
          <w:tcPr>
            <w:tcW w:w="1900" w:type="dxa"/>
            <w:vAlign w:val="bottom"/>
            <w:tcBorders>
              <w:bottom w:val="single" w:sz="8" w:color="B3B3B3"/>
            </w:tcBorders>
            <w:shd w:val="clear" w:color="auto" w:fill="B3B3B3"/>
          </w:tcPr>
          <w:p>
            <w:pPr>
              <w:jc w:val="right"/>
              <w:ind w:right="19"/>
              <w:spacing w:after="0" w:line="193" w:lineRule="exact"/>
              <w:rPr>
                <w:sz w:val="20"/>
                <w:szCs w:val="20"/>
                <w:color w:val="auto"/>
              </w:rPr>
            </w:pPr>
            <w:r>
              <w:rPr>
                <w:rFonts w:ascii="Calibri" w:cs="Calibri" w:eastAsia="Calibri" w:hAnsi="Calibri"/>
                <w:sz w:val="16"/>
                <w:szCs w:val="16"/>
                <w:color w:val="auto"/>
              </w:rPr>
              <w:t>1,605,043</w:t>
            </w:r>
          </w:p>
        </w:tc>
        <w:tc>
          <w:tcPr>
            <w:tcW w:w="1940" w:type="dxa"/>
            <w:vAlign w:val="bottom"/>
            <w:tcBorders>
              <w:bottom w:val="single" w:sz="8" w:color="B3B3B3"/>
              <w:right w:val="single" w:sz="8" w:color="auto"/>
            </w:tcBorders>
            <w:shd w:val="clear" w:color="auto" w:fill="B3B3B3"/>
          </w:tcPr>
          <w:p>
            <w:pPr>
              <w:jc w:val="right"/>
              <w:spacing w:after="0" w:line="193" w:lineRule="exact"/>
              <w:rPr>
                <w:sz w:val="20"/>
                <w:szCs w:val="20"/>
                <w:color w:val="auto"/>
              </w:rPr>
            </w:pPr>
            <w:r>
              <w:rPr>
                <w:rFonts w:ascii="Calibri" w:cs="Calibri" w:eastAsia="Calibri" w:hAnsi="Calibri"/>
                <w:sz w:val="16"/>
                <w:szCs w:val="16"/>
                <w:color w:val="auto"/>
              </w:rPr>
              <w:t>1,605,043</w:t>
            </w:r>
          </w:p>
        </w:tc>
      </w:tr>
      <w:tr>
        <w:trPr>
          <w:trHeight w:val="194"/>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Douglas A. Lange</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1,359,360</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1,359,360</w:t>
            </w:r>
          </w:p>
        </w:tc>
      </w:tr>
      <w:tr>
        <w:trPr>
          <w:trHeight w:val="117"/>
        </w:trPr>
        <w:tc>
          <w:tcPr>
            <w:tcW w:w="3860" w:type="dxa"/>
            <w:vAlign w:val="bottom"/>
            <w:tcBorders>
              <w:left w:val="single" w:sz="8" w:color="auto"/>
            </w:tcBorders>
          </w:tcPr>
          <w:p>
            <w:pPr>
              <w:spacing w:after="0"/>
              <w:rPr>
                <w:sz w:val="10"/>
                <w:szCs w:val="10"/>
                <w:color w:val="auto"/>
              </w:rPr>
            </w:pPr>
          </w:p>
        </w:tc>
        <w:tc>
          <w:tcPr>
            <w:tcW w:w="3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r>
      <w:tr>
        <w:trPr>
          <w:trHeight w:val="196"/>
        </w:trPr>
        <w:tc>
          <w:tcPr>
            <w:tcW w:w="3860" w:type="dxa"/>
            <w:vAlign w:val="bottom"/>
            <w:tcBorders>
              <w:left w:val="single" w:sz="8" w:color="auto"/>
              <w:bottom w:val="single" w:sz="8" w:color="B3B3B3"/>
            </w:tcBorders>
            <w:shd w:val="clear" w:color="auto" w:fill="B3B3B3"/>
          </w:tcPr>
          <w:p>
            <w:pPr>
              <w:ind w:left="40"/>
              <w:spacing w:after="0" w:line="193" w:lineRule="exact"/>
              <w:rPr>
                <w:sz w:val="20"/>
                <w:szCs w:val="20"/>
                <w:color w:val="auto"/>
              </w:rPr>
            </w:pPr>
            <w:r>
              <w:rPr>
                <w:rFonts w:ascii="Calibri" w:cs="Calibri" w:eastAsia="Calibri" w:hAnsi="Calibri"/>
                <w:sz w:val="16"/>
                <w:szCs w:val="16"/>
                <w:color w:val="auto"/>
              </w:rPr>
              <w:t>Total</w:t>
            </w:r>
          </w:p>
        </w:tc>
        <w:tc>
          <w:tcPr>
            <w:tcW w:w="3200" w:type="dxa"/>
            <w:vAlign w:val="bottom"/>
            <w:tcBorders>
              <w:bottom w:val="single" w:sz="8" w:color="B3B3B3"/>
            </w:tcBorders>
            <w:shd w:val="clear" w:color="auto" w:fill="B3B3B3"/>
          </w:tcPr>
          <w:p>
            <w:pPr>
              <w:spacing w:after="0"/>
              <w:rPr>
                <w:sz w:val="17"/>
                <w:szCs w:val="17"/>
                <w:color w:val="auto"/>
              </w:rPr>
            </w:pPr>
          </w:p>
        </w:tc>
        <w:tc>
          <w:tcPr>
            <w:tcW w:w="1900" w:type="dxa"/>
            <w:vAlign w:val="bottom"/>
            <w:tcBorders>
              <w:bottom w:val="single" w:sz="8" w:color="B3B3B3"/>
            </w:tcBorders>
            <w:shd w:val="clear" w:color="auto" w:fill="B3B3B3"/>
          </w:tcPr>
          <w:p>
            <w:pPr>
              <w:spacing w:after="0"/>
              <w:rPr>
                <w:sz w:val="17"/>
                <w:szCs w:val="17"/>
                <w:color w:val="auto"/>
              </w:rPr>
            </w:pPr>
          </w:p>
        </w:tc>
        <w:tc>
          <w:tcPr>
            <w:tcW w:w="1940" w:type="dxa"/>
            <w:vAlign w:val="bottom"/>
            <w:tcBorders>
              <w:bottom w:val="single" w:sz="8" w:color="B3B3B3"/>
              <w:right w:val="single" w:sz="8" w:color="auto"/>
            </w:tcBorders>
            <w:shd w:val="clear" w:color="auto" w:fill="B3B3B3"/>
          </w:tcPr>
          <w:p>
            <w:pPr>
              <w:spacing w:after="0"/>
              <w:rPr>
                <w:sz w:val="17"/>
                <w:szCs w:val="17"/>
                <w:color w:val="auto"/>
              </w:rPr>
            </w:pPr>
          </w:p>
        </w:tc>
      </w:tr>
      <w:tr>
        <w:trPr>
          <w:trHeight w:val="194"/>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Patrick H. Hawkins</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995,539</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4,492,262</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7,113,301</w:t>
            </w:r>
          </w:p>
        </w:tc>
      </w:tr>
      <w:tr>
        <w:trPr>
          <w:trHeight w:val="23"/>
        </w:trPr>
        <w:tc>
          <w:tcPr>
            <w:tcW w:w="3860" w:type="dxa"/>
            <w:vAlign w:val="bottom"/>
            <w:tcBorders>
              <w:left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r>
      <w:tr>
        <w:trPr>
          <w:trHeight w:val="196"/>
        </w:trPr>
        <w:tc>
          <w:tcPr>
            <w:tcW w:w="3860" w:type="dxa"/>
            <w:vAlign w:val="bottom"/>
            <w:tcBorders>
              <w:left w:val="single" w:sz="8" w:color="auto"/>
              <w:bottom w:val="single" w:sz="8" w:color="B3B3B3"/>
            </w:tcBorders>
            <w:shd w:val="clear" w:color="auto" w:fill="B3B3B3"/>
          </w:tcPr>
          <w:p>
            <w:pPr>
              <w:ind w:left="360"/>
              <w:spacing w:after="0" w:line="193" w:lineRule="exact"/>
              <w:rPr>
                <w:sz w:val="20"/>
                <w:szCs w:val="20"/>
                <w:color w:val="auto"/>
              </w:rPr>
            </w:pPr>
            <w:r>
              <w:rPr>
                <w:rFonts w:ascii="Calibri" w:cs="Calibri" w:eastAsia="Calibri" w:hAnsi="Calibri"/>
                <w:sz w:val="16"/>
                <w:szCs w:val="16"/>
                <w:color w:val="auto"/>
              </w:rPr>
              <w:t>Jefrey P. Oldenkamp</w:t>
            </w:r>
          </w:p>
        </w:tc>
        <w:tc>
          <w:tcPr>
            <w:tcW w:w="3200" w:type="dxa"/>
            <w:vAlign w:val="bottom"/>
            <w:tcBorders>
              <w:bottom w:val="single" w:sz="8" w:color="B3B3B3"/>
            </w:tcBorders>
            <w:shd w:val="clear" w:color="auto" w:fill="B3B3B3"/>
          </w:tcPr>
          <w:p>
            <w:pPr>
              <w:jc w:val="right"/>
              <w:ind w:right="78"/>
              <w:spacing w:after="0" w:line="193" w:lineRule="exact"/>
              <w:rPr>
                <w:sz w:val="20"/>
                <w:szCs w:val="20"/>
                <w:color w:val="auto"/>
              </w:rPr>
            </w:pPr>
            <w:r>
              <w:rPr>
                <w:rFonts w:ascii="Calibri" w:cs="Calibri" w:eastAsia="Calibri" w:hAnsi="Calibri"/>
                <w:sz w:val="16"/>
                <w:szCs w:val="16"/>
                <w:color w:val="auto"/>
              </w:rPr>
              <w:t>499,361</w:t>
            </w:r>
          </w:p>
        </w:tc>
        <w:tc>
          <w:tcPr>
            <w:tcW w:w="1900" w:type="dxa"/>
            <w:vAlign w:val="bottom"/>
            <w:tcBorders>
              <w:bottom w:val="single" w:sz="8" w:color="B3B3B3"/>
            </w:tcBorders>
            <w:shd w:val="clear" w:color="auto" w:fill="B3B3B3"/>
          </w:tcPr>
          <w:p>
            <w:pPr>
              <w:jc w:val="right"/>
              <w:ind w:right="19"/>
              <w:spacing w:after="0" w:line="193" w:lineRule="exact"/>
              <w:rPr>
                <w:sz w:val="20"/>
                <w:szCs w:val="20"/>
                <w:color w:val="auto"/>
              </w:rPr>
            </w:pPr>
            <w:r>
              <w:rPr>
                <w:rFonts w:ascii="Calibri" w:cs="Calibri" w:eastAsia="Calibri" w:hAnsi="Calibri"/>
                <w:sz w:val="16"/>
                <w:szCs w:val="16"/>
                <w:color w:val="auto"/>
              </w:rPr>
              <w:t>2,567,270</w:t>
            </w:r>
          </w:p>
        </w:tc>
        <w:tc>
          <w:tcPr>
            <w:tcW w:w="1940" w:type="dxa"/>
            <w:vAlign w:val="bottom"/>
            <w:tcBorders>
              <w:bottom w:val="single" w:sz="8" w:color="B3B3B3"/>
              <w:right w:val="single" w:sz="8" w:color="auto"/>
            </w:tcBorders>
            <w:shd w:val="clear" w:color="auto" w:fill="B3B3B3"/>
          </w:tcPr>
          <w:p>
            <w:pPr>
              <w:jc w:val="right"/>
              <w:spacing w:after="0" w:line="193" w:lineRule="exact"/>
              <w:rPr>
                <w:sz w:val="20"/>
                <w:szCs w:val="20"/>
                <w:color w:val="auto"/>
              </w:rPr>
            </w:pPr>
            <w:r>
              <w:rPr>
                <w:rFonts w:ascii="Calibri" w:cs="Calibri" w:eastAsia="Calibri" w:hAnsi="Calibri"/>
                <w:sz w:val="16"/>
                <w:szCs w:val="16"/>
                <w:color w:val="auto"/>
              </w:rPr>
              <w:t>3,882,311</w:t>
            </w:r>
          </w:p>
        </w:tc>
      </w:tr>
      <w:tr>
        <w:trPr>
          <w:trHeight w:val="194"/>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Drew M. Grahek</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401,362</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1,616,256</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2,478,599</w:t>
            </w:r>
          </w:p>
        </w:tc>
      </w:tr>
      <w:tr>
        <w:trPr>
          <w:trHeight w:val="22"/>
        </w:trPr>
        <w:tc>
          <w:tcPr>
            <w:tcW w:w="3860" w:type="dxa"/>
            <w:vAlign w:val="bottom"/>
            <w:tcBorders>
              <w:left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r>
      <w:tr>
        <w:trPr>
          <w:trHeight w:val="196"/>
        </w:trPr>
        <w:tc>
          <w:tcPr>
            <w:tcW w:w="3860" w:type="dxa"/>
            <w:vAlign w:val="bottom"/>
            <w:tcBorders>
              <w:left w:val="single" w:sz="8" w:color="auto"/>
              <w:bottom w:val="single" w:sz="8" w:color="B3B3B3"/>
            </w:tcBorders>
            <w:shd w:val="clear" w:color="auto" w:fill="B3B3B3"/>
          </w:tcPr>
          <w:p>
            <w:pPr>
              <w:ind w:left="360"/>
              <w:spacing w:after="0" w:line="193" w:lineRule="exact"/>
              <w:rPr>
                <w:sz w:val="20"/>
                <w:szCs w:val="20"/>
                <w:color w:val="auto"/>
              </w:rPr>
            </w:pPr>
            <w:r>
              <w:rPr>
                <w:rFonts w:ascii="Calibri" w:cs="Calibri" w:eastAsia="Calibri" w:hAnsi="Calibri"/>
                <w:sz w:val="16"/>
                <w:szCs w:val="16"/>
                <w:color w:val="auto"/>
              </w:rPr>
              <w:t>Richard G. Erstad</w:t>
            </w:r>
          </w:p>
        </w:tc>
        <w:tc>
          <w:tcPr>
            <w:tcW w:w="3200" w:type="dxa"/>
            <w:vAlign w:val="bottom"/>
            <w:tcBorders>
              <w:bottom w:val="single" w:sz="8" w:color="B3B3B3"/>
            </w:tcBorders>
            <w:shd w:val="clear" w:color="auto" w:fill="B3B3B3"/>
          </w:tcPr>
          <w:p>
            <w:pPr>
              <w:jc w:val="right"/>
              <w:ind w:right="78"/>
              <w:spacing w:after="0" w:line="193" w:lineRule="exact"/>
              <w:rPr>
                <w:sz w:val="20"/>
                <w:szCs w:val="20"/>
                <w:color w:val="auto"/>
              </w:rPr>
            </w:pPr>
            <w:r>
              <w:rPr>
                <w:rFonts w:ascii="Calibri" w:cs="Calibri" w:eastAsia="Calibri" w:hAnsi="Calibri"/>
                <w:sz w:val="16"/>
                <w:szCs w:val="16"/>
                <w:color w:val="auto"/>
              </w:rPr>
              <w:t>370,244</w:t>
            </w:r>
          </w:p>
        </w:tc>
        <w:tc>
          <w:tcPr>
            <w:tcW w:w="1900" w:type="dxa"/>
            <w:vAlign w:val="bottom"/>
            <w:tcBorders>
              <w:bottom w:val="single" w:sz="8" w:color="B3B3B3"/>
            </w:tcBorders>
            <w:shd w:val="clear" w:color="auto" w:fill="B3B3B3"/>
          </w:tcPr>
          <w:p>
            <w:pPr>
              <w:jc w:val="right"/>
              <w:ind w:right="19"/>
              <w:spacing w:after="0" w:line="193" w:lineRule="exact"/>
              <w:rPr>
                <w:sz w:val="20"/>
                <w:szCs w:val="20"/>
                <w:color w:val="auto"/>
              </w:rPr>
            </w:pPr>
            <w:r>
              <w:rPr>
                <w:rFonts w:ascii="Calibri" w:cs="Calibri" w:eastAsia="Calibri" w:hAnsi="Calibri"/>
                <w:sz w:val="16"/>
                <w:szCs w:val="16"/>
                <w:color w:val="auto"/>
              </w:rPr>
              <w:t>1,605,043</w:t>
            </w:r>
          </w:p>
        </w:tc>
        <w:tc>
          <w:tcPr>
            <w:tcW w:w="1940" w:type="dxa"/>
            <w:vAlign w:val="bottom"/>
            <w:tcBorders>
              <w:bottom w:val="single" w:sz="8" w:color="B3B3B3"/>
              <w:right w:val="single" w:sz="8" w:color="auto"/>
            </w:tcBorders>
            <w:shd w:val="clear" w:color="auto" w:fill="B3B3B3"/>
          </w:tcPr>
          <w:p>
            <w:pPr>
              <w:jc w:val="right"/>
              <w:spacing w:after="0" w:line="193" w:lineRule="exact"/>
              <w:rPr>
                <w:sz w:val="20"/>
                <w:szCs w:val="20"/>
                <w:color w:val="auto"/>
              </w:rPr>
            </w:pPr>
            <w:r>
              <w:rPr>
                <w:rFonts w:ascii="Calibri" w:cs="Calibri" w:eastAsia="Calibri" w:hAnsi="Calibri"/>
                <w:sz w:val="16"/>
                <w:szCs w:val="16"/>
                <w:color w:val="auto"/>
              </w:rPr>
              <w:t>2,377,358</w:t>
            </w:r>
          </w:p>
        </w:tc>
      </w:tr>
      <w:tr>
        <w:trPr>
          <w:trHeight w:val="194"/>
        </w:trPr>
        <w:tc>
          <w:tcPr>
            <w:tcW w:w="3860" w:type="dxa"/>
            <w:vAlign w:val="bottom"/>
            <w:tcBorders>
              <w:left w:val="single" w:sz="8" w:color="auto"/>
            </w:tcBorders>
          </w:tcPr>
          <w:p>
            <w:pPr>
              <w:ind w:left="360"/>
              <w:spacing w:after="0" w:line="193" w:lineRule="exact"/>
              <w:rPr>
                <w:sz w:val="20"/>
                <w:szCs w:val="20"/>
                <w:color w:val="auto"/>
              </w:rPr>
            </w:pPr>
            <w:r>
              <w:rPr>
                <w:rFonts w:ascii="Calibri" w:cs="Calibri" w:eastAsia="Calibri" w:hAnsi="Calibri"/>
                <w:sz w:val="16"/>
                <w:szCs w:val="16"/>
                <w:color w:val="auto"/>
              </w:rPr>
              <w:t>Douglas A. Lange</w:t>
            </w:r>
          </w:p>
        </w:tc>
        <w:tc>
          <w:tcPr>
            <w:tcW w:w="3200" w:type="dxa"/>
            <w:vAlign w:val="bottom"/>
          </w:tcPr>
          <w:p>
            <w:pPr>
              <w:jc w:val="right"/>
              <w:ind w:right="78"/>
              <w:spacing w:after="0" w:line="193" w:lineRule="exact"/>
              <w:rPr>
                <w:sz w:val="20"/>
                <w:szCs w:val="20"/>
                <w:color w:val="auto"/>
              </w:rPr>
            </w:pPr>
            <w:r>
              <w:rPr>
                <w:rFonts w:ascii="Calibri" w:cs="Calibri" w:eastAsia="Calibri" w:hAnsi="Calibri"/>
                <w:sz w:val="16"/>
                <w:szCs w:val="16"/>
                <w:color w:val="auto"/>
              </w:rPr>
              <w:t>376,505</w:t>
            </w:r>
          </w:p>
        </w:tc>
        <w:tc>
          <w:tcPr>
            <w:tcW w:w="19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1,359,360</w:t>
            </w:r>
          </w:p>
        </w:tc>
        <w:tc>
          <w:tcPr>
            <w:tcW w:w="1940" w:type="dxa"/>
            <w:vAlign w:val="bottom"/>
            <w:tcBorders>
              <w:right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2,165,817</w:t>
            </w:r>
          </w:p>
        </w:tc>
      </w:tr>
      <w:tr>
        <w:trPr>
          <w:trHeight w:val="23"/>
        </w:trPr>
        <w:tc>
          <w:tcPr>
            <w:tcW w:w="3860" w:type="dxa"/>
            <w:vAlign w:val="bottom"/>
            <w:tcBorders>
              <w:left w:val="single" w:sz="8" w:color="auto"/>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0" w:name="page31"/>
    <w:bookmarkEnd w:id="30"/>
    <w:p>
      <w:pPr>
        <w:ind w:left="400" w:hanging="392"/>
        <w:spacing w:after="0"/>
        <w:tabs>
          <w:tab w:leader="none" w:pos="400"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Amounts determined by multplying the named executve ofcer’s base salary tmes the number of months in the applicable salary contnuaton period.</w:t>
      </w:r>
    </w:p>
    <w:p>
      <w:pPr>
        <w:spacing w:after="0" w:line="82" w:lineRule="exact"/>
        <w:rPr>
          <w:rFonts w:ascii="Calibri" w:cs="Calibri" w:eastAsia="Calibri" w:hAnsi="Calibri"/>
          <w:sz w:val="18"/>
          <w:szCs w:val="18"/>
          <w:color w:val="auto"/>
        </w:rPr>
      </w:pPr>
    </w:p>
    <w:p>
      <w:pPr>
        <w:ind w:left="420" w:right="280" w:hanging="412"/>
        <w:spacing w:after="0" w:line="235" w:lineRule="auto"/>
        <w:tabs>
          <w:tab w:leader="none" w:pos="402"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Amounts determined by multplying the diference between the full cost of the insurance to the company and the amounts to be paid by the named executve ofcer tmes the number of months in the applicable salary contnuaton period or 18 months, whichever is less.</w:t>
      </w:r>
    </w:p>
    <w:p>
      <w:pPr>
        <w:spacing w:after="0" w:line="91" w:lineRule="exact"/>
        <w:rPr>
          <w:rFonts w:ascii="Calibri" w:cs="Calibri" w:eastAsia="Calibri" w:hAnsi="Calibri"/>
          <w:sz w:val="18"/>
          <w:szCs w:val="18"/>
          <w:color w:val="auto"/>
        </w:rPr>
      </w:pPr>
    </w:p>
    <w:p>
      <w:pPr>
        <w:ind w:left="400" w:hanging="392"/>
        <w:spacing w:after="0"/>
        <w:tabs>
          <w:tab w:leader="none" w:pos="400"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Consttutes the estmated cost to the company of 12 months of outplacement services.</w:t>
      </w:r>
    </w:p>
    <w:p>
      <w:pPr>
        <w:spacing w:after="0" w:line="95" w:lineRule="exact"/>
        <w:rPr>
          <w:rFonts w:ascii="Calibri" w:cs="Calibri" w:eastAsia="Calibri" w:hAnsi="Calibri"/>
          <w:sz w:val="18"/>
          <w:szCs w:val="18"/>
          <w:color w:val="auto"/>
        </w:rPr>
      </w:pPr>
    </w:p>
    <w:p>
      <w:pPr>
        <w:ind w:left="420" w:right="280" w:hanging="412"/>
        <w:spacing w:after="0" w:line="235" w:lineRule="auto"/>
        <w:tabs>
          <w:tab w:leader="none" w:pos="402"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Amounts determined by multplying one-twelfh of the named executve ofcer’s target annual bonus tmes the number of months in the applicable salary contnuaton period.</w:t>
      </w:r>
    </w:p>
    <w:p>
      <w:pPr>
        <w:spacing w:after="0" w:line="82" w:lineRule="exact"/>
        <w:rPr>
          <w:rFonts w:ascii="Calibri" w:cs="Calibri" w:eastAsia="Calibri" w:hAnsi="Calibri"/>
          <w:sz w:val="18"/>
          <w:szCs w:val="18"/>
          <w:color w:val="auto"/>
        </w:rPr>
      </w:pPr>
    </w:p>
    <w:p>
      <w:pPr>
        <w:ind w:left="420" w:right="160" w:hanging="412"/>
        <w:spacing w:after="0" w:line="251" w:lineRule="auto"/>
        <w:tabs>
          <w:tab w:leader="none" w:pos="411"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Amounts equal the contributons that the eligible named executve ofcer would have received under the Proft Sharing plan or nonqualifed deferred compensaton plan, depending upon partcipant eligibility, if the named executve ofcer had remained employed by the company for the entre applicable salary contnuaton period and had been enttled to employer contributons under the applicable plan for that period, plus the 401(k) employer matching contributons that would have been received for the salary contnuaton period if the executve had made 401(k) contributons at least at the rate that would have enttled the executve to the maximum employer matching contributons permited under the proft sharing plan.</w:t>
      </w:r>
    </w:p>
    <w:p>
      <w:pPr>
        <w:spacing w:after="0" w:line="89" w:lineRule="exact"/>
        <w:rPr>
          <w:rFonts w:ascii="Calibri" w:cs="Calibri" w:eastAsia="Calibri" w:hAnsi="Calibri"/>
          <w:sz w:val="17"/>
          <w:szCs w:val="17"/>
          <w:color w:val="auto"/>
        </w:rPr>
      </w:pPr>
    </w:p>
    <w:p>
      <w:pPr>
        <w:ind w:left="420" w:right="480" w:hanging="412"/>
        <w:spacing w:after="0" w:line="235" w:lineRule="auto"/>
        <w:tabs>
          <w:tab w:leader="none" w:pos="407"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Represents the value of accelerated vestng of all outstanding performance-based restricted stock units and shares of restricted stock. Amounts determined by multplying the number of shares for which vestng is accelerated by the closing price of our common stock of $76.80 per share as reported by Nasdaq on March 28, 2024, the last business day of fscal 2024.</w:t>
      </w:r>
    </w:p>
    <w:p>
      <w:pPr>
        <w:spacing w:after="0" w:line="32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CEO Pay Rato</w:t>
      </w:r>
    </w:p>
    <w:p>
      <w:pPr>
        <w:spacing w:after="0" w:line="113"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We are providing the following informaton about the relatonship of the annual total compensaton of our employees and the annual total compensaton of Patrick H. Hawkins, our Chief Executve Ofcer (our “CEO”). For fscal 2024, our last completed fscal year, the annual total compensaton of our CEO was $2,616,013 as reported in the Summary Compensaton Table above, and the annual total compensaton of our median employee was $87,025. This comparison results in a CEO pay rato of 30 to 1. This pay rato estmate has been calculated in a manner consistent with Item 402(u) of Regulaton S-K.</w:t>
      </w:r>
    </w:p>
    <w:p>
      <w:pPr>
        <w:spacing w:after="0" w:line="246"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To identfy the median employee and determine the annual total compensaton of our median employee, the methodology and the material assumptons, adjustments, and estmates that we used are described below.</w:t>
      </w:r>
    </w:p>
    <w:p>
      <w:pPr>
        <w:spacing w:after="0" w:line="2" w:lineRule="exact"/>
        <w:rPr>
          <w:sz w:val="20"/>
          <w:szCs w:val="20"/>
          <w:color w:val="auto"/>
        </w:rPr>
      </w:pPr>
    </w:p>
    <w:p>
      <w:pPr>
        <w:ind w:left="580" w:right="380" w:hanging="248"/>
        <w:spacing w:after="0" w:line="235" w:lineRule="auto"/>
        <w:tabs>
          <w:tab w:leader="none" w:pos="573"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We determined that, as of January 15, 2024, our employee populaton consisted of 918 individuals (including full-tme and part-tme employees, other than the CEO) working at Hawkins together with our consolidated subsidiaries.</w:t>
      </w:r>
    </w:p>
    <w:p>
      <w:pPr>
        <w:spacing w:after="0" w:line="1" w:lineRule="exact"/>
        <w:rPr>
          <w:rFonts w:ascii="Calibri" w:cs="Calibri" w:eastAsia="Calibri" w:hAnsi="Calibri"/>
          <w:sz w:val="18"/>
          <w:szCs w:val="18"/>
          <w:color w:val="auto"/>
        </w:rPr>
      </w:pPr>
    </w:p>
    <w:p>
      <w:pPr>
        <w:ind w:left="580" w:right="580" w:hanging="248"/>
        <w:spacing w:after="0" w:line="235" w:lineRule="auto"/>
        <w:tabs>
          <w:tab w:leader="none" w:pos="573"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We annualized the compensaton of all employees included in the sample who were hired in 2023 but did not work for us or our consolidated subsidiaries for the entre twelve-month period described below.</w:t>
      </w:r>
    </w:p>
    <w:p>
      <w:pPr>
        <w:spacing w:after="0" w:line="1" w:lineRule="exact"/>
        <w:rPr>
          <w:rFonts w:ascii="Calibri" w:cs="Calibri" w:eastAsia="Calibri" w:hAnsi="Calibri"/>
          <w:sz w:val="18"/>
          <w:szCs w:val="18"/>
          <w:color w:val="auto"/>
        </w:rPr>
      </w:pPr>
    </w:p>
    <w:p>
      <w:pPr>
        <w:jc w:val="both"/>
        <w:ind w:left="580" w:right="20" w:hanging="248"/>
        <w:spacing w:after="0" w:line="235" w:lineRule="auto"/>
        <w:tabs>
          <w:tab w:leader="none" w:pos="573"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We identfed our median employee as of December 31, 2023 based on the total compensaton for fscal 2024, including any cash paid as refected in our payroll records and other benefts, and all other benefts, in the same manner that we determine the total compensaton of our named executve ofcers for purposes of the Summary Compensaton Table disclosed above.</w:t>
      </w:r>
    </w:p>
    <w:p>
      <w:pPr>
        <w:spacing w:after="0" w:line="22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Director Compensaton for Fiscal 2024</w:t>
      </w:r>
    </w:p>
    <w:p>
      <w:pPr>
        <w:spacing w:after="0" w:line="115"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During fscal 2024, each non-employee director earned an annual cash retainer of $50,000 and an additonal cash annual retainer of $8,000 for each commitee on which they serve. Supplemental annual cash retainers were earned by our Chair of the Board ($70,000) and the chairs of our Audit Commitee ($15,000), Compensaton Commitee ($10,000) and Governance and Nominatng Commitee ($7,000).</w:t>
      </w:r>
    </w:p>
    <w:p>
      <w:pPr>
        <w:spacing w:after="0" w:line="24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Compensaton Commitee oversees our director compensaton grants, under which each director, other than the Chief Executve Ofcer, receives a grant of restricted stock with a value of $70,000 on the date of our annual meetng of shareholders at which the director is elected or reelected to the Board by our shareholders. The restricted stock vests one year from the date of issuance, subject to acceleraton in the event of the director’s death or disability. For service during fscal 2024, each applicable director was granted 1,521 shares of restricted stock on August 2, 2023, and these shares are scheduled to vest in their entrety on August 2, 2024, one year from their date of issuance.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6" w:right="37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color w:val="auto"/>
        </w:rPr>
        <w:t>The following table shows, for each applicable director, informaton concerning annual compensaton earned for services in all capacites during fscal 2024:</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4180" w:type="dxa"/>
            <w:vAlign w:val="bottom"/>
            <w:tcBorders>
              <w:top w:val="single" w:sz="8" w:color="auto"/>
              <w:lef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center"/>
              <w:ind w:right="100"/>
              <w:spacing w:after="0" w:line="148" w:lineRule="exact"/>
              <w:rPr>
                <w:sz w:val="20"/>
                <w:szCs w:val="20"/>
                <w:color w:val="auto"/>
              </w:rPr>
            </w:pPr>
            <w:r>
              <w:rPr>
                <w:rFonts w:ascii="Calibri" w:cs="Calibri" w:eastAsia="Calibri" w:hAnsi="Calibri"/>
                <w:sz w:val="14"/>
                <w:szCs w:val="14"/>
                <w:b w:val="1"/>
                <w:bCs w:val="1"/>
                <w:color w:val="auto"/>
                <w:w w:val="99"/>
              </w:rPr>
              <w:t>Fees Earned</w:t>
            </w:r>
          </w:p>
        </w:tc>
        <w:tc>
          <w:tcPr>
            <w:tcW w:w="1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spacing w:after="0"/>
              <w:rPr>
                <w:sz w:val="12"/>
                <w:szCs w:val="12"/>
                <w:color w:val="auto"/>
              </w:rPr>
            </w:pPr>
          </w:p>
        </w:tc>
      </w:tr>
      <w:tr>
        <w:trPr>
          <w:trHeight w:val="136"/>
        </w:trPr>
        <w:tc>
          <w:tcPr>
            <w:tcW w:w="418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jc w:val="center"/>
              <w:ind w:right="100"/>
              <w:spacing w:after="0" w:line="136" w:lineRule="exact"/>
              <w:rPr>
                <w:sz w:val="20"/>
                <w:szCs w:val="20"/>
                <w:color w:val="auto"/>
              </w:rPr>
            </w:pPr>
            <w:r>
              <w:rPr>
                <w:rFonts w:ascii="Calibri" w:cs="Calibri" w:eastAsia="Calibri" w:hAnsi="Calibri"/>
                <w:sz w:val="14"/>
                <w:szCs w:val="14"/>
                <w:b w:val="1"/>
                <w:bCs w:val="1"/>
                <w:color w:val="auto"/>
              </w:rPr>
              <w:t>or Paid</w:t>
            </w:r>
          </w:p>
        </w:tc>
        <w:tc>
          <w:tcPr>
            <w:tcW w:w="1560" w:type="dxa"/>
            <w:vAlign w:val="bottom"/>
            <w:gridSpan w:val="2"/>
          </w:tcPr>
          <w:p>
            <w:pPr>
              <w:jc w:val="center"/>
              <w:ind w:right="100"/>
              <w:spacing w:after="0" w:line="136" w:lineRule="exact"/>
              <w:rPr>
                <w:sz w:val="20"/>
                <w:szCs w:val="20"/>
                <w:color w:val="auto"/>
              </w:rPr>
            </w:pPr>
            <w:r>
              <w:rPr>
                <w:rFonts w:ascii="Calibri" w:cs="Calibri" w:eastAsia="Calibri" w:hAnsi="Calibri"/>
                <w:sz w:val="14"/>
                <w:szCs w:val="14"/>
                <w:b w:val="1"/>
                <w:bCs w:val="1"/>
                <w:color w:val="auto"/>
              </w:rPr>
              <w:t>Stock</w:t>
            </w:r>
          </w:p>
        </w:tc>
        <w:tc>
          <w:tcPr>
            <w:tcW w:w="1360" w:type="dxa"/>
            <w:vAlign w:val="bottom"/>
            <w:tcBorders>
              <w:right w:val="single" w:sz="8" w:color="auto"/>
            </w:tcBorders>
          </w:tcPr>
          <w:p>
            <w:pPr>
              <w:spacing w:after="0"/>
              <w:rPr>
                <w:sz w:val="11"/>
                <w:szCs w:val="11"/>
                <w:color w:val="auto"/>
              </w:rPr>
            </w:pPr>
          </w:p>
        </w:tc>
      </w:tr>
      <w:tr>
        <w:trPr>
          <w:trHeight w:val="183"/>
        </w:trPr>
        <w:tc>
          <w:tcPr>
            <w:tcW w:w="4280" w:type="dxa"/>
            <w:vAlign w:val="bottom"/>
            <w:tcBorders>
              <w:left w:val="single" w:sz="8" w:color="auto"/>
            </w:tcBorders>
            <w:gridSpan w:val="2"/>
          </w:tcPr>
          <w:p>
            <w:pPr>
              <w:ind w:left="40"/>
              <w:spacing w:after="0"/>
              <w:rPr>
                <w:sz w:val="20"/>
                <w:szCs w:val="20"/>
                <w:color w:val="auto"/>
              </w:rPr>
            </w:pPr>
            <w:r>
              <w:rPr>
                <w:rFonts w:ascii="Calibri" w:cs="Calibri" w:eastAsia="Calibri" w:hAnsi="Calibri"/>
                <w:sz w:val="14"/>
                <w:szCs w:val="14"/>
                <w:b w:val="1"/>
                <w:bCs w:val="1"/>
                <w:color w:val="auto"/>
              </w:rPr>
              <w:t>Name</w:t>
            </w:r>
          </w:p>
        </w:tc>
        <w:tc>
          <w:tcPr>
            <w:tcW w:w="156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in Cash ($)</w:t>
            </w:r>
          </w:p>
        </w:tc>
        <w:tc>
          <w:tcPr>
            <w:tcW w:w="156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Awards ($)(a)</w:t>
            </w:r>
          </w:p>
        </w:tc>
        <w:tc>
          <w:tcPr>
            <w:tcW w:w="1360" w:type="dxa"/>
            <w:vAlign w:val="bottom"/>
            <w:tcBorders>
              <w:right w:val="single" w:sz="8" w:color="auto"/>
            </w:tcBorders>
          </w:tcPr>
          <w:p>
            <w:pPr>
              <w:jc w:val="right"/>
              <w:ind w:right="352"/>
              <w:spacing w:after="0"/>
              <w:rPr>
                <w:sz w:val="20"/>
                <w:szCs w:val="20"/>
                <w:color w:val="auto"/>
              </w:rPr>
            </w:pPr>
            <w:r>
              <w:rPr>
                <w:rFonts w:ascii="Calibri" w:cs="Calibri" w:eastAsia="Calibri" w:hAnsi="Calibri"/>
                <w:sz w:val="14"/>
                <w:szCs w:val="14"/>
                <w:b w:val="1"/>
                <w:bCs w:val="1"/>
                <w:color w:val="auto"/>
              </w:rPr>
              <w:t>Total ($)</w:t>
            </w:r>
          </w:p>
        </w:tc>
      </w:tr>
      <w:tr>
        <w:trPr>
          <w:trHeight w:val="33"/>
        </w:trPr>
        <w:tc>
          <w:tcPr>
            <w:tcW w:w="41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B3B3B3"/>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23"/>
        </w:trPr>
        <w:tc>
          <w:tcPr>
            <w:tcW w:w="4180" w:type="dxa"/>
            <w:vAlign w:val="bottom"/>
            <w:tcBorders>
              <w:left w:val="single" w:sz="8" w:color="auto"/>
            </w:tcBorders>
            <w:shd w:val="clear" w:color="auto" w:fill="B3B3B3"/>
          </w:tcPr>
          <w:p>
            <w:pPr>
              <w:ind w:left="40"/>
              <w:spacing w:after="0" w:line="215" w:lineRule="exact"/>
              <w:rPr>
                <w:sz w:val="20"/>
                <w:szCs w:val="20"/>
                <w:color w:val="auto"/>
              </w:rPr>
            </w:pPr>
            <w:r>
              <w:rPr>
                <w:rFonts w:ascii="Calibri" w:cs="Calibri" w:eastAsia="Calibri" w:hAnsi="Calibri"/>
                <w:sz w:val="18"/>
                <w:szCs w:val="18"/>
                <w:color w:val="auto"/>
              </w:rPr>
              <w:t>James A. Faulconbridge</w:t>
            </w:r>
          </w:p>
        </w:tc>
        <w:tc>
          <w:tcPr>
            <w:tcW w:w="100" w:type="dxa"/>
            <w:vAlign w:val="bottom"/>
            <w:shd w:val="clear" w:color="auto" w:fill="B3B3B3"/>
          </w:tcPr>
          <w:p>
            <w:pPr>
              <w:spacing w:after="0"/>
              <w:rPr>
                <w:sz w:val="19"/>
                <w:szCs w:val="19"/>
                <w:color w:val="auto"/>
              </w:rPr>
            </w:pPr>
          </w:p>
        </w:tc>
        <w:tc>
          <w:tcPr>
            <w:tcW w:w="146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73,000</w:t>
            </w:r>
          </w:p>
        </w:tc>
        <w:tc>
          <w:tcPr>
            <w:tcW w:w="100" w:type="dxa"/>
            <w:vAlign w:val="bottom"/>
            <w:shd w:val="clear" w:color="auto" w:fill="B3B3B3"/>
          </w:tcPr>
          <w:p>
            <w:pPr>
              <w:spacing w:after="0"/>
              <w:rPr>
                <w:sz w:val="19"/>
                <w:szCs w:val="19"/>
                <w:color w:val="auto"/>
              </w:rPr>
            </w:pPr>
          </w:p>
        </w:tc>
        <w:tc>
          <w:tcPr>
            <w:tcW w:w="1460" w:type="dxa"/>
            <w:vAlign w:val="bottom"/>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69,966</w:t>
            </w:r>
          </w:p>
        </w:tc>
        <w:tc>
          <w:tcPr>
            <w:tcW w:w="100" w:type="dxa"/>
            <w:vAlign w:val="bottom"/>
            <w:shd w:val="clear" w:color="auto" w:fill="B3B3B3"/>
          </w:tcPr>
          <w:p>
            <w:pPr>
              <w:spacing w:after="0"/>
              <w:rPr>
                <w:sz w:val="19"/>
                <w:szCs w:val="19"/>
                <w:color w:val="auto"/>
              </w:rPr>
            </w:pPr>
          </w:p>
        </w:tc>
        <w:tc>
          <w:tcPr>
            <w:tcW w:w="1360" w:type="dxa"/>
            <w:vAlign w:val="bottom"/>
            <w:tcBorders>
              <w:right w:val="single" w:sz="8" w:color="auto"/>
            </w:tcBorders>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142,966</w:t>
            </w:r>
          </w:p>
        </w:tc>
      </w:tr>
      <w:tr>
        <w:trPr>
          <w:trHeight w:val="222"/>
        </w:trPr>
        <w:tc>
          <w:tcPr>
            <w:tcW w:w="4280" w:type="dxa"/>
            <w:vAlign w:val="bottom"/>
            <w:tcBorders>
              <w:left w:val="single" w:sz="8" w:color="auto"/>
            </w:tcBorders>
            <w:gridSpan w:val="2"/>
          </w:tcPr>
          <w:p>
            <w:pPr>
              <w:ind w:left="40"/>
              <w:spacing w:after="0" w:line="215" w:lineRule="exact"/>
              <w:rPr>
                <w:sz w:val="20"/>
                <w:szCs w:val="20"/>
                <w:color w:val="auto"/>
              </w:rPr>
            </w:pPr>
            <w:r>
              <w:rPr>
                <w:rFonts w:ascii="Calibri" w:cs="Calibri" w:eastAsia="Calibri" w:hAnsi="Calibri"/>
                <w:sz w:val="18"/>
                <w:szCs w:val="18"/>
                <w:color w:val="auto"/>
              </w:rPr>
              <w:t>Mary J. Schumacher</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84,000</w:t>
            </w:r>
          </w:p>
        </w:tc>
        <w:tc>
          <w:tcPr>
            <w:tcW w:w="10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69,966</w:t>
            </w:r>
          </w:p>
        </w:tc>
        <w:tc>
          <w:tcPr>
            <w:tcW w:w="100" w:type="dxa"/>
            <w:vAlign w:val="bottom"/>
          </w:tcPr>
          <w:p>
            <w:pPr>
              <w:spacing w:after="0"/>
              <w:rPr>
                <w:sz w:val="19"/>
                <w:szCs w:val="19"/>
                <w:color w:val="auto"/>
              </w:rPr>
            </w:pPr>
          </w:p>
        </w:tc>
        <w:tc>
          <w:tcPr>
            <w:tcW w:w="136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153,966</w:t>
            </w:r>
          </w:p>
        </w:tc>
      </w:tr>
      <w:tr>
        <w:trPr>
          <w:trHeight w:val="237"/>
        </w:trPr>
        <w:tc>
          <w:tcPr>
            <w:tcW w:w="4280" w:type="dxa"/>
            <w:vAlign w:val="bottom"/>
            <w:tcBorders>
              <w:left w:val="single" w:sz="8" w:color="auto"/>
            </w:tcBorders>
            <w:gridSpan w:val="2"/>
            <w:shd w:val="clear" w:color="auto" w:fill="B3B3B3"/>
          </w:tcPr>
          <w:p>
            <w:pPr>
              <w:ind w:left="40"/>
              <w:spacing w:after="0"/>
              <w:rPr>
                <w:sz w:val="20"/>
                <w:szCs w:val="20"/>
                <w:color w:val="auto"/>
              </w:rPr>
            </w:pPr>
            <w:r>
              <w:rPr>
                <w:rFonts w:ascii="Calibri" w:cs="Calibri" w:eastAsia="Calibri" w:hAnsi="Calibri"/>
                <w:sz w:val="18"/>
                <w:szCs w:val="18"/>
                <w:color w:val="auto"/>
              </w:rPr>
              <w:t>Jefrey E. Spethmann</w:t>
            </w:r>
          </w:p>
        </w:tc>
        <w:tc>
          <w:tcPr>
            <w:tcW w:w="146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58,000</w:t>
            </w:r>
          </w:p>
        </w:tc>
        <w:tc>
          <w:tcPr>
            <w:tcW w:w="100" w:type="dxa"/>
            <w:vAlign w:val="bottom"/>
            <w:shd w:val="clear" w:color="auto" w:fill="B3B3B3"/>
          </w:tcPr>
          <w:p>
            <w:pPr>
              <w:spacing w:after="0"/>
              <w:rPr>
                <w:sz w:val="20"/>
                <w:szCs w:val="20"/>
                <w:color w:val="auto"/>
              </w:rPr>
            </w:pPr>
          </w:p>
        </w:tc>
        <w:tc>
          <w:tcPr>
            <w:tcW w:w="146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69,966</w:t>
            </w:r>
          </w:p>
        </w:tc>
        <w:tc>
          <w:tcPr>
            <w:tcW w:w="100" w:type="dxa"/>
            <w:vAlign w:val="bottom"/>
            <w:shd w:val="clear" w:color="auto" w:fill="B3B3B3"/>
          </w:tcPr>
          <w:p>
            <w:pPr>
              <w:spacing w:after="0"/>
              <w:rPr>
                <w:sz w:val="20"/>
                <w:szCs w:val="20"/>
                <w:color w:val="auto"/>
              </w:rPr>
            </w:pPr>
          </w:p>
        </w:tc>
        <w:tc>
          <w:tcPr>
            <w:tcW w:w="1360" w:type="dxa"/>
            <w:vAlign w:val="bottom"/>
            <w:tcBorders>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127,966</w:t>
            </w:r>
          </w:p>
        </w:tc>
      </w:tr>
      <w:tr>
        <w:trPr>
          <w:trHeight w:val="222"/>
        </w:trPr>
        <w:tc>
          <w:tcPr>
            <w:tcW w:w="4280" w:type="dxa"/>
            <w:vAlign w:val="bottom"/>
            <w:tcBorders>
              <w:left w:val="single" w:sz="8" w:color="auto"/>
            </w:tcBorders>
            <w:gridSpan w:val="2"/>
          </w:tcPr>
          <w:p>
            <w:pPr>
              <w:ind w:left="40"/>
              <w:spacing w:after="0" w:line="215" w:lineRule="exact"/>
              <w:rPr>
                <w:sz w:val="20"/>
                <w:szCs w:val="20"/>
                <w:color w:val="auto"/>
              </w:rPr>
            </w:pPr>
            <w:r>
              <w:rPr>
                <w:rFonts w:ascii="Calibri" w:cs="Calibri" w:eastAsia="Calibri" w:hAnsi="Calibri"/>
                <w:sz w:val="18"/>
                <w:szCs w:val="18"/>
                <w:color w:val="auto"/>
              </w:rPr>
              <w:t>Daniel J. Stauber</w:t>
            </w:r>
          </w:p>
        </w:tc>
        <w:tc>
          <w:tcPr>
            <w:tcW w:w="15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69,966</w:t>
            </w:r>
          </w:p>
        </w:tc>
        <w:tc>
          <w:tcPr>
            <w:tcW w:w="100" w:type="dxa"/>
            <w:vAlign w:val="bottom"/>
          </w:tcPr>
          <w:p>
            <w:pPr>
              <w:spacing w:after="0"/>
              <w:rPr>
                <w:sz w:val="19"/>
                <w:szCs w:val="19"/>
                <w:color w:val="auto"/>
              </w:rPr>
            </w:pPr>
          </w:p>
        </w:tc>
        <w:tc>
          <w:tcPr>
            <w:tcW w:w="136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69,966</w:t>
            </w:r>
          </w:p>
        </w:tc>
      </w:tr>
      <w:tr>
        <w:trPr>
          <w:trHeight w:val="237"/>
        </w:trPr>
        <w:tc>
          <w:tcPr>
            <w:tcW w:w="4280" w:type="dxa"/>
            <w:vAlign w:val="bottom"/>
            <w:tcBorders>
              <w:left w:val="single" w:sz="8" w:color="auto"/>
            </w:tcBorders>
            <w:gridSpan w:val="2"/>
            <w:shd w:val="clear" w:color="auto" w:fill="B3B3B3"/>
          </w:tcPr>
          <w:p>
            <w:pPr>
              <w:ind w:left="40"/>
              <w:spacing w:after="0"/>
              <w:rPr>
                <w:sz w:val="20"/>
                <w:szCs w:val="20"/>
                <w:color w:val="auto"/>
              </w:rPr>
            </w:pPr>
            <w:r>
              <w:rPr>
                <w:rFonts w:ascii="Calibri" w:cs="Calibri" w:eastAsia="Calibri" w:hAnsi="Calibri"/>
                <w:sz w:val="18"/>
                <w:szCs w:val="18"/>
                <w:color w:val="auto"/>
              </w:rPr>
              <w:t>Yi "Faith" Tang</w:t>
            </w:r>
          </w:p>
        </w:tc>
        <w:tc>
          <w:tcPr>
            <w:tcW w:w="146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58,000</w:t>
            </w:r>
          </w:p>
        </w:tc>
        <w:tc>
          <w:tcPr>
            <w:tcW w:w="100" w:type="dxa"/>
            <w:vAlign w:val="bottom"/>
            <w:shd w:val="clear" w:color="auto" w:fill="B3B3B3"/>
          </w:tcPr>
          <w:p>
            <w:pPr>
              <w:spacing w:after="0"/>
              <w:rPr>
                <w:sz w:val="20"/>
                <w:szCs w:val="20"/>
                <w:color w:val="auto"/>
              </w:rPr>
            </w:pPr>
          </w:p>
        </w:tc>
        <w:tc>
          <w:tcPr>
            <w:tcW w:w="1460" w:type="dxa"/>
            <w:vAlign w:val="bottom"/>
            <w:shd w:val="clear" w:color="auto" w:fill="B3B3B3"/>
          </w:tcPr>
          <w:p>
            <w:pPr>
              <w:jc w:val="right"/>
              <w:spacing w:after="0"/>
              <w:rPr>
                <w:sz w:val="20"/>
                <w:szCs w:val="20"/>
                <w:color w:val="auto"/>
              </w:rPr>
            </w:pPr>
            <w:r>
              <w:rPr>
                <w:rFonts w:ascii="Calibri" w:cs="Calibri" w:eastAsia="Calibri" w:hAnsi="Calibri"/>
                <w:sz w:val="18"/>
                <w:szCs w:val="18"/>
                <w:color w:val="auto"/>
              </w:rPr>
              <w:t>69,966</w:t>
            </w:r>
          </w:p>
        </w:tc>
        <w:tc>
          <w:tcPr>
            <w:tcW w:w="100" w:type="dxa"/>
            <w:vAlign w:val="bottom"/>
            <w:shd w:val="clear" w:color="auto" w:fill="B3B3B3"/>
          </w:tcPr>
          <w:p>
            <w:pPr>
              <w:spacing w:after="0"/>
              <w:rPr>
                <w:sz w:val="20"/>
                <w:szCs w:val="20"/>
                <w:color w:val="auto"/>
              </w:rPr>
            </w:pPr>
          </w:p>
        </w:tc>
        <w:tc>
          <w:tcPr>
            <w:tcW w:w="1360" w:type="dxa"/>
            <w:vAlign w:val="bottom"/>
            <w:tcBorders>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127,966</w:t>
            </w:r>
          </w:p>
        </w:tc>
      </w:tr>
      <w:tr>
        <w:trPr>
          <w:trHeight w:val="222"/>
        </w:trPr>
        <w:tc>
          <w:tcPr>
            <w:tcW w:w="4280" w:type="dxa"/>
            <w:vAlign w:val="bottom"/>
            <w:tcBorders>
              <w:left w:val="single" w:sz="8" w:color="auto"/>
            </w:tcBorders>
            <w:gridSpan w:val="2"/>
          </w:tcPr>
          <w:p>
            <w:pPr>
              <w:ind w:left="40"/>
              <w:spacing w:after="0" w:line="215" w:lineRule="exact"/>
              <w:rPr>
                <w:sz w:val="20"/>
                <w:szCs w:val="20"/>
                <w:color w:val="auto"/>
              </w:rPr>
            </w:pPr>
            <w:r>
              <w:rPr>
                <w:rFonts w:ascii="Calibri" w:cs="Calibri" w:eastAsia="Calibri" w:hAnsi="Calibri"/>
                <w:sz w:val="18"/>
                <w:szCs w:val="18"/>
                <w:color w:val="auto"/>
              </w:rPr>
              <w:t>James T. Thompson</w:t>
            </w: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136,000</w:t>
            </w:r>
          </w:p>
        </w:tc>
        <w:tc>
          <w:tcPr>
            <w:tcW w:w="100" w:type="dxa"/>
            <w:vAlign w:val="bottom"/>
          </w:tcPr>
          <w:p>
            <w:pPr>
              <w:spacing w:after="0"/>
              <w:rPr>
                <w:sz w:val="19"/>
                <w:szCs w:val="19"/>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69,966</w:t>
            </w:r>
          </w:p>
        </w:tc>
        <w:tc>
          <w:tcPr>
            <w:tcW w:w="100" w:type="dxa"/>
            <w:vAlign w:val="bottom"/>
          </w:tcPr>
          <w:p>
            <w:pPr>
              <w:spacing w:after="0"/>
              <w:rPr>
                <w:sz w:val="19"/>
                <w:szCs w:val="19"/>
                <w:color w:val="auto"/>
              </w:rPr>
            </w:pPr>
          </w:p>
        </w:tc>
        <w:tc>
          <w:tcPr>
            <w:tcW w:w="136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205,966</w:t>
            </w:r>
          </w:p>
        </w:tc>
      </w:tr>
      <w:tr>
        <w:trPr>
          <w:trHeight w:val="230"/>
        </w:trPr>
        <w:tc>
          <w:tcPr>
            <w:tcW w:w="428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Calibri" w:cs="Calibri" w:eastAsia="Calibri" w:hAnsi="Calibri"/>
                <w:sz w:val="18"/>
                <w:szCs w:val="18"/>
                <w:color w:val="auto"/>
              </w:rPr>
              <w:t>Jefrey L. Wright</w:t>
            </w:r>
          </w:p>
        </w:tc>
        <w:tc>
          <w:tcPr>
            <w:tcW w:w="1460" w:type="dxa"/>
            <w:vAlign w:val="bottom"/>
            <w:tcBorders>
              <w:bottom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89,000</w:t>
            </w:r>
          </w:p>
        </w:tc>
        <w:tc>
          <w:tcPr>
            <w:tcW w:w="100" w:type="dxa"/>
            <w:vAlign w:val="bottom"/>
            <w:tcBorders>
              <w:bottom w:val="single" w:sz="8" w:color="auto"/>
            </w:tcBorders>
            <w:shd w:val="clear" w:color="auto" w:fill="B3B3B3"/>
          </w:tcPr>
          <w:p>
            <w:pPr>
              <w:spacing w:after="0"/>
              <w:rPr>
                <w:sz w:val="20"/>
                <w:szCs w:val="20"/>
                <w:color w:val="auto"/>
              </w:rPr>
            </w:pPr>
          </w:p>
        </w:tc>
        <w:tc>
          <w:tcPr>
            <w:tcW w:w="1460" w:type="dxa"/>
            <w:vAlign w:val="bottom"/>
            <w:tcBorders>
              <w:bottom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69,966</w:t>
            </w:r>
          </w:p>
        </w:tc>
        <w:tc>
          <w:tcPr>
            <w:tcW w:w="100" w:type="dxa"/>
            <w:vAlign w:val="bottom"/>
            <w:tcBorders>
              <w:bottom w:val="single" w:sz="8" w:color="auto"/>
            </w:tcBorders>
            <w:shd w:val="clear" w:color="auto" w:fill="B3B3B3"/>
          </w:tcPr>
          <w:p>
            <w:pPr>
              <w:spacing w:after="0"/>
              <w:rPr>
                <w:sz w:val="20"/>
                <w:szCs w:val="20"/>
                <w:color w:val="auto"/>
              </w:rPr>
            </w:pPr>
          </w:p>
        </w:tc>
        <w:tc>
          <w:tcPr>
            <w:tcW w:w="136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158,966</w:t>
            </w:r>
          </w:p>
        </w:tc>
      </w:tr>
    </w:tbl>
    <w:p>
      <w:pPr>
        <w:spacing w:after="0" w:line="248" w:lineRule="exact"/>
        <w:rPr>
          <w:sz w:val="20"/>
          <w:szCs w:val="20"/>
          <w:color w:val="auto"/>
        </w:rPr>
      </w:pPr>
    </w:p>
    <w:p>
      <w:pPr>
        <w:ind w:left="420" w:right="40" w:hanging="412"/>
        <w:spacing w:after="0" w:line="231" w:lineRule="auto"/>
        <w:tabs>
          <w:tab w:leader="none" w:pos="417" w:val="left"/>
        </w:tabs>
        <w:numPr>
          <w:ilvl w:val="0"/>
          <w:numId w:val="32"/>
        </w:numPr>
        <w:rPr>
          <w:rFonts w:ascii="Calibri" w:cs="Calibri" w:eastAsia="Calibri" w:hAnsi="Calibri"/>
          <w:sz w:val="20"/>
          <w:szCs w:val="20"/>
          <w:i w:val="1"/>
          <w:iCs w:val="1"/>
          <w:color w:val="auto"/>
        </w:rPr>
      </w:pPr>
      <w:r>
        <w:rPr>
          <w:rFonts w:ascii="Calibri" w:cs="Calibri" w:eastAsia="Calibri" w:hAnsi="Calibri"/>
          <w:sz w:val="18"/>
          <w:szCs w:val="18"/>
          <w:color w:val="auto"/>
        </w:rPr>
        <w:t xml:space="preserve">On August 2, 2023, each applicable Board member received 1,521 shares of restricted stock as part of his or her retainer pursuant to the 2019 Plan. The amounts shown in this column represent the grant-date fair value of each of the awards computed in accordance with FASB ASC Topic 718. See Note 9, </w:t>
      </w:r>
      <w:r>
        <w:rPr>
          <w:rFonts w:ascii="Calibri" w:cs="Calibri" w:eastAsia="Calibri" w:hAnsi="Calibri"/>
          <w:sz w:val="18"/>
          <w:szCs w:val="18"/>
          <w:i w:val="1"/>
          <w:iCs w:val="1"/>
          <w:color w:val="auto"/>
        </w:rPr>
        <w:t>Share-Based Compensaton</w:t>
      </w:r>
      <w:r>
        <w:rPr>
          <w:rFonts w:ascii="Calibri" w:cs="Calibri" w:eastAsia="Calibri" w:hAnsi="Calibri"/>
          <w:sz w:val="18"/>
          <w:szCs w:val="18"/>
          <w:color w:val="auto"/>
        </w:rPr>
        <w:t>, to our audited fnancial statements included in our Annual Report on Form 10-K for fscal 2024 for a descripton of our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accountng for these awards and the assumptons used in valuing the awards. All of these shares are scheduled to vest in full on August 2, 2024, are eligible to receive dividends paid on our common stock and were the only shares of restricted stock held by each director at the end of our most recently completed fscal year.</w:t>
      </w:r>
    </w:p>
    <w:p>
      <w:pPr>
        <w:spacing w:after="0" w:line="22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Compensaton Commitee Interlocks and Insider Partcipaton</w:t>
      </w:r>
    </w:p>
    <w:p>
      <w:pPr>
        <w:spacing w:after="0" w:line="11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All decisions regarding compensaton of our executve ofcers during fscal 2024 were made by the Compensaton Commitee of our Board. During fscal 2024, the following directors served on the Compensaton Commitee: Mary J. Schumacher, Yi "Faith" Tang, James T. Thompson and Jefrey L. Wright. None of our executve ofcers partcipates in any Board or commitee vote setng his or her annual salary or non-equity cash incentve payments. None of the members of the Compensaton Commitee is a current or former ofcer or employee of our company, and there were no interlocking relatonships, as defned by the SEC, involving our executve ofcers, our directors, and other enttes with which our directors or executve ofcers are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2" w:name="page33"/>
    <w:bookmarkEnd w:id="32"/>
    <w:p>
      <w:pPr>
        <w:spacing w:after="0"/>
        <w:rPr>
          <w:sz w:val="20"/>
          <w:szCs w:val="20"/>
          <w:color w:val="auto"/>
        </w:rPr>
      </w:pPr>
      <w:r>
        <w:rPr>
          <w:rFonts w:ascii="Calibri" w:cs="Calibri" w:eastAsia="Calibri" w:hAnsi="Calibri"/>
          <w:sz w:val="25"/>
          <w:szCs w:val="25"/>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40575" cy="14744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0575" cy="147447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FFFFFF"/>
        </w:rPr>
        <w:t>2024 Pay-Versus Performance Table ($)</w:t>
      </w:r>
    </w:p>
    <w:tbl>
      <w:tblPr>
        <w:tblLayout w:type="fixed"/>
        <w:tblInd w:w="0" w:type="dxa"/>
        <w:tblCellMar>
          <w:top w:w="0" w:type="dxa"/>
          <w:left w:w="0" w:type="dxa"/>
          <w:bottom w:w="0" w:type="dxa"/>
          <w:right w:w="0" w:type="dxa"/>
        </w:tblCellMar>
      </w:tblPr>
      <w:tr>
        <w:trPr>
          <w:trHeight w:val="217"/>
        </w:trPr>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500" w:type="dxa"/>
            <w:vAlign w:val="bottom"/>
            <w:gridSpan w:val="2"/>
          </w:tcPr>
          <w:p>
            <w:pPr>
              <w:jc w:val="center"/>
              <w:spacing w:after="0" w:line="217" w:lineRule="exact"/>
              <w:rPr>
                <w:sz w:val="20"/>
                <w:szCs w:val="20"/>
                <w:color w:val="auto"/>
              </w:rPr>
            </w:pPr>
            <w:r>
              <w:rPr>
                <w:rFonts w:ascii="Calibri" w:cs="Calibri" w:eastAsia="Calibri" w:hAnsi="Calibri"/>
                <w:sz w:val="18"/>
                <w:szCs w:val="18"/>
                <w:b w:val="1"/>
                <w:bCs w:val="1"/>
                <w:color w:val="auto"/>
                <w:w w:val="98"/>
              </w:rPr>
              <w:t>Value of Inital Fixed $100</w:t>
            </w: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500" w:type="dxa"/>
            <w:vAlign w:val="bottom"/>
            <w:gridSpan w:val="2"/>
          </w:tcPr>
          <w:p>
            <w:pPr>
              <w:jc w:val="center"/>
              <w:spacing w:after="0" w:line="215" w:lineRule="exact"/>
              <w:rPr>
                <w:sz w:val="20"/>
                <w:szCs w:val="20"/>
                <w:color w:val="auto"/>
              </w:rPr>
            </w:pPr>
            <w:r>
              <w:rPr>
                <w:rFonts w:ascii="Calibri" w:cs="Calibri" w:eastAsia="Calibri" w:hAnsi="Calibri"/>
                <w:sz w:val="18"/>
                <w:szCs w:val="18"/>
                <w:b w:val="1"/>
                <w:bCs w:val="1"/>
                <w:color w:val="auto"/>
                <w:w w:val="97"/>
              </w:rPr>
              <w:t>Investment Based on:</w:t>
            </w:r>
          </w:p>
        </w:tc>
        <w:tc>
          <w:tcPr>
            <w:tcW w:w="2080" w:type="dxa"/>
            <w:vAlign w:val="bottom"/>
            <w:gridSpan w:val="2"/>
          </w:tcPr>
          <w:p>
            <w:pPr>
              <w:ind w:left="560"/>
              <w:spacing w:after="0"/>
              <w:rPr>
                <w:sz w:val="20"/>
                <w:szCs w:val="20"/>
                <w:color w:val="auto"/>
              </w:rPr>
            </w:pPr>
            <w:r>
              <w:rPr>
                <w:rFonts w:ascii="Calibri" w:cs="Calibri" w:eastAsia="Calibri" w:hAnsi="Calibri"/>
                <w:sz w:val="16"/>
                <w:szCs w:val="16"/>
                <w:b w:val="1"/>
                <w:bCs w:val="1"/>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80" w:type="dxa"/>
            <w:vAlign w:val="bottom"/>
            <w:vMerge w:val="restart"/>
          </w:tcPr>
          <w:p>
            <w:pPr>
              <w:jc w:val="center"/>
              <w:spacing w:after="0" w:line="180" w:lineRule="exact"/>
              <w:rPr>
                <w:sz w:val="20"/>
                <w:szCs w:val="20"/>
                <w:color w:val="auto"/>
              </w:rPr>
            </w:pPr>
            <w:r>
              <w:rPr>
                <w:rFonts w:ascii="Calibri" w:cs="Calibri" w:eastAsia="Calibri" w:hAnsi="Calibri"/>
                <w:sz w:val="16"/>
                <w:szCs w:val="16"/>
                <w:b w:val="1"/>
                <w:bCs w:val="1"/>
                <w:color w:val="auto"/>
                <w:w w:val="98"/>
              </w:rPr>
              <w:t>Average</w:t>
            </w: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1580" w:type="dxa"/>
            <w:vAlign w:val="bottom"/>
          </w:tcPr>
          <w:p>
            <w:pPr>
              <w:jc w:val="center"/>
              <w:ind w:left="14"/>
              <w:spacing w:after="0" w:line="162" w:lineRule="exact"/>
              <w:rPr>
                <w:sz w:val="20"/>
                <w:szCs w:val="20"/>
                <w:color w:val="auto"/>
              </w:rPr>
            </w:pPr>
            <w:r>
              <w:rPr>
                <w:rFonts w:ascii="Calibri" w:cs="Calibri" w:eastAsia="Calibri" w:hAnsi="Calibri"/>
                <w:sz w:val="16"/>
                <w:szCs w:val="16"/>
                <w:b w:val="1"/>
                <w:bCs w:val="1"/>
                <w:color w:val="auto"/>
              </w:rPr>
              <w:t>Summary</w:t>
            </w:r>
          </w:p>
        </w:tc>
        <w:tc>
          <w:tcPr>
            <w:tcW w:w="126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Compensaton</w:t>
            </w:r>
          </w:p>
        </w:tc>
        <w:tc>
          <w:tcPr>
            <w:tcW w:w="140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Average Summary</w:t>
            </w:r>
          </w:p>
        </w:tc>
        <w:tc>
          <w:tcPr>
            <w:tcW w:w="148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Compensaton</w:t>
            </w:r>
          </w:p>
        </w:tc>
        <w:tc>
          <w:tcPr>
            <w:tcW w:w="128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w w:val="98"/>
              </w:rPr>
              <w:t>Peer Group Total</w:t>
            </w: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vMerge w:val="restart"/>
          </w:tcPr>
          <w:p>
            <w:pPr>
              <w:ind w:left="400"/>
              <w:spacing w:after="0"/>
              <w:rPr>
                <w:sz w:val="20"/>
                <w:szCs w:val="20"/>
                <w:color w:val="auto"/>
              </w:rPr>
            </w:pPr>
            <w:r>
              <w:rPr>
                <w:rFonts w:ascii="Calibri" w:cs="Calibri" w:eastAsia="Calibri" w:hAnsi="Calibri"/>
                <w:sz w:val="18"/>
                <w:szCs w:val="18"/>
                <w:b w:val="1"/>
                <w:bCs w:val="1"/>
                <w:color w:val="auto"/>
              </w:rPr>
              <w:t>Year</w:t>
            </w:r>
          </w:p>
        </w:tc>
        <w:tc>
          <w:tcPr>
            <w:tcW w:w="1580" w:type="dxa"/>
            <w:vAlign w:val="bottom"/>
          </w:tcPr>
          <w:p>
            <w:pPr>
              <w:jc w:val="center"/>
              <w:ind w:left="14"/>
              <w:spacing w:after="0" w:line="162" w:lineRule="exact"/>
              <w:rPr>
                <w:sz w:val="20"/>
                <w:szCs w:val="20"/>
                <w:color w:val="auto"/>
              </w:rPr>
            </w:pPr>
            <w:r>
              <w:rPr>
                <w:rFonts w:ascii="Calibri" w:cs="Calibri" w:eastAsia="Calibri" w:hAnsi="Calibri"/>
                <w:sz w:val="16"/>
                <w:szCs w:val="16"/>
                <w:b w:val="1"/>
                <w:bCs w:val="1"/>
                <w:color w:val="auto"/>
              </w:rPr>
              <w:t>Compensaton</w:t>
            </w:r>
          </w:p>
        </w:tc>
        <w:tc>
          <w:tcPr>
            <w:tcW w:w="126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Actually Paid to</w:t>
            </w:r>
          </w:p>
        </w:tc>
        <w:tc>
          <w:tcPr>
            <w:tcW w:w="140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Compensaton</w:t>
            </w:r>
          </w:p>
        </w:tc>
        <w:tc>
          <w:tcPr>
            <w:tcW w:w="2760" w:type="dxa"/>
            <w:vAlign w:val="bottom"/>
            <w:gridSpan w:val="2"/>
          </w:tcPr>
          <w:p>
            <w:pPr>
              <w:ind w:left="40"/>
              <w:spacing w:after="0" w:line="162" w:lineRule="exact"/>
              <w:rPr>
                <w:sz w:val="20"/>
                <w:szCs w:val="20"/>
                <w:color w:val="auto"/>
              </w:rPr>
            </w:pPr>
            <w:r>
              <w:rPr>
                <w:rFonts w:ascii="Calibri" w:cs="Calibri" w:eastAsia="Calibri" w:hAnsi="Calibri"/>
                <w:sz w:val="16"/>
                <w:szCs w:val="16"/>
                <w:b w:val="1"/>
                <w:bCs w:val="1"/>
                <w:color w:val="auto"/>
              </w:rPr>
              <w:t>Actually Paid to Non- Total Shareholder</w:t>
            </w:r>
          </w:p>
        </w:tc>
        <w:tc>
          <w:tcPr>
            <w:tcW w:w="122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Shareholder</w:t>
            </w:r>
          </w:p>
        </w:tc>
        <w:tc>
          <w:tcPr>
            <w:tcW w:w="84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Income Before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940" w:type="dxa"/>
            <w:vAlign w:val="bottom"/>
            <w:vMerge w:val="continue"/>
          </w:tcPr>
          <w:p>
            <w:pPr>
              <w:spacing w:after="0"/>
              <w:rPr>
                <w:sz w:val="17"/>
                <w:szCs w:val="17"/>
                <w:color w:val="auto"/>
              </w:rPr>
            </w:pPr>
          </w:p>
        </w:tc>
        <w:tc>
          <w:tcPr>
            <w:tcW w:w="1580" w:type="dxa"/>
            <w:vAlign w:val="bottom"/>
          </w:tcPr>
          <w:p>
            <w:pPr>
              <w:jc w:val="center"/>
              <w:ind w:left="34"/>
              <w:spacing w:after="0" w:line="193" w:lineRule="exact"/>
              <w:rPr>
                <w:sz w:val="20"/>
                <w:szCs w:val="20"/>
                <w:color w:val="auto"/>
              </w:rPr>
            </w:pPr>
            <w:r>
              <w:rPr>
                <w:rFonts w:ascii="Calibri" w:cs="Calibri" w:eastAsia="Calibri" w:hAnsi="Calibri"/>
                <w:sz w:val="16"/>
                <w:szCs w:val="16"/>
                <w:b w:val="1"/>
                <w:bCs w:val="1"/>
                <w:color w:val="auto"/>
                <w:w w:val="98"/>
              </w:rPr>
              <w:t>Table Total for PEO</w:t>
            </w:r>
          </w:p>
        </w:tc>
        <w:tc>
          <w:tcPr>
            <w:tcW w:w="126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PEO (1)</w:t>
            </w:r>
          </w:p>
        </w:tc>
        <w:tc>
          <w:tcPr>
            <w:tcW w:w="140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w w:val="99"/>
              </w:rPr>
              <w:t>Table for Non-PEO</w:t>
            </w:r>
          </w:p>
        </w:tc>
        <w:tc>
          <w:tcPr>
            <w:tcW w:w="148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PEO NEOs (2)</w:t>
            </w:r>
          </w:p>
        </w:tc>
        <w:tc>
          <w:tcPr>
            <w:tcW w:w="128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w w:val="98"/>
              </w:rPr>
              <w:t>Return (3)</w:t>
            </w:r>
          </w:p>
        </w:tc>
        <w:tc>
          <w:tcPr>
            <w:tcW w:w="122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Return (3)</w:t>
            </w:r>
          </w:p>
        </w:tc>
        <w:tc>
          <w:tcPr>
            <w:tcW w:w="84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Net Income</w:t>
            </w:r>
          </w:p>
        </w:tc>
        <w:tc>
          <w:tcPr>
            <w:tcW w:w="124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w w:val="99"/>
              </w:rPr>
              <w:t>Income Taxes (4)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40" w:type="dxa"/>
            <w:vAlign w:val="bottom"/>
            <w:shd w:val="clear" w:color="auto" w:fill="DBDBDB"/>
          </w:tcPr>
          <w:p>
            <w:pPr>
              <w:ind w:left="380"/>
              <w:spacing w:after="0" w:line="215" w:lineRule="exact"/>
              <w:rPr>
                <w:sz w:val="20"/>
                <w:szCs w:val="20"/>
                <w:color w:val="auto"/>
              </w:rPr>
            </w:pPr>
            <w:r>
              <w:rPr>
                <w:rFonts w:ascii="Calibri" w:cs="Calibri" w:eastAsia="Calibri" w:hAnsi="Calibri"/>
                <w:sz w:val="18"/>
                <w:szCs w:val="18"/>
                <w:b w:val="1"/>
                <w:bCs w:val="1"/>
                <w:color w:val="auto"/>
              </w:rPr>
              <w:t>2024</w:t>
            </w:r>
          </w:p>
        </w:tc>
        <w:tc>
          <w:tcPr>
            <w:tcW w:w="1580" w:type="dxa"/>
            <w:vAlign w:val="bottom"/>
            <w:shd w:val="clear" w:color="auto" w:fill="DBDBDB"/>
          </w:tcPr>
          <w:p>
            <w:pPr>
              <w:jc w:val="center"/>
              <w:ind w:left="14"/>
              <w:spacing w:after="0" w:line="215" w:lineRule="exact"/>
              <w:rPr>
                <w:sz w:val="20"/>
                <w:szCs w:val="20"/>
                <w:color w:val="auto"/>
              </w:rPr>
            </w:pPr>
            <w:r>
              <w:rPr>
                <w:rFonts w:ascii="Calibri" w:cs="Calibri" w:eastAsia="Calibri" w:hAnsi="Calibri"/>
                <w:sz w:val="18"/>
                <w:szCs w:val="18"/>
                <w:color w:val="auto"/>
                <w:w w:val="98"/>
              </w:rPr>
              <w:t>2,616,013</w:t>
            </w:r>
          </w:p>
        </w:tc>
        <w:tc>
          <w:tcPr>
            <w:tcW w:w="1260" w:type="dxa"/>
            <w:vAlign w:val="bottom"/>
            <w:shd w:val="clear" w:color="auto" w:fill="DBDBDB"/>
          </w:tcPr>
          <w:p>
            <w:pPr>
              <w:jc w:val="center"/>
              <w:spacing w:after="0" w:line="215" w:lineRule="exact"/>
              <w:rPr>
                <w:sz w:val="20"/>
                <w:szCs w:val="20"/>
                <w:color w:val="auto"/>
              </w:rPr>
            </w:pPr>
            <w:r>
              <w:rPr>
                <w:rFonts w:ascii="Calibri" w:cs="Calibri" w:eastAsia="Calibri" w:hAnsi="Calibri"/>
                <w:sz w:val="18"/>
                <w:szCs w:val="18"/>
                <w:color w:val="auto"/>
                <w:w w:val="95"/>
              </w:rPr>
              <w:t>5,167,694</w:t>
            </w:r>
          </w:p>
        </w:tc>
        <w:tc>
          <w:tcPr>
            <w:tcW w:w="1400" w:type="dxa"/>
            <w:vAlign w:val="bottom"/>
            <w:shd w:val="clear" w:color="auto" w:fill="DBDBDB"/>
          </w:tcPr>
          <w:p>
            <w:pPr>
              <w:jc w:val="center"/>
              <w:spacing w:after="0" w:line="215" w:lineRule="exact"/>
              <w:rPr>
                <w:sz w:val="20"/>
                <w:szCs w:val="20"/>
                <w:color w:val="auto"/>
              </w:rPr>
            </w:pPr>
            <w:r>
              <w:rPr>
                <w:rFonts w:ascii="Calibri" w:cs="Calibri" w:eastAsia="Calibri" w:hAnsi="Calibri"/>
                <w:sz w:val="18"/>
                <w:szCs w:val="18"/>
                <w:color w:val="auto"/>
                <w:w w:val="95"/>
              </w:rPr>
              <w:t>1,060,229</w:t>
            </w:r>
          </w:p>
        </w:tc>
        <w:tc>
          <w:tcPr>
            <w:tcW w:w="1480" w:type="dxa"/>
            <w:vAlign w:val="bottom"/>
            <w:shd w:val="clear" w:color="auto" w:fill="DBDBDB"/>
          </w:tcPr>
          <w:p>
            <w:pPr>
              <w:jc w:val="center"/>
              <w:spacing w:after="0" w:line="215" w:lineRule="exact"/>
              <w:rPr>
                <w:sz w:val="20"/>
                <w:szCs w:val="20"/>
                <w:color w:val="auto"/>
              </w:rPr>
            </w:pPr>
            <w:r>
              <w:rPr>
                <w:rFonts w:ascii="Calibri" w:cs="Calibri" w:eastAsia="Calibri" w:hAnsi="Calibri"/>
                <w:sz w:val="18"/>
                <w:szCs w:val="18"/>
                <w:color w:val="auto"/>
                <w:w w:val="95"/>
              </w:rPr>
              <w:t>2,069,412</w:t>
            </w:r>
          </w:p>
        </w:tc>
        <w:tc>
          <w:tcPr>
            <w:tcW w:w="1280" w:type="dxa"/>
            <w:vAlign w:val="bottom"/>
            <w:shd w:val="clear" w:color="auto" w:fill="DBDBDB"/>
          </w:tcPr>
          <w:p>
            <w:pPr>
              <w:jc w:val="center"/>
              <w:spacing w:after="0" w:line="215" w:lineRule="exact"/>
              <w:rPr>
                <w:sz w:val="20"/>
                <w:szCs w:val="20"/>
                <w:color w:val="auto"/>
              </w:rPr>
            </w:pPr>
            <w:r>
              <w:rPr>
                <w:rFonts w:ascii="Calibri" w:cs="Calibri" w:eastAsia="Calibri" w:hAnsi="Calibri"/>
                <w:sz w:val="18"/>
                <w:szCs w:val="18"/>
                <w:color w:val="auto"/>
                <w:w w:val="99"/>
              </w:rPr>
              <w:t>483.32</w:t>
            </w:r>
          </w:p>
        </w:tc>
        <w:tc>
          <w:tcPr>
            <w:tcW w:w="1220" w:type="dxa"/>
            <w:vAlign w:val="bottom"/>
            <w:shd w:val="clear" w:color="auto" w:fill="DBDBDB"/>
          </w:tcPr>
          <w:p>
            <w:pPr>
              <w:jc w:val="center"/>
              <w:spacing w:after="0" w:line="215" w:lineRule="exact"/>
              <w:rPr>
                <w:sz w:val="20"/>
                <w:szCs w:val="20"/>
                <w:color w:val="auto"/>
              </w:rPr>
            </w:pPr>
            <w:r>
              <w:rPr>
                <w:rFonts w:ascii="Calibri" w:cs="Calibri" w:eastAsia="Calibri" w:hAnsi="Calibri"/>
                <w:sz w:val="18"/>
                <w:szCs w:val="18"/>
                <w:color w:val="auto"/>
                <w:w w:val="95"/>
              </w:rPr>
              <w:t>173.66</w:t>
            </w:r>
          </w:p>
        </w:tc>
        <w:tc>
          <w:tcPr>
            <w:tcW w:w="840" w:type="dxa"/>
            <w:vAlign w:val="bottom"/>
            <w:shd w:val="clear" w:color="auto" w:fill="DBDBDB"/>
          </w:tcPr>
          <w:p>
            <w:pPr>
              <w:jc w:val="center"/>
              <w:spacing w:after="0" w:line="215" w:lineRule="exact"/>
              <w:rPr>
                <w:sz w:val="20"/>
                <w:szCs w:val="20"/>
                <w:color w:val="auto"/>
              </w:rPr>
            </w:pPr>
            <w:r>
              <w:rPr>
                <w:rFonts w:ascii="Calibri" w:cs="Calibri" w:eastAsia="Calibri" w:hAnsi="Calibri"/>
                <w:sz w:val="18"/>
                <w:szCs w:val="18"/>
                <w:color w:val="auto"/>
                <w:w w:val="99"/>
              </w:rPr>
              <w:t>75,363</w:t>
            </w:r>
          </w:p>
        </w:tc>
        <w:tc>
          <w:tcPr>
            <w:tcW w:w="1240" w:type="dxa"/>
            <w:vAlign w:val="bottom"/>
            <w:shd w:val="clear" w:color="auto" w:fill="DBDBDB"/>
          </w:tcPr>
          <w:p>
            <w:pPr>
              <w:jc w:val="center"/>
              <w:spacing w:after="0" w:line="215" w:lineRule="exact"/>
              <w:rPr>
                <w:sz w:val="20"/>
                <w:szCs w:val="20"/>
                <w:color w:val="auto"/>
              </w:rPr>
            </w:pPr>
            <w:r>
              <w:rPr>
                <w:rFonts w:ascii="Calibri" w:cs="Calibri" w:eastAsia="Calibri" w:hAnsi="Calibri"/>
                <w:sz w:val="18"/>
                <w:szCs w:val="18"/>
                <w:color w:val="auto"/>
                <w:w w:val="97"/>
              </w:rPr>
              <w:t>101,145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40" w:type="dxa"/>
            <w:vAlign w:val="bottom"/>
          </w:tcPr>
          <w:p>
            <w:pPr>
              <w:ind w:left="380"/>
              <w:spacing w:after="0" w:line="215" w:lineRule="exact"/>
              <w:rPr>
                <w:sz w:val="20"/>
                <w:szCs w:val="20"/>
                <w:color w:val="auto"/>
              </w:rPr>
            </w:pPr>
            <w:r>
              <w:rPr>
                <w:rFonts w:ascii="Calibri" w:cs="Calibri" w:eastAsia="Calibri" w:hAnsi="Calibri"/>
                <w:sz w:val="18"/>
                <w:szCs w:val="18"/>
                <w:b w:val="1"/>
                <w:bCs w:val="1"/>
                <w:color w:val="auto"/>
              </w:rPr>
              <w:t>2023</w:t>
            </w:r>
          </w:p>
        </w:tc>
        <w:tc>
          <w:tcPr>
            <w:tcW w:w="1580" w:type="dxa"/>
            <w:vAlign w:val="bottom"/>
          </w:tcPr>
          <w:p>
            <w:pPr>
              <w:jc w:val="center"/>
              <w:ind w:left="14"/>
              <w:spacing w:after="0" w:line="215" w:lineRule="exact"/>
              <w:rPr>
                <w:sz w:val="20"/>
                <w:szCs w:val="20"/>
                <w:color w:val="auto"/>
              </w:rPr>
            </w:pPr>
            <w:r>
              <w:rPr>
                <w:rFonts w:ascii="Calibri" w:cs="Calibri" w:eastAsia="Calibri" w:hAnsi="Calibri"/>
                <w:sz w:val="18"/>
                <w:szCs w:val="18"/>
                <w:color w:val="auto"/>
                <w:w w:val="98"/>
              </w:rPr>
              <w:t>2,223,409</w:t>
            </w:r>
          </w:p>
        </w:tc>
        <w:tc>
          <w:tcPr>
            <w:tcW w:w="1260" w:type="dxa"/>
            <w:vAlign w:val="bottom"/>
          </w:tcPr>
          <w:p>
            <w:pPr>
              <w:jc w:val="center"/>
              <w:spacing w:after="0" w:line="215" w:lineRule="exact"/>
              <w:rPr>
                <w:sz w:val="20"/>
                <w:szCs w:val="20"/>
                <w:color w:val="auto"/>
              </w:rPr>
            </w:pPr>
            <w:r>
              <w:rPr>
                <w:rFonts w:ascii="Calibri" w:cs="Calibri" w:eastAsia="Calibri" w:hAnsi="Calibri"/>
                <w:sz w:val="18"/>
                <w:szCs w:val="18"/>
                <w:color w:val="auto"/>
                <w:w w:val="95"/>
              </w:rPr>
              <w:t>2,242,510</w:t>
            </w:r>
          </w:p>
        </w:tc>
        <w:tc>
          <w:tcPr>
            <w:tcW w:w="140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942,164</w:t>
            </w:r>
          </w:p>
        </w:tc>
        <w:tc>
          <w:tcPr>
            <w:tcW w:w="148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973,305</w:t>
            </w:r>
          </w:p>
        </w:tc>
        <w:tc>
          <w:tcPr>
            <w:tcW w:w="128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275.81</w:t>
            </w:r>
          </w:p>
        </w:tc>
        <w:tc>
          <w:tcPr>
            <w:tcW w:w="1220" w:type="dxa"/>
            <w:vAlign w:val="bottom"/>
          </w:tcPr>
          <w:p>
            <w:pPr>
              <w:jc w:val="center"/>
              <w:spacing w:after="0" w:line="215" w:lineRule="exact"/>
              <w:rPr>
                <w:sz w:val="20"/>
                <w:szCs w:val="20"/>
                <w:color w:val="auto"/>
              </w:rPr>
            </w:pPr>
            <w:r>
              <w:rPr>
                <w:rFonts w:ascii="Calibri" w:cs="Calibri" w:eastAsia="Calibri" w:hAnsi="Calibri"/>
                <w:sz w:val="18"/>
                <w:szCs w:val="18"/>
                <w:color w:val="auto"/>
                <w:w w:val="95"/>
              </w:rPr>
              <w:t>147.13</w:t>
            </w:r>
          </w:p>
        </w:tc>
        <w:tc>
          <w:tcPr>
            <w:tcW w:w="84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60,041</w:t>
            </w:r>
          </w:p>
        </w:tc>
        <w:tc>
          <w:tcPr>
            <w:tcW w:w="124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82,582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40" w:type="dxa"/>
            <w:vAlign w:val="bottom"/>
            <w:shd w:val="clear" w:color="auto" w:fill="DBDBDB"/>
          </w:tcPr>
          <w:p>
            <w:pPr>
              <w:ind w:left="380"/>
              <w:spacing w:after="0"/>
              <w:rPr>
                <w:sz w:val="20"/>
                <w:szCs w:val="20"/>
                <w:color w:val="auto"/>
              </w:rPr>
            </w:pPr>
            <w:r>
              <w:rPr>
                <w:rFonts w:ascii="Calibri" w:cs="Calibri" w:eastAsia="Calibri" w:hAnsi="Calibri"/>
                <w:sz w:val="18"/>
                <w:szCs w:val="18"/>
                <w:b w:val="1"/>
                <w:bCs w:val="1"/>
                <w:color w:val="auto"/>
              </w:rPr>
              <w:t>2022</w:t>
            </w:r>
          </w:p>
        </w:tc>
        <w:tc>
          <w:tcPr>
            <w:tcW w:w="1580" w:type="dxa"/>
            <w:vAlign w:val="bottom"/>
            <w:shd w:val="clear" w:color="auto" w:fill="DBDBDB"/>
          </w:tcPr>
          <w:p>
            <w:pPr>
              <w:jc w:val="center"/>
              <w:ind w:left="14"/>
              <w:spacing w:after="0"/>
              <w:rPr>
                <w:sz w:val="20"/>
                <w:szCs w:val="20"/>
                <w:color w:val="auto"/>
              </w:rPr>
            </w:pPr>
            <w:r>
              <w:rPr>
                <w:rFonts w:ascii="Calibri" w:cs="Calibri" w:eastAsia="Calibri" w:hAnsi="Calibri"/>
                <w:sz w:val="18"/>
                <w:szCs w:val="18"/>
                <w:color w:val="auto"/>
                <w:w w:val="98"/>
              </w:rPr>
              <w:t>2,119,465</w:t>
            </w:r>
          </w:p>
        </w:tc>
        <w:tc>
          <w:tcPr>
            <w:tcW w:w="1260" w:type="dxa"/>
            <w:vAlign w:val="bottom"/>
            <w:shd w:val="clear" w:color="auto" w:fill="DBDBDB"/>
          </w:tcPr>
          <w:p>
            <w:pPr>
              <w:jc w:val="center"/>
              <w:spacing w:after="0"/>
              <w:rPr>
                <w:sz w:val="20"/>
                <w:szCs w:val="20"/>
                <w:color w:val="auto"/>
              </w:rPr>
            </w:pPr>
            <w:r>
              <w:rPr>
                <w:rFonts w:ascii="Calibri" w:cs="Calibri" w:eastAsia="Calibri" w:hAnsi="Calibri"/>
                <w:sz w:val="18"/>
                <w:szCs w:val="18"/>
                <w:color w:val="auto"/>
                <w:w w:val="95"/>
              </w:rPr>
              <w:t>3,698,401</w:t>
            </w:r>
          </w:p>
        </w:tc>
        <w:tc>
          <w:tcPr>
            <w:tcW w:w="1400" w:type="dxa"/>
            <w:vAlign w:val="bottom"/>
            <w:shd w:val="clear" w:color="auto" w:fill="DBDBDB"/>
          </w:tcPr>
          <w:p>
            <w:pPr>
              <w:jc w:val="center"/>
              <w:spacing w:after="0"/>
              <w:rPr>
                <w:sz w:val="20"/>
                <w:szCs w:val="20"/>
                <w:color w:val="auto"/>
              </w:rPr>
            </w:pPr>
            <w:r>
              <w:rPr>
                <w:rFonts w:ascii="Calibri" w:cs="Calibri" w:eastAsia="Calibri" w:hAnsi="Calibri"/>
                <w:sz w:val="18"/>
                <w:szCs w:val="18"/>
                <w:color w:val="auto"/>
                <w:w w:val="97"/>
              </w:rPr>
              <w:t>919,021</w:t>
            </w:r>
          </w:p>
        </w:tc>
        <w:tc>
          <w:tcPr>
            <w:tcW w:w="1480" w:type="dxa"/>
            <w:vAlign w:val="bottom"/>
            <w:shd w:val="clear" w:color="auto" w:fill="DBDBDB"/>
          </w:tcPr>
          <w:p>
            <w:pPr>
              <w:jc w:val="center"/>
              <w:spacing w:after="0"/>
              <w:rPr>
                <w:sz w:val="20"/>
                <w:szCs w:val="20"/>
                <w:color w:val="auto"/>
              </w:rPr>
            </w:pPr>
            <w:r>
              <w:rPr>
                <w:rFonts w:ascii="Calibri" w:cs="Calibri" w:eastAsia="Calibri" w:hAnsi="Calibri"/>
                <w:sz w:val="18"/>
                <w:szCs w:val="18"/>
                <w:color w:val="auto"/>
                <w:w w:val="95"/>
              </w:rPr>
              <w:t>1,484,039</w:t>
            </w:r>
          </w:p>
        </w:tc>
        <w:tc>
          <w:tcPr>
            <w:tcW w:w="1280" w:type="dxa"/>
            <w:vAlign w:val="bottom"/>
            <w:shd w:val="clear" w:color="auto" w:fill="DBDBDB"/>
          </w:tcPr>
          <w:p>
            <w:pPr>
              <w:jc w:val="center"/>
              <w:spacing w:after="0"/>
              <w:rPr>
                <w:sz w:val="20"/>
                <w:szCs w:val="20"/>
                <w:color w:val="auto"/>
              </w:rPr>
            </w:pPr>
            <w:r>
              <w:rPr>
                <w:rFonts w:ascii="Calibri" w:cs="Calibri" w:eastAsia="Calibri" w:hAnsi="Calibri"/>
                <w:sz w:val="18"/>
                <w:szCs w:val="18"/>
                <w:color w:val="auto"/>
                <w:w w:val="99"/>
              </w:rPr>
              <w:t>283.76</w:t>
            </w:r>
          </w:p>
        </w:tc>
        <w:tc>
          <w:tcPr>
            <w:tcW w:w="1220" w:type="dxa"/>
            <w:vAlign w:val="bottom"/>
            <w:shd w:val="clear" w:color="auto" w:fill="DBDBDB"/>
          </w:tcPr>
          <w:p>
            <w:pPr>
              <w:jc w:val="center"/>
              <w:spacing w:after="0"/>
              <w:rPr>
                <w:sz w:val="20"/>
                <w:szCs w:val="20"/>
                <w:color w:val="auto"/>
              </w:rPr>
            </w:pPr>
            <w:r>
              <w:rPr>
                <w:rFonts w:ascii="Calibri" w:cs="Calibri" w:eastAsia="Calibri" w:hAnsi="Calibri"/>
                <w:sz w:val="18"/>
                <w:szCs w:val="18"/>
                <w:color w:val="auto"/>
                <w:w w:val="95"/>
              </w:rPr>
              <w:t>186.02</w:t>
            </w:r>
          </w:p>
        </w:tc>
        <w:tc>
          <w:tcPr>
            <w:tcW w:w="840" w:type="dxa"/>
            <w:vAlign w:val="bottom"/>
            <w:shd w:val="clear" w:color="auto" w:fill="DBDBDB"/>
          </w:tcPr>
          <w:p>
            <w:pPr>
              <w:jc w:val="center"/>
              <w:spacing w:after="0"/>
              <w:rPr>
                <w:sz w:val="20"/>
                <w:szCs w:val="20"/>
                <w:color w:val="auto"/>
              </w:rPr>
            </w:pPr>
            <w:r>
              <w:rPr>
                <w:rFonts w:ascii="Calibri" w:cs="Calibri" w:eastAsia="Calibri" w:hAnsi="Calibri"/>
                <w:sz w:val="18"/>
                <w:szCs w:val="18"/>
                <w:color w:val="auto"/>
                <w:w w:val="99"/>
              </w:rPr>
              <w:t>51,542</w:t>
            </w:r>
          </w:p>
        </w:tc>
        <w:tc>
          <w:tcPr>
            <w:tcW w:w="1240" w:type="dxa"/>
            <w:vAlign w:val="bottom"/>
            <w:shd w:val="clear" w:color="auto" w:fill="DBDBDB"/>
          </w:tcPr>
          <w:p>
            <w:pPr>
              <w:jc w:val="center"/>
              <w:spacing w:after="0"/>
              <w:rPr>
                <w:sz w:val="20"/>
                <w:szCs w:val="20"/>
                <w:color w:val="auto"/>
              </w:rPr>
            </w:pPr>
            <w:r>
              <w:rPr>
                <w:rFonts w:ascii="Calibri" w:cs="Calibri" w:eastAsia="Calibri" w:hAnsi="Calibri"/>
                <w:sz w:val="18"/>
                <w:szCs w:val="18"/>
                <w:color w:val="auto"/>
                <w:w w:val="99"/>
              </w:rPr>
              <w:t>69,979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Pr>
          <w:p>
            <w:pPr>
              <w:ind w:left="380"/>
              <w:spacing w:after="0" w:line="215" w:lineRule="exact"/>
              <w:rPr>
                <w:sz w:val="20"/>
                <w:szCs w:val="20"/>
                <w:color w:val="auto"/>
              </w:rPr>
            </w:pPr>
            <w:r>
              <w:rPr>
                <w:rFonts w:ascii="Calibri" w:cs="Calibri" w:eastAsia="Calibri" w:hAnsi="Calibri"/>
                <w:sz w:val="18"/>
                <w:szCs w:val="18"/>
                <w:b w:val="1"/>
                <w:bCs w:val="1"/>
                <w:color w:val="auto"/>
              </w:rPr>
              <w:t>2021</w:t>
            </w:r>
          </w:p>
        </w:tc>
        <w:tc>
          <w:tcPr>
            <w:tcW w:w="1580" w:type="dxa"/>
            <w:vAlign w:val="bottom"/>
          </w:tcPr>
          <w:p>
            <w:pPr>
              <w:jc w:val="center"/>
              <w:ind w:left="14"/>
              <w:spacing w:after="0" w:line="215" w:lineRule="exact"/>
              <w:rPr>
                <w:sz w:val="20"/>
                <w:szCs w:val="20"/>
                <w:color w:val="auto"/>
              </w:rPr>
            </w:pPr>
            <w:r>
              <w:rPr>
                <w:rFonts w:ascii="Calibri" w:cs="Calibri" w:eastAsia="Calibri" w:hAnsi="Calibri"/>
                <w:sz w:val="18"/>
                <w:szCs w:val="18"/>
                <w:color w:val="auto"/>
                <w:w w:val="98"/>
              </w:rPr>
              <w:t>2,157,581</w:t>
            </w:r>
          </w:p>
        </w:tc>
        <w:tc>
          <w:tcPr>
            <w:tcW w:w="1260" w:type="dxa"/>
            <w:vAlign w:val="bottom"/>
          </w:tcPr>
          <w:p>
            <w:pPr>
              <w:jc w:val="center"/>
              <w:spacing w:after="0" w:line="215" w:lineRule="exact"/>
              <w:rPr>
                <w:sz w:val="20"/>
                <w:szCs w:val="20"/>
                <w:color w:val="auto"/>
              </w:rPr>
            </w:pPr>
            <w:r>
              <w:rPr>
                <w:rFonts w:ascii="Calibri" w:cs="Calibri" w:eastAsia="Calibri" w:hAnsi="Calibri"/>
                <w:sz w:val="18"/>
                <w:szCs w:val="18"/>
                <w:color w:val="auto"/>
                <w:w w:val="95"/>
              </w:rPr>
              <w:t>4,405,124</w:t>
            </w:r>
          </w:p>
        </w:tc>
        <w:tc>
          <w:tcPr>
            <w:tcW w:w="140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862,226</w:t>
            </w:r>
          </w:p>
        </w:tc>
        <w:tc>
          <w:tcPr>
            <w:tcW w:w="1480" w:type="dxa"/>
            <w:vAlign w:val="bottom"/>
          </w:tcPr>
          <w:p>
            <w:pPr>
              <w:jc w:val="center"/>
              <w:spacing w:after="0" w:line="215" w:lineRule="exact"/>
              <w:rPr>
                <w:sz w:val="20"/>
                <w:szCs w:val="20"/>
                <w:color w:val="auto"/>
              </w:rPr>
            </w:pPr>
            <w:r>
              <w:rPr>
                <w:rFonts w:ascii="Calibri" w:cs="Calibri" w:eastAsia="Calibri" w:hAnsi="Calibri"/>
                <w:sz w:val="18"/>
                <w:szCs w:val="18"/>
                <w:color w:val="auto"/>
                <w:w w:val="95"/>
              </w:rPr>
              <w:t>1,539,781</w:t>
            </w:r>
          </w:p>
        </w:tc>
        <w:tc>
          <w:tcPr>
            <w:tcW w:w="128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204.94</w:t>
            </w:r>
          </w:p>
        </w:tc>
        <w:tc>
          <w:tcPr>
            <w:tcW w:w="1220" w:type="dxa"/>
            <w:vAlign w:val="bottom"/>
          </w:tcPr>
          <w:p>
            <w:pPr>
              <w:jc w:val="center"/>
              <w:spacing w:after="0" w:line="215" w:lineRule="exact"/>
              <w:rPr>
                <w:sz w:val="20"/>
                <w:szCs w:val="20"/>
                <w:color w:val="auto"/>
              </w:rPr>
            </w:pPr>
            <w:r>
              <w:rPr>
                <w:rFonts w:ascii="Calibri" w:cs="Calibri" w:eastAsia="Calibri" w:hAnsi="Calibri"/>
                <w:sz w:val="18"/>
                <w:szCs w:val="18"/>
                <w:color w:val="auto"/>
                <w:w w:val="95"/>
              </w:rPr>
              <w:t>181.61</w:t>
            </w:r>
          </w:p>
        </w:tc>
        <w:tc>
          <w:tcPr>
            <w:tcW w:w="84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40,980</w:t>
            </w:r>
          </w:p>
        </w:tc>
        <w:tc>
          <w:tcPr>
            <w:tcW w:w="124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55,851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420" w:right="360" w:hanging="412"/>
        <w:spacing w:after="0" w:line="235" w:lineRule="auto"/>
        <w:tabs>
          <w:tab w:leader="none" w:pos="413"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The summary compensaton table totals for our chief executve ofcer (the "PEO"), Patrick Hawkins, are adjusted, as indicated in the table below, to arrive at "compensaton actually paid to the PEO" each year. Our PEO does not partcipate in a pension plan; therefore, no adjustment from the summary compensaton table total related to pension value was made. The fair value of equity awards was computed in accordance with the Company's methodology used for fnancial reportng purposes.</w:t>
      </w:r>
    </w:p>
    <w:p>
      <w:pPr>
        <w:spacing w:after="0" w:line="33" w:lineRule="exact"/>
        <w:rPr>
          <w:sz w:val="20"/>
          <w:szCs w:val="20"/>
          <w:color w:val="auto"/>
        </w:rPr>
      </w:pPr>
    </w:p>
    <w:tbl>
      <w:tblPr>
        <w:tblLayout w:type="fixed"/>
        <w:tblInd w:w="430" w:type="dxa"/>
        <w:tblCellMar>
          <w:top w:w="0" w:type="dxa"/>
          <w:left w:w="0" w:type="dxa"/>
          <w:bottom w:w="0" w:type="dxa"/>
          <w:right w:w="0" w:type="dxa"/>
        </w:tblCellMar>
      </w:tblPr>
      <w:tr>
        <w:trPr>
          <w:trHeight w:val="237"/>
        </w:trPr>
        <w:tc>
          <w:tcPr>
            <w:tcW w:w="7380" w:type="dxa"/>
            <w:vAlign w:val="bottom"/>
            <w:tcBorders>
              <w:top w:val="single" w:sz="8" w:color="auto"/>
              <w:left w:val="single" w:sz="8" w:color="auto"/>
              <w:bottom w:val="single" w:sz="8" w:color="DBDBDB"/>
            </w:tcBorders>
          </w:tcPr>
          <w:p>
            <w:pPr>
              <w:spacing w:after="0"/>
              <w:rPr>
                <w:sz w:val="20"/>
                <w:szCs w:val="20"/>
                <w:color w:val="auto"/>
              </w:rPr>
            </w:pPr>
          </w:p>
        </w:tc>
        <w:tc>
          <w:tcPr>
            <w:tcW w:w="160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Calibri" w:cs="Calibri" w:eastAsia="Calibri" w:hAnsi="Calibri"/>
                <w:sz w:val="18"/>
                <w:szCs w:val="18"/>
                <w:b w:val="1"/>
                <w:bCs w:val="1"/>
                <w:color w:val="auto"/>
              </w:rPr>
              <w:t>Fiscal 2024</w:t>
            </w:r>
          </w:p>
        </w:tc>
      </w:tr>
      <w:tr>
        <w:trPr>
          <w:trHeight w:val="229"/>
        </w:trPr>
        <w:tc>
          <w:tcPr>
            <w:tcW w:w="7380" w:type="dxa"/>
            <w:vAlign w:val="bottom"/>
            <w:tcBorders>
              <w:left w:val="single" w:sz="8" w:color="auto"/>
            </w:tcBorders>
            <w:shd w:val="clear" w:color="auto" w:fill="DBDBDB"/>
          </w:tcPr>
          <w:p>
            <w:pPr>
              <w:ind w:left="20"/>
              <w:spacing w:after="0" w:line="206" w:lineRule="exact"/>
              <w:rPr>
                <w:sz w:val="20"/>
                <w:szCs w:val="20"/>
                <w:color w:val="auto"/>
              </w:rPr>
            </w:pPr>
            <w:r>
              <w:rPr>
                <w:rFonts w:ascii="Calibri" w:cs="Calibri" w:eastAsia="Calibri" w:hAnsi="Calibri"/>
                <w:sz w:val="18"/>
                <w:szCs w:val="18"/>
                <w:b w:val="1"/>
                <w:bCs w:val="1"/>
                <w:color w:val="auto"/>
              </w:rPr>
              <w:t>Summary Compensaton Table total for PEO</w:t>
            </w:r>
          </w:p>
        </w:tc>
        <w:tc>
          <w:tcPr>
            <w:tcW w:w="1600" w:type="dxa"/>
            <w:vAlign w:val="bottom"/>
            <w:tcBorders>
              <w:right w:val="single" w:sz="8" w:color="auto"/>
            </w:tcBorders>
            <w:shd w:val="clear" w:color="auto" w:fill="DBDBDB"/>
          </w:tcPr>
          <w:p>
            <w:pPr>
              <w:jc w:val="right"/>
              <w:ind w:right="310"/>
              <w:spacing w:after="0" w:line="215" w:lineRule="exact"/>
              <w:rPr>
                <w:sz w:val="20"/>
                <w:szCs w:val="20"/>
                <w:color w:val="auto"/>
              </w:rPr>
            </w:pPr>
            <w:r>
              <w:rPr>
                <w:rFonts w:ascii="Calibri" w:cs="Calibri" w:eastAsia="Calibri" w:hAnsi="Calibri"/>
                <w:sz w:val="18"/>
                <w:szCs w:val="18"/>
                <w:b w:val="1"/>
                <w:bCs w:val="1"/>
                <w:color w:val="auto"/>
              </w:rPr>
              <w:t>$2,616,013</w:t>
            </w:r>
          </w:p>
        </w:tc>
      </w:tr>
      <w:tr>
        <w:trPr>
          <w:trHeight w:val="222"/>
        </w:trPr>
        <w:tc>
          <w:tcPr>
            <w:tcW w:w="7380" w:type="dxa"/>
            <w:vAlign w:val="bottom"/>
            <w:tcBorders>
              <w:left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Adjustments to Determine Compensaton Actually Paid for PEO:</w:t>
            </w:r>
          </w:p>
        </w:tc>
        <w:tc>
          <w:tcPr>
            <w:tcW w:w="1600" w:type="dxa"/>
            <w:vAlign w:val="bottom"/>
            <w:tcBorders>
              <w:right w:val="single" w:sz="8" w:color="auto"/>
            </w:tcBorders>
          </w:tcPr>
          <w:p>
            <w:pPr>
              <w:spacing w:after="0"/>
              <w:rPr>
                <w:sz w:val="19"/>
                <w:szCs w:val="19"/>
                <w:color w:val="auto"/>
              </w:rPr>
            </w:pPr>
          </w:p>
        </w:tc>
      </w:tr>
      <w:tr>
        <w:trPr>
          <w:trHeight w:val="174"/>
        </w:trPr>
        <w:tc>
          <w:tcPr>
            <w:tcW w:w="7380" w:type="dxa"/>
            <w:vAlign w:val="bottom"/>
            <w:tcBorders>
              <w:left w:val="single" w:sz="8" w:color="auto"/>
            </w:tcBorders>
            <w:shd w:val="clear" w:color="auto" w:fill="DBDBDB"/>
          </w:tcPr>
          <w:p>
            <w:pPr>
              <w:ind w:left="240"/>
              <w:spacing w:after="0" w:line="174" w:lineRule="exact"/>
              <w:rPr>
                <w:sz w:val="20"/>
                <w:szCs w:val="20"/>
                <w:color w:val="auto"/>
              </w:rPr>
            </w:pPr>
            <w:r>
              <w:rPr>
                <w:rFonts w:ascii="Calibri" w:cs="Calibri" w:eastAsia="Calibri" w:hAnsi="Calibri"/>
                <w:sz w:val="18"/>
                <w:szCs w:val="18"/>
                <w:color w:val="auto"/>
              </w:rPr>
              <w:t>Deducton for amount reported under "Stock Awards" column in the Summary Compensaton</w:t>
            </w:r>
          </w:p>
        </w:tc>
        <w:tc>
          <w:tcPr>
            <w:tcW w:w="1600" w:type="dxa"/>
            <w:vAlign w:val="bottom"/>
            <w:tcBorders>
              <w:right w:val="single" w:sz="8" w:color="auto"/>
            </w:tcBorders>
            <w:shd w:val="clear" w:color="auto" w:fill="DBDBDB"/>
          </w:tcPr>
          <w:p>
            <w:pPr>
              <w:spacing w:after="0"/>
              <w:rPr>
                <w:sz w:val="15"/>
                <w:szCs w:val="15"/>
                <w:color w:val="auto"/>
              </w:rPr>
            </w:pPr>
          </w:p>
        </w:tc>
      </w:tr>
      <w:tr>
        <w:trPr>
          <w:trHeight w:val="232"/>
        </w:trPr>
        <w:tc>
          <w:tcPr>
            <w:tcW w:w="7380" w:type="dxa"/>
            <w:vAlign w:val="bottom"/>
            <w:tcBorders>
              <w:left w:val="single" w:sz="8" w:color="auto"/>
              <w:bottom w:val="single" w:sz="8" w:color="DBDBDB"/>
            </w:tcBorders>
            <w:shd w:val="clear" w:color="auto" w:fill="DBDBDB"/>
          </w:tcPr>
          <w:p>
            <w:pPr>
              <w:ind w:left="240"/>
              <w:spacing w:after="0" w:line="215" w:lineRule="exact"/>
              <w:rPr>
                <w:sz w:val="20"/>
                <w:szCs w:val="20"/>
                <w:color w:val="auto"/>
              </w:rPr>
            </w:pPr>
            <w:r>
              <w:rPr>
                <w:rFonts w:ascii="Calibri" w:cs="Calibri" w:eastAsia="Calibri" w:hAnsi="Calibri"/>
                <w:sz w:val="18"/>
                <w:szCs w:val="18"/>
                <w:color w:val="auto"/>
              </w:rPr>
              <w:t>Table</w:t>
            </w:r>
          </w:p>
        </w:tc>
        <w:tc>
          <w:tcPr>
            <w:tcW w:w="160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Calibri" w:cs="Calibri" w:eastAsia="Calibri" w:hAnsi="Calibri"/>
                <w:sz w:val="18"/>
                <w:szCs w:val="18"/>
                <w:color w:val="auto"/>
              </w:rPr>
              <w:t>(636,944)</w:t>
            </w:r>
          </w:p>
        </w:tc>
      </w:tr>
      <w:tr>
        <w:trPr>
          <w:trHeight w:val="167"/>
        </w:trPr>
        <w:tc>
          <w:tcPr>
            <w:tcW w:w="7380" w:type="dxa"/>
            <w:vAlign w:val="bottom"/>
            <w:tcBorders>
              <w:left w:val="single" w:sz="8" w:color="auto"/>
            </w:tcBorders>
          </w:tcPr>
          <w:p>
            <w:pPr>
              <w:ind w:left="240"/>
              <w:spacing w:after="0" w:line="166" w:lineRule="exact"/>
              <w:rPr>
                <w:sz w:val="20"/>
                <w:szCs w:val="20"/>
                <w:color w:val="auto"/>
              </w:rPr>
            </w:pPr>
            <w:r>
              <w:rPr>
                <w:rFonts w:ascii="Calibri" w:cs="Calibri" w:eastAsia="Calibri" w:hAnsi="Calibri"/>
                <w:sz w:val="18"/>
                <w:szCs w:val="18"/>
                <w:color w:val="auto"/>
              </w:rPr>
              <w:t>Increase for fair value as of end of fscal year of awards granted during the fscal year that remain</w:t>
            </w:r>
          </w:p>
        </w:tc>
        <w:tc>
          <w:tcPr>
            <w:tcW w:w="1600" w:type="dxa"/>
            <w:vAlign w:val="bottom"/>
            <w:tcBorders>
              <w:right w:val="single" w:sz="8" w:color="auto"/>
            </w:tcBorders>
          </w:tcPr>
          <w:p>
            <w:pPr>
              <w:spacing w:after="0"/>
              <w:rPr>
                <w:sz w:val="14"/>
                <w:szCs w:val="14"/>
                <w:color w:val="auto"/>
              </w:rPr>
            </w:pPr>
          </w:p>
        </w:tc>
      </w:tr>
      <w:tr>
        <w:trPr>
          <w:trHeight w:val="228"/>
        </w:trPr>
        <w:tc>
          <w:tcPr>
            <w:tcW w:w="7380" w:type="dxa"/>
            <w:vAlign w:val="bottom"/>
            <w:tcBorders>
              <w:left w:val="single" w:sz="8" w:color="auto"/>
            </w:tcBorders>
          </w:tcPr>
          <w:p>
            <w:pPr>
              <w:ind w:left="240"/>
              <w:spacing w:after="0" w:line="215" w:lineRule="exact"/>
              <w:rPr>
                <w:sz w:val="20"/>
                <w:szCs w:val="20"/>
                <w:color w:val="auto"/>
              </w:rPr>
            </w:pPr>
            <w:r>
              <w:rPr>
                <w:rFonts w:ascii="Calibri" w:cs="Calibri" w:eastAsia="Calibri" w:hAnsi="Calibri"/>
                <w:sz w:val="18"/>
                <w:szCs w:val="18"/>
                <w:color w:val="auto"/>
              </w:rPr>
              <w:t>unvested as of fscal year end</w:t>
            </w: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1,704,038</w:t>
            </w:r>
          </w:p>
        </w:tc>
      </w:tr>
      <w:tr>
        <w:trPr>
          <w:trHeight w:val="23"/>
        </w:trPr>
        <w:tc>
          <w:tcPr>
            <w:tcW w:w="7380" w:type="dxa"/>
            <w:vAlign w:val="bottom"/>
            <w:tcBorders>
              <w:left w:val="single" w:sz="8" w:color="auto"/>
            </w:tcBorders>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r>
      <w:tr>
        <w:trPr>
          <w:trHeight w:val="167"/>
        </w:trPr>
        <w:tc>
          <w:tcPr>
            <w:tcW w:w="7380" w:type="dxa"/>
            <w:vAlign w:val="bottom"/>
            <w:tcBorders>
              <w:left w:val="single" w:sz="8" w:color="auto"/>
            </w:tcBorders>
            <w:shd w:val="clear" w:color="auto" w:fill="DBDBDB"/>
          </w:tcPr>
          <w:p>
            <w:pPr>
              <w:ind w:left="240"/>
              <w:spacing w:after="0" w:line="166" w:lineRule="exact"/>
              <w:rPr>
                <w:sz w:val="20"/>
                <w:szCs w:val="20"/>
                <w:color w:val="auto"/>
              </w:rPr>
            </w:pPr>
            <w:r>
              <w:rPr>
                <w:rFonts w:ascii="Calibri" w:cs="Calibri" w:eastAsia="Calibri" w:hAnsi="Calibri"/>
                <w:sz w:val="18"/>
                <w:szCs w:val="18"/>
                <w:color w:val="auto"/>
              </w:rPr>
              <w:t>Increase for fair value as of the vestng date of awards granted during the fscal year that vested</w:t>
            </w:r>
          </w:p>
        </w:tc>
        <w:tc>
          <w:tcPr>
            <w:tcW w:w="1600" w:type="dxa"/>
            <w:vAlign w:val="bottom"/>
            <w:tcBorders>
              <w:right w:val="single" w:sz="8" w:color="auto"/>
            </w:tcBorders>
            <w:shd w:val="clear" w:color="auto" w:fill="DBDBDB"/>
          </w:tcPr>
          <w:p>
            <w:pPr>
              <w:spacing w:after="0"/>
              <w:rPr>
                <w:sz w:val="14"/>
                <w:szCs w:val="14"/>
                <w:color w:val="auto"/>
              </w:rPr>
            </w:pPr>
          </w:p>
        </w:tc>
      </w:tr>
      <w:tr>
        <w:trPr>
          <w:trHeight w:val="232"/>
        </w:trPr>
        <w:tc>
          <w:tcPr>
            <w:tcW w:w="7380" w:type="dxa"/>
            <w:vAlign w:val="bottom"/>
            <w:tcBorders>
              <w:left w:val="single" w:sz="8" w:color="auto"/>
              <w:bottom w:val="single" w:sz="8" w:color="DBDBDB"/>
            </w:tcBorders>
            <w:shd w:val="clear" w:color="auto" w:fill="DBDBDB"/>
          </w:tcPr>
          <w:p>
            <w:pPr>
              <w:ind w:left="240"/>
              <w:spacing w:after="0" w:line="215" w:lineRule="exact"/>
              <w:rPr>
                <w:sz w:val="20"/>
                <w:szCs w:val="20"/>
                <w:color w:val="auto"/>
              </w:rPr>
            </w:pPr>
            <w:r>
              <w:rPr>
                <w:rFonts w:ascii="Calibri" w:cs="Calibri" w:eastAsia="Calibri" w:hAnsi="Calibri"/>
                <w:sz w:val="18"/>
                <w:szCs w:val="18"/>
                <w:color w:val="auto"/>
              </w:rPr>
              <w:t>during fscal year</w:t>
            </w:r>
          </w:p>
        </w:tc>
        <w:tc>
          <w:tcPr>
            <w:tcW w:w="160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Calibri" w:cs="Calibri" w:eastAsia="Calibri" w:hAnsi="Calibri"/>
                <w:sz w:val="18"/>
                <w:szCs w:val="18"/>
                <w:color w:val="auto"/>
              </w:rPr>
              <w:t>—</w:t>
            </w:r>
          </w:p>
        </w:tc>
      </w:tr>
      <w:tr>
        <w:trPr>
          <w:trHeight w:val="167"/>
        </w:trPr>
        <w:tc>
          <w:tcPr>
            <w:tcW w:w="7380" w:type="dxa"/>
            <w:vAlign w:val="bottom"/>
            <w:tcBorders>
              <w:left w:val="single" w:sz="8" w:color="auto"/>
            </w:tcBorders>
          </w:tcPr>
          <w:p>
            <w:pPr>
              <w:ind w:left="240"/>
              <w:spacing w:after="0" w:line="166" w:lineRule="exact"/>
              <w:rPr>
                <w:sz w:val="20"/>
                <w:szCs w:val="20"/>
                <w:color w:val="auto"/>
              </w:rPr>
            </w:pPr>
            <w:r>
              <w:rPr>
                <w:rFonts w:ascii="Calibri" w:cs="Calibri" w:eastAsia="Calibri" w:hAnsi="Calibri"/>
                <w:sz w:val="18"/>
                <w:szCs w:val="18"/>
                <w:color w:val="auto"/>
              </w:rPr>
              <w:t>Increase (deducton) for diference in fair value from prior fscal year end to current fscal year end</w:t>
            </w:r>
          </w:p>
        </w:tc>
        <w:tc>
          <w:tcPr>
            <w:tcW w:w="1600" w:type="dxa"/>
            <w:vAlign w:val="bottom"/>
            <w:tcBorders>
              <w:right w:val="single" w:sz="8" w:color="auto"/>
            </w:tcBorders>
          </w:tcPr>
          <w:p>
            <w:pPr>
              <w:spacing w:after="0"/>
              <w:rPr>
                <w:sz w:val="14"/>
                <w:szCs w:val="14"/>
                <w:color w:val="auto"/>
              </w:rPr>
            </w:pPr>
          </w:p>
        </w:tc>
      </w:tr>
      <w:tr>
        <w:trPr>
          <w:trHeight w:val="228"/>
        </w:trPr>
        <w:tc>
          <w:tcPr>
            <w:tcW w:w="7380" w:type="dxa"/>
            <w:vAlign w:val="bottom"/>
            <w:tcBorders>
              <w:left w:val="single" w:sz="8" w:color="auto"/>
            </w:tcBorders>
          </w:tcPr>
          <w:p>
            <w:pPr>
              <w:ind w:left="240"/>
              <w:spacing w:after="0" w:line="215" w:lineRule="exact"/>
              <w:rPr>
                <w:sz w:val="20"/>
                <w:szCs w:val="20"/>
                <w:color w:val="auto"/>
              </w:rPr>
            </w:pPr>
            <w:r>
              <w:rPr>
                <w:rFonts w:ascii="Calibri" w:cs="Calibri" w:eastAsia="Calibri" w:hAnsi="Calibri"/>
                <w:sz w:val="18"/>
                <w:szCs w:val="18"/>
                <w:color w:val="auto"/>
              </w:rPr>
              <w:t>of awards granted prior to fscal year that were outstanding and unvested as of year end</w:t>
            </w: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1,443,007</w:t>
            </w:r>
          </w:p>
        </w:tc>
      </w:tr>
      <w:tr>
        <w:trPr>
          <w:trHeight w:val="23"/>
        </w:trPr>
        <w:tc>
          <w:tcPr>
            <w:tcW w:w="7380" w:type="dxa"/>
            <w:vAlign w:val="bottom"/>
            <w:tcBorders>
              <w:left w:val="single" w:sz="8" w:color="auto"/>
            </w:tcBorders>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r>
      <w:tr>
        <w:trPr>
          <w:trHeight w:val="167"/>
        </w:trPr>
        <w:tc>
          <w:tcPr>
            <w:tcW w:w="7380" w:type="dxa"/>
            <w:vAlign w:val="bottom"/>
            <w:tcBorders>
              <w:left w:val="single" w:sz="8" w:color="auto"/>
            </w:tcBorders>
            <w:shd w:val="clear" w:color="auto" w:fill="DBDBDB"/>
          </w:tcPr>
          <w:p>
            <w:pPr>
              <w:ind w:left="240"/>
              <w:spacing w:after="0" w:line="166" w:lineRule="exact"/>
              <w:rPr>
                <w:sz w:val="20"/>
                <w:szCs w:val="20"/>
                <w:color w:val="auto"/>
              </w:rPr>
            </w:pPr>
            <w:r>
              <w:rPr>
                <w:rFonts w:ascii="Calibri" w:cs="Calibri" w:eastAsia="Calibri" w:hAnsi="Calibri"/>
                <w:sz w:val="18"/>
                <w:szCs w:val="18"/>
                <w:color w:val="auto"/>
              </w:rPr>
              <w:t>Increase (deducton) for diference in fair value from prior fscal year end to vestng date of</w:t>
            </w:r>
          </w:p>
        </w:tc>
        <w:tc>
          <w:tcPr>
            <w:tcW w:w="1600" w:type="dxa"/>
            <w:vAlign w:val="bottom"/>
            <w:tcBorders>
              <w:right w:val="single" w:sz="8" w:color="auto"/>
            </w:tcBorders>
            <w:shd w:val="clear" w:color="auto" w:fill="DBDBDB"/>
          </w:tcPr>
          <w:p>
            <w:pPr>
              <w:spacing w:after="0"/>
              <w:rPr>
                <w:sz w:val="14"/>
                <w:szCs w:val="14"/>
                <w:color w:val="auto"/>
              </w:rPr>
            </w:pPr>
          </w:p>
        </w:tc>
      </w:tr>
      <w:tr>
        <w:trPr>
          <w:trHeight w:val="232"/>
        </w:trPr>
        <w:tc>
          <w:tcPr>
            <w:tcW w:w="7380" w:type="dxa"/>
            <w:vAlign w:val="bottom"/>
            <w:tcBorders>
              <w:left w:val="single" w:sz="8" w:color="auto"/>
              <w:bottom w:val="single" w:sz="8" w:color="DBDBDB"/>
            </w:tcBorders>
            <w:shd w:val="clear" w:color="auto" w:fill="DBDBDB"/>
          </w:tcPr>
          <w:p>
            <w:pPr>
              <w:ind w:left="240"/>
              <w:spacing w:after="0" w:line="215" w:lineRule="exact"/>
              <w:rPr>
                <w:sz w:val="20"/>
                <w:szCs w:val="20"/>
                <w:color w:val="auto"/>
              </w:rPr>
            </w:pPr>
            <w:r>
              <w:rPr>
                <w:rFonts w:ascii="Calibri" w:cs="Calibri" w:eastAsia="Calibri" w:hAnsi="Calibri"/>
                <w:sz w:val="18"/>
                <w:szCs w:val="18"/>
                <w:color w:val="auto"/>
              </w:rPr>
              <w:t>awards granted prior to current fscal year that vested during the year</w:t>
            </w:r>
          </w:p>
        </w:tc>
        <w:tc>
          <w:tcPr>
            <w:tcW w:w="160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Calibri" w:cs="Calibri" w:eastAsia="Calibri" w:hAnsi="Calibri"/>
                <w:sz w:val="18"/>
                <w:szCs w:val="18"/>
                <w:color w:val="auto"/>
              </w:rPr>
              <w:t>14,048</w:t>
            </w:r>
          </w:p>
        </w:tc>
      </w:tr>
      <w:tr>
        <w:trPr>
          <w:trHeight w:val="167"/>
        </w:trPr>
        <w:tc>
          <w:tcPr>
            <w:tcW w:w="7380" w:type="dxa"/>
            <w:vAlign w:val="bottom"/>
            <w:tcBorders>
              <w:left w:val="single" w:sz="8" w:color="auto"/>
            </w:tcBorders>
          </w:tcPr>
          <w:p>
            <w:pPr>
              <w:ind w:left="240"/>
              <w:spacing w:after="0" w:line="166" w:lineRule="exact"/>
              <w:rPr>
                <w:sz w:val="20"/>
                <w:szCs w:val="20"/>
                <w:color w:val="auto"/>
              </w:rPr>
            </w:pPr>
            <w:r>
              <w:rPr>
                <w:rFonts w:ascii="Calibri" w:cs="Calibri" w:eastAsia="Calibri" w:hAnsi="Calibri"/>
                <w:sz w:val="18"/>
                <w:szCs w:val="18"/>
                <w:color w:val="auto"/>
              </w:rPr>
              <w:t>Deducton for prior fscal year end fair value of awards granted prior to current fscal year that</w:t>
            </w:r>
          </w:p>
        </w:tc>
        <w:tc>
          <w:tcPr>
            <w:tcW w:w="1600" w:type="dxa"/>
            <w:vAlign w:val="bottom"/>
            <w:tcBorders>
              <w:right w:val="single" w:sz="8" w:color="auto"/>
            </w:tcBorders>
          </w:tcPr>
          <w:p>
            <w:pPr>
              <w:spacing w:after="0"/>
              <w:rPr>
                <w:sz w:val="14"/>
                <w:szCs w:val="14"/>
                <w:color w:val="auto"/>
              </w:rPr>
            </w:pPr>
          </w:p>
        </w:tc>
      </w:tr>
      <w:tr>
        <w:trPr>
          <w:trHeight w:val="228"/>
        </w:trPr>
        <w:tc>
          <w:tcPr>
            <w:tcW w:w="7380" w:type="dxa"/>
            <w:vAlign w:val="bottom"/>
            <w:tcBorders>
              <w:left w:val="single" w:sz="8" w:color="auto"/>
            </w:tcBorders>
          </w:tcPr>
          <w:p>
            <w:pPr>
              <w:ind w:left="240"/>
              <w:spacing w:after="0" w:line="215" w:lineRule="exact"/>
              <w:rPr>
                <w:sz w:val="20"/>
                <w:szCs w:val="20"/>
                <w:color w:val="auto"/>
              </w:rPr>
            </w:pPr>
            <w:r>
              <w:rPr>
                <w:rFonts w:ascii="Calibri" w:cs="Calibri" w:eastAsia="Calibri" w:hAnsi="Calibri"/>
                <w:sz w:val="18"/>
                <w:szCs w:val="18"/>
                <w:color w:val="auto"/>
              </w:rPr>
              <w:t>were forfeited during the year</w:t>
            </w:r>
          </w:p>
        </w:tc>
        <w:tc>
          <w:tcPr>
            <w:tcW w:w="160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w:t>
            </w:r>
          </w:p>
        </w:tc>
      </w:tr>
      <w:tr>
        <w:trPr>
          <w:trHeight w:val="23"/>
        </w:trPr>
        <w:tc>
          <w:tcPr>
            <w:tcW w:w="7380" w:type="dxa"/>
            <w:vAlign w:val="bottom"/>
            <w:tcBorders>
              <w:left w:val="single" w:sz="8" w:color="auto"/>
            </w:tcBorders>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r>
      <w:tr>
        <w:trPr>
          <w:trHeight w:val="242"/>
        </w:trPr>
        <w:tc>
          <w:tcPr>
            <w:tcW w:w="7380" w:type="dxa"/>
            <w:vAlign w:val="bottom"/>
            <w:tcBorders>
              <w:left w:val="single" w:sz="8" w:color="auto"/>
              <w:bottom w:val="single" w:sz="8" w:color="DBDBDB"/>
            </w:tcBorders>
            <w:shd w:val="clear" w:color="auto" w:fill="DBDBDB"/>
          </w:tcPr>
          <w:p>
            <w:pPr>
              <w:ind w:left="240"/>
              <w:spacing w:after="0" w:line="215" w:lineRule="exact"/>
              <w:rPr>
                <w:sz w:val="20"/>
                <w:szCs w:val="20"/>
                <w:color w:val="auto"/>
              </w:rPr>
            </w:pPr>
            <w:r>
              <w:rPr>
                <w:rFonts w:ascii="Calibri" w:cs="Calibri" w:eastAsia="Calibri" w:hAnsi="Calibri"/>
                <w:sz w:val="18"/>
                <w:szCs w:val="18"/>
                <w:color w:val="auto"/>
              </w:rPr>
              <w:t>Increase for dividends or other earnings paid during the fscal year prior to vestng date of award</w:t>
            </w:r>
          </w:p>
        </w:tc>
        <w:tc>
          <w:tcPr>
            <w:tcW w:w="1600" w:type="dxa"/>
            <w:vAlign w:val="bottom"/>
            <w:tcBorders>
              <w:bottom w:val="single" w:sz="8" w:color="auto"/>
              <w:right w:val="single" w:sz="8" w:color="auto"/>
            </w:tcBorders>
            <w:shd w:val="clear" w:color="auto" w:fill="DBDBDB"/>
          </w:tcPr>
          <w:p>
            <w:pPr>
              <w:jc w:val="right"/>
              <w:spacing w:after="0" w:line="215" w:lineRule="exact"/>
              <w:rPr>
                <w:sz w:val="20"/>
                <w:szCs w:val="20"/>
                <w:color w:val="auto"/>
              </w:rPr>
            </w:pPr>
            <w:r>
              <w:rPr>
                <w:rFonts w:ascii="Calibri" w:cs="Calibri" w:eastAsia="Calibri" w:hAnsi="Calibri"/>
                <w:sz w:val="18"/>
                <w:szCs w:val="18"/>
                <w:color w:val="auto"/>
              </w:rPr>
              <w:t>27,532</w:t>
            </w:r>
          </w:p>
        </w:tc>
      </w:tr>
      <w:tr>
        <w:trPr>
          <w:trHeight w:val="204"/>
        </w:trPr>
        <w:tc>
          <w:tcPr>
            <w:tcW w:w="7380" w:type="dxa"/>
            <w:vAlign w:val="bottom"/>
            <w:tcBorders>
              <w:left w:val="single" w:sz="8" w:color="auto"/>
              <w:bottom w:val="single" w:sz="8" w:color="auto"/>
            </w:tcBorders>
          </w:tcPr>
          <w:p>
            <w:pPr>
              <w:ind w:left="20"/>
              <w:spacing w:after="0" w:line="195" w:lineRule="exact"/>
              <w:rPr>
                <w:sz w:val="20"/>
                <w:szCs w:val="20"/>
                <w:color w:val="auto"/>
              </w:rPr>
            </w:pPr>
            <w:r>
              <w:rPr>
                <w:rFonts w:ascii="Calibri" w:cs="Calibri" w:eastAsia="Calibri" w:hAnsi="Calibri"/>
                <w:sz w:val="18"/>
                <w:szCs w:val="18"/>
                <w:b w:val="1"/>
                <w:bCs w:val="1"/>
                <w:color w:val="auto"/>
              </w:rPr>
              <w:t>Compensaton Actually Paid to PEO</w:t>
            </w:r>
          </w:p>
        </w:tc>
        <w:tc>
          <w:tcPr>
            <w:tcW w:w="1600" w:type="dxa"/>
            <w:vAlign w:val="bottom"/>
            <w:tcBorders>
              <w:bottom w:val="single" w:sz="8" w:color="auto"/>
              <w:right w:val="single" w:sz="8" w:color="auto"/>
            </w:tcBorders>
          </w:tcPr>
          <w:p>
            <w:pPr>
              <w:jc w:val="right"/>
              <w:ind w:right="310"/>
              <w:spacing w:after="0" w:line="203" w:lineRule="exact"/>
              <w:rPr>
                <w:sz w:val="20"/>
                <w:szCs w:val="20"/>
                <w:color w:val="auto"/>
              </w:rPr>
            </w:pPr>
            <w:r>
              <w:rPr>
                <w:rFonts w:ascii="Calibri" w:cs="Calibri" w:eastAsia="Calibri" w:hAnsi="Calibri"/>
                <w:sz w:val="18"/>
                <w:szCs w:val="18"/>
                <w:b w:val="1"/>
                <w:bCs w:val="1"/>
                <w:color w:val="auto"/>
              </w:rPr>
              <w:t>$5,167,694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68" w:right="319" w:bottom="1440" w:gutter="0" w:footer="0" w:header="0"/>
        </w:sectPr>
      </w:pPr>
    </w:p>
    <w:bookmarkStart w:id="33" w:name="page34"/>
    <w:bookmarkEnd w:id="33"/>
    <w:p>
      <w:pPr>
        <w:ind w:left="412" w:right="20" w:hanging="412"/>
        <w:spacing w:after="0" w:line="235" w:lineRule="auto"/>
        <w:tabs>
          <w:tab w:leader="none" w:pos="405"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 individuals that were non-PEO named executve ofcers ("NEOs") during each applicable year are Messrs. Oldenkamp, Grahek, Erstad and Lange for fscal 2024, Messrs. Oldenkamp, Grahek, Erstad and Mangine (Vice President, Industrial) for fscal 2023, and Messrs. Oldenkamp, Grahek and Erstad and Ms. Rozeboom (Vice President, Health and Nutriton) for fscal 2022 and 2021. The average summary compensaton table totals for non-PEO NEOs are adjusted to arrive at the average compensaton actually paid to the non-PEO NEOs each year using the same methodology as described for the PEO and as indicated in the table below. None of our NEOs partcipate in a pension plan; therefore, no adjustment from the summary compensaton table total related to pension value was made. The fair value of equity awards was computed in accordance with the Company's methodology used for fnancial reportng purposes.</w:t>
      </w:r>
    </w:p>
    <w:p>
      <w:pPr>
        <w:spacing w:after="0" w:line="35" w:lineRule="exact"/>
        <w:rPr>
          <w:sz w:val="20"/>
          <w:szCs w:val="20"/>
          <w:color w:val="auto"/>
        </w:rPr>
      </w:pPr>
    </w:p>
    <w:tbl>
      <w:tblPr>
        <w:tblLayout w:type="fixed"/>
        <w:tblInd w:w="422" w:type="dxa"/>
        <w:tblCellMar>
          <w:top w:w="0" w:type="dxa"/>
          <w:left w:w="0" w:type="dxa"/>
          <w:bottom w:w="0" w:type="dxa"/>
          <w:right w:w="0" w:type="dxa"/>
        </w:tblCellMar>
      </w:tblPr>
      <w:tr>
        <w:trPr>
          <w:trHeight w:val="236"/>
        </w:trPr>
        <w:tc>
          <w:tcPr>
            <w:tcW w:w="7740" w:type="dxa"/>
            <w:vAlign w:val="bottom"/>
            <w:tcBorders>
              <w:top w:val="single" w:sz="8" w:color="auto"/>
              <w:left w:val="single" w:sz="8" w:color="auto"/>
              <w:bottom w:val="single" w:sz="8" w:color="DBDBDB"/>
            </w:tcBorders>
          </w:tcPr>
          <w:p>
            <w:pPr>
              <w:spacing w:after="0"/>
              <w:rPr>
                <w:sz w:val="20"/>
                <w:szCs w:val="20"/>
                <w:color w:val="auto"/>
              </w:rPr>
            </w:pPr>
          </w:p>
        </w:tc>
        <w:tc>
          <w:tcPr>
            <w:tcW w:w="1200" w:type="dxa"/>
            <w:vAlign w:val="bottom"/>
            <w:tcBorders>
              <w:top w:val="single" w:sz="8" w:color="auto"/>
              <w:bottom w:val="single" w:sz="8" w:color="auto"/>
              <w:right w:val="single" w:sz="8" w:color="auto"/>
            </w:tcBorders>
          </w:tcPr>
          <w:p>
            <w:pPr>
              <w:jc w:val="right"/>
              <w:ind w:right="110"/>
              <w:spacing w:after="0"/>
              <w:rPr>
                <w:sz w:val="20"/>
                <w:szCs w:val="20"/>
                <w:color w:val="auto"/>
              </w:rPr>
            </w:pPr>
            <w:r>
              <w:rPr>
                <w:rFonts w:ascii="Calibri" w:cs="Calibri" w:eastAsia="Calibri" w:hAnsi="Calibri"/>
                <w:sz w:val="18"/>
                <w:szCs w:val="18"/>
                <w:b w:val="1"/>
                <w:bCs w:val="1"/>
                <w:color w:val="auto"/>
              </w:rPr>
              <w:t>Fiscal 2024</w:t>
            </w:r>
          </w:p>
        </w:tc>
      </w:tr>
      <w:tr>
        <w:trPr>
          <w:trHeight w:val="230"/>
        </w:trPr>
        <w:tc>
          <w:tcPr>
            <w:tcW w:w="7740" w:type="dxa"/>
            <w:vAlign w:val="bottom"/>
            <w:tcBorders>
              <w:left w:val="single" w:sz="8" w:color="auto"/>
            </w:tcBorders>
            <w:shd w:val="clear" w:color="auto" w:fill="DBDBDB"/>
          </w:tcPr>
          <w:p>
            <w:pPr>
              <w:ind w:left="20"/>
              <w:spacing w:after="0" w:line="206" w:lineRule="exact"/>
              <w:rPr>
                <w:sz w:val="20"/>
                <w:szCs w:val="20"/>
                <w:color w:val="auto"/>
              </w:rPr>
            </w:pPr>
            <w:r>
              <w:rPr>
                <w:rFonts w:ascii="Calibri" w:cs="Calibri" w:eastAsia="Calibri" w:hAnsi="Calibri"/>
                <w:sz w:val="18"/>
                <w:szCs w:val="18"/>
                <w:b w:val="1"/>
                <w:bCs w:val="1"/>
                <w:color w:val="auto"/>
              </w:rPr>
              <w:t>Average Summary Compensaton Table total for non-PEO NEOs</w:t>
            </w:r>
          </w:p>
        </w:tc>
        <w:tc>
          <w:tcPr>
            <w:tcW w:w="1200" w:type="dxa"/>
            <w:vAlign w:val="bottom"/>
            <w:tcBorders>
              <w:right w:val="single" w:sz="8" w:color="auto"/>
            </w:tcBorders>
            <w:shd w:val="clear" w:color="auto" w:fill="DBDBDB"/>
          </w:tcPr>
          <w:p>
            <w:pPr>
              <w:jc w:val="right"/>
              <w:ind w:right="110"/>
              <w:spacing w:after="0" w:line="215" w:lineRule="exact"/>
              <w:rPr>
                <w:sz w:val="20"/>
                <w:szCs w:val="20"/>
                <w:color w:val="auto"/>
              </w:rPr>
            </w:pPr>
            <w:r>
              <w:rPr>
                <w:rFonts w:ascii="Calibri" w:cs="Calibri" w:eastAsia="Calibri" w:hAnsi="Calibri"/>
                <w:sz w:val="18"/>
                <w:szCs w:val="18"/>
                <w:b w:val="1"/>
                <w:bCs w:val="1"/>
                <w:color w:val="auto"/>
              </w:rPr>
              <w:t>$1,060,229</w:t>
            </w:r>
          </w:p>
        </w:tc>
      </w:tr>
      <w:tr>
        <w:trPr>
          <w:trHeight w:val="222"/>
        </w:trPr>
        <w:tc>
          <w:tcPr>
            <w:tcW w:w="7740" w:type="dxa"/>
            <w:vAlign w:val="bottom"/>
            <w:tcBorders>
              <w:left w:val="single" w:sz="8" w:color="auto"/>
            </w:tcBorders>
          </w:tcPr>
          <w:p>
            <w:pPr>
              <w:ind w:left="20"/>
              <w:spacing w:after="0" w:line="215" w:lineRule="exact"/>
              <w:rPr>
                <w:sz w:val="20"/>
                <w:szCs w:val="20"/>
                <w:color w:val="auto"/>
              </w:rPr>
            </w:pPr>
            <w:r>
              <w:rPr>
                <w:rFonts w:ascii="Calibri" w:cs="Calibri" w:eastAsia="Calibri" w:hAnsi="Calibri"/>
                <w:sz w:val="18"/>
                <w:szCs w:val="18"/>
                <w:b w:val="1"/>
                <w:bCs w:val="1"/>
                <w:color w:val="auto"/>
              </w:rPr>
              <w:t>Adjustments to Determine Compensaton Actually Paid for non-PEO NEOs:</w:t>
            </w:r>
          </w:p>
        </w:tc>
        <w:tc>
          <w:tcPr>
            <w:tcW w:w="1200" w:type="dxa"/>
            <w:vAlign w:val="bottom"/>
            <w:tcBorders>
              <w:right w:val="single" w:sz="8" w:color="auto"/>
            </w:tcBorders>
          </w:tcPr>
          <w:p>
            <w:pPr>
              <w:spacing w:after="0"/>
              <w:rPr>
                <w:sz w:val="19"/>
                <w:szCs w:val="19"/>
                <w:color w:val="auto"/>
              </w:rPr>
            </w:pPr>
          </w:p>
        </w:tc>
      </w:tr>
      <w:tr>
        <w:trPr>
          <w:trHeight w:val="237"/>
        </w:trPr>
        <w:tc>
          <w:tcPr>
            <w:tcW w:w="7740" w:type="dxa"/>
            <w:vAlign w:val="bottom"/>
            <w:tcBorders>
              <w:left w:val="single" w:sz="8" w:color="auto"/>
            </w:tcBorders>
            <w:shd w:val="clear" w:color="auto" w:fill="DBDBDB"/>
          </w:tcPr>
          <w:p>
            <w:pPr>
              <w:ind w:left="240"/>
              <w:spacing w:after="0"/>
              <w:rPr>
                <w:sz w:val="20"/>
                <w:szCs w:val="20"/>
                <w:color w:val="auto"/>
              </w:rPr>
            </w:pPr>
            <w:r>
              <w:rPr>
                <w:rFonts w:ascii="Calibri" w:cs="Calibri" w:eastAsia="Calibri" w:hAnsi="Calibri"/>
                <w:sz w:val="18"/>
                <w:szCs w:val="18"/>
                <w:color w:val="auto"/>
              </w:rPr>
              <w:t>Deducton for amounts reported under "Stock Awards" column in the Summary Compensaton Table</w:t>
            </w:r>
          </w:p>
        </w:tc>
        <w:tc>
          <w:tcPr>
            <w:tcW w:w="1200" w:type="dxa"/>
            <w:vAlign w:val="bottom"/>
            <w:tcBorders>
              <w:right w:val="single" w:sz="8" w:color="auto"/>
            </w:tcBorders>
            <w:shd w:val="clear" w:color="auto" w:fill="DBDBDB"/>
          </w:tcPr>
          <w:p>
            <w:pPr>
              <w:jc w:val="right"/>
              <w:spacing w:after="0"/>
              <w:rPr>
                <w:sz w:val="20"/>
                <w:szCs w:val="20"/>
                <w:color w:val="auto"/>
              </w:rPr>
            </w:pPr>
            <w:r>
              <w:rPr>
                <w:rFonts w:ascii="Calibri" w:cs="Calibri" w:eastAsia="Calibri" w:hAnsi="Calibri"/>
                <w:sz w:val="18"/>
                <w:szCs w:val="18"/>
                <w:color w:val="auto"/>
              </w:rPr>
              <w:t>(248,230)</w:t>
            </w:r>
          </w:p>
        </w:tc>
      </w:tr>
      <w:tr>
        <w:trPr>
          <w:trHeight w:val="167"/>
        </w:trPr>
        <w:tc>
          <w:tcPr>
            <w:tcW w:w="7740" w:type="dxa"/>
            <w:vAlign w:val="bottom"/>
            <w:tcBorders>
              <w:left w:val="single" w:sz="8" w:color="auto"/>
            </w:tcBorders>
          </w:tcPr>
          <w:p>
            <w:pPr>
              <w:ind w:left="240"/>
              <w:spacing w:after="0" w:line="166" w:lineRule="exact"/>
              <w:rPr>
                <w:sz w:val="20"/>
                <w:szCs w:val="20"/>
                <w:color w:val="auto"/>
              </w:rPr>
            </w:pPr>
            <w:r>
              <w:rPr>
                <w:rFonts w:ascii="Calibri" w:cs="Calibri" w:eastAsia="Calibri" w:hAnsi="Calibri"/>
                <w:sz w:val="18"/>
                <w:szCs w:val="18"/>
                <w:color w:val="auto"/>
              </w:rPr>
              <w:t>Increase for fair value as of end of fscal year of awards granted during the fscal year that remain</w:t>
            </w:r>
          </w:p>
        </w:tc>
        <w:tc>
          <w:tcPr>
            <w:tcW w:w="1200" w:type="dxa"/>
            <w:vAlign w:val="bottom"/>
            <w:tcBorders>
              <w:right w:val="single" w:sz="8" w:color="auto"/>
            </w:tcBorders>
          </w:tcPr>
          <w:p>
            <w:pPr>
              <w:spacing w:after="0"/>
              <w:rPr>
                <w:sz w:val="14"/>
                <w:szCs w:val="14"/>
                <w:color w:val="auto"/>
              </w:rPr>
            </w:pPr>
          </w:p>
        </w:tc>
      </w:tr>
      <w:tr>
        <w:trPr>
          <w:trHeight w:val="228"/>
        </w:trPr>
        <w:tc>
          <w:tcPr>
            <w:tcW w:w="7740" w:type="dxa"/>
            <w:vAlign w:val="bottom"/>
            <w:tcBorders>
              <w:left w:val="single" w:sz="8" w:color="auto"/>
            </w:tcBorders>
          </w:tcPr>
          <w:p>
            <w:pPr>
              <w:ind w:left="240"/>
              <w:spacing w:after="0" w:line="215" w:lineRule="exact"/>
              <w:rPr>
                <w:sz w:val="20"/>
                <w:szCs w:val="20"/>
                <w:color w:val="auto"/>
              </w:rPr>
            </w:pPr>
            <w:r>
              <w:rPr>
                <w:rFonts w:ascii="Calibri" w:cs="Calibri" w:eastAsia="Calibri" w:hAnsi="Calibri"/>
                <w:sz w:val="18"/>
                <w:szCs w:val="18"/>
                <w:color w:val="auto"/>
              </w:rPr>
              <w:t>unvested as of fscal year end</w:t>
            </w:r>
          </w:p>
        </w:tc>
        <w:tc>
          <w:tcPr>
            <w:tcW w:w="120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664,071</w:t>
            </w:r>
          </w:p>
        </w:tc>
      </w:tr>
      <w:tr>
        <w:trPr>
          <w:trHeight w:val="23"/>
        </w:trPr>
        <w:tc>
          <w:tcPr>
            <w:tcW w:w="7740" w:type="dxa"/>
            <w:vAlign w:val="bottom"/>
            <w:tcBorders>
              <w:left w:val="single" w:sz="8" w:color="auto"/>
            </w:tcBorders>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r>
      <w:tr>
        <w:trPr>
          <w:trHeight w:val="167"/>
        </w:trPr>
        <w:tc>
          <w:tcPr>
            <w:tcW w:w="7740" w:type="dxa"/>
            <w:vAlign w:val="bottom"/>
            <w:tcBorders>
              <w:left w:val="single" w:sz="8" w:color="auto"/>
            </w:tcBorders>
            <w:shd w:val="clear" w:color="auto" w:fill="DBDBDB"/>
          </w:tcPr>
          <w:p>
            <w:pPr>
              <w:ind w:left="240"/>
              <w:spacing w:after="0" w:line="166" w:lineRule="exact"/>
              <w:rPr>
                <w:sz w:val="20"/>
                <w:szCs w:val="20"/>
                <w:color w:val="auto"/>
              </w:rPr>
            </w:pPr>
            <w:r>
              <w:rPr>
                <w:rFonts w:ascii="Calibri" w:cs="Calibri" w:eastAsia="Calibri" w:hAnsi="Calibri"/>
                <w:sz w:val="18"/>
                <w:szCs w:val="18"/>
                <w:color w:val="auto"/>
              </w:rPr>
              <w:t>Increase for fair value as of the vestng date of awards granted during fscal year that vested during</w:t>
            </w:r>
          </w:p>
        </w:tc>
        <w:tc>
          <w:tcPr>
            <w:tcW w:w="1200" w:type="dxa"/>
            <w:vAlign w:val="bottom"/>
            <w:tcBorders>
              <w:right w:val="single" w:sz="8" w:color="auto"/>
            </w:tcBorders>
            <w:shd w:val="clear" w:color="auto" w:fill="DBDBDB"/>
          </w:tcPr>
          <w:p>
            <w:pPr>
              <w:spacing w:after="0"/>
              <w:rPr>
                <w:sz w:val="14"/>
                <w:szCs w:val="14"/>
                <w:color w:val="auto"/>
              </w:rPr>
            </w:pPr>
          </w:p>
        </w:tc>
      </w:tr>
      <w:tr>
        <w:trPr>
          <w:trHeight w:val="232"/>
        </w:trPr>
        <w:tc>
          <w:tcPr>
            <w:tcW w:w="7740" w:type="dxa"/>
            <w:vAlign w:val="bottom"/>
            <w:tcBorders>
              <w:left w:val="single" w:sz="8" w:color="auto"/>
              <w:bottom w:val="single" w:sz="8" w:color="DBDBDB"/>
            </w:tcBorders>
            <w:shd w:val="clear" w:color="auto" w:fill="DBDBDB"/>
          </w:tcPr>
          <w:p>
            <w:pPr>
              <w:ind w:left="240"/>
              <w:spacing w:after="0" w:line="215" w:lineRule="exact"/>
              <w:rPr>
                <w:sz w:val="20"/>
                <w:szCs w:val="20"/>
                <w:color w:val="auto"/>
              </w:rPr>
            </w:pPr>
            <w:r>
              <w:rPr>
                <w:rFonts w:ascii="Calibri" w:cs="Calibri" w:eastAsia="Calibri" w:hAnsi="Calibri"/>
                <w:sz w:val="18"/>
                <w:szCs w:val="18"/>
                <w:color w:val="auto"/>
              </w:rPr>
              <w:t>fscal year</w:t>
            </w:r>
          </w:p>
        </w:tc>
        <w:tc>
          <w:tcPr>
            <w:tcW w:w="120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Calibri" w:cs="Calibri" w:eastAsia="Calibri" w:hAnsi="Calibri"/>
                <w:sz w:val="18"/>
                <w:szCs w:val="18"/>
                <w:color w:val="auto"/>
              </w:rPr>
              <w:t>—</w:t>
            </w:r>
          </w:p>
        </w:tc>
      </w:tr>
      <w:tr>
        <w:trPr>
          <w:trHeight w:val="167"/>
        </w:trPr>
        <w:tc>
          <w:tcPr>
            <w:tcW w:w="7740" w:type="dxa"/>
            <w:vAlign w:val="bottom"/>
            <w:tcBorders>
              <w:left w:val="single" w:sz="8" w:color="auto"/>
            </w:tcBorders>
          </w:tcPr>
          <w:p>
            <w:pPr>
              <w:ind w:left="240"/>
              <w:spacing w:after="0" w:line="166" w:lineRule="exact"/>
              <w:rPr>
                <w:sz w:val="20"/>
                <w:szCs w:val="20"/>
                <w:color w:val="auto"/>
              </w:rPr>
            </w:pPr>
            <w:r>
              <w:rPr>
                <w:rFonts w:ascii="Calibri" w:cs="Calibri" w:eastAsia="Calibri" w:hAnsi="Calibri"/>
                <w:sz w:val="18"/>
                <w:szCs w:val="18"/>
                <w:color w:val="auto"/>
              </w:rPr>
              <w:t>Increase (deducton) for diference in fair value from prior fscal year end to current fscal year end of</w:t>
            </w:r>
          </w:p>
        </w:tc>
        <w:tc>
          <w:tcPr>
            <w:tcW w:w="1200" w:type="dxa"/>
            <w:vAlign w:val="bottom"/>
            <w:tcBorders>
              <w:right w:val="single" w:sz="8" w:color="auto"/>
            </w:tcBorders>
          </w:tcPr>
          <w:p>
            <w:pPr>
              <w:spacing w:after="0"/>
              <w:rPr>
                <w:sz w:val="14"/>
                <w:szCs w:val="14"/>
                <w:color w:val="auto"/>
              </w:rPr>
            </w:pPr>
          </w:p>
        </w:tc>
      </w:tr>
      <w:tr>
        <w:trPr>
          <w:trHeight w:val="228"/>
        </w:trPr>
        <w:tc>
          <w:tcPr>
            <w:tcW w:w="7740" w:type="dxa"/>
            <w:vAlign w:val="bottom"/>
            <w:tcBorders>
              <w:left w:val="single" w:sz="8" w:color="auto"/>
            </w:tcBorders>
          </w:tcPr>
          <w:p>
            <w:pPr>
              <w:ind w:left="240"/>
              <w:spacing w:after="0" w:line="215" w:lineRule="exact"/>
              <w:rPr>
                <w:sz w:val="20"/>
                <w:szCs w:val="20"/>
                <w:color w:val="auto"/>
              </w:rPr>
            </w:pPr>
            <w:r>
              <w:rPr>
                <w:rFonts w:ascii="Calibri" w:cs="Calibri" w:eastAsia="Calibri" w:hAnsi="Calibri"/>
                <w:sz w:val="18"/>
                <w:szCs w:val="18"/>
                <w:color w:val="auto"/>
              </w:rPr>
              <w:t>awards granted prior to fscal year that were outstanding and unvested as of year end</w:t>
            </w:r>
          </w:p>
        </w:tc>
        <w:tc>
          <w:tcPr>
            <w:tcW w:w="120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577,957</w:t>
            </w:r>
          </w:p>
        </w:tc>
      </w:tr>
      <w:tr>
        <w:trPr>
          <w:trHeight w:val="23"/>
        </w:trPr>
        <w:tc>
          <w:tcPr>
            <w:tcW w:w="7740" w:type="dxa"/>
            <w:vAlign w:val="bottom"/>
            <w:tcBorders>
              <w:left w:val="single" w:sz="8" w:color="auto"/>
            </w:tcBorders>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r>
      <w:tr>
        <w:trPr>
          <w:trHeight w:val="167"/>
        </w:trPr>
        <w:tc>
          <w:tcPr>
            <w:tcW w:w="7740" w:type="dxa"/>
            <w:vAlign w:val="bottom"/>
            <w:tcBorders>
              <w:left w:val="single" w:sz="8" w:color="auto"/>
            </w:tcBorders>
            <w:shd w:val="clear" w:color="auto" w:fill="DBDBDB"/>
          </w:tcPr>
          <w:p>
            <w:pPr>
              <w:ind w:left="240"/>
              <w:spacing w:after="0" w:line="166" w:lineRule="exact"/>
              <w:rPr>
                <w:sz w:val="20"/>
                <w:szCs w:val="20"/>
                <w:color w:val="auto"/>
              </w:rPr>
            </w:pPr>
            <w:r>
              <w:rPr>
                <w:rFonts w:ascii="Calibri" w:cs="Calibri" w:eastAsia="Calibri" w:hAnsi="Calibri"/>
                <w:sz w:val="18"/>
                <w:szCs w:val="18"/>
                <w:color w:val="auto"/>
              </w:rPr>
              <w:t>Increase (deducton) for diference in fair value from prior fscal year end to vestng date of awards</w:t>
            </w:r>
          </w:p>
        </w:tc>
        <w:tc>
          <w:tcPr>
            <w:tcW w:w="1200" w:type="dxa"/>
            <w:vAlign w:val="bottom"/>
            <w:tcBorders>
              <w:right w:val="single" w:sz="8" w:color="auto"/>
            </w:tcBorders>
            <w:shd w:val="clear" w:color="auto" w:fill="DBDBDB"/>
          </w:tcPr>
          <w:p>
            <w:pPr>
              <w:spacing w:after="0"/>
              <w:rPr>
                <w:sz w:val="14"/>
                <w:szCs w:val="14"/>
                <w:color w:val="auto"/>
              </w:rPr>
            </w:pPr>
          </w:p>
        </w:tc>
      </w:tr>
      <w:tr>
        <w:trPr>
          <w:trHeight w:val="232"/>
        </w:trPr>
        <w:tc>
          <w:tcPr>
            <w:tcW w:w="7740" w:type="dxa"/>
            <w:vAlign w:val="bottom"/>
            <w:tcBorders>
              <w:left w:val="single" w:sz="8" w:color="auto"/>
              <w:bottom w:val="single" w:sz="8" w:color="DBDBDB"/>
            </w:tcBorders>
            <w:shd w:val="clear" w:color="auto" w:fill="DBDBDB"/>
          </w:tcPr>
          <w:p>
            <w:pPr>
              <w:ind w:left="240"/>
              <w:spacing w:after="0" w:line="215" w:lineRule="exact"/>
              <w:rPr>
                <w:sz w:val="20"/>
                <w:szCs w:val="20"/>
                <w:color w:val="auto"/>
              </w:rPr>
            </w:pPr>
            <w:r>
              <w:rPr>
                <w:rFonts w:ascii="Calibri" w:cs="Calibri" w:eastAsia="Calibri" w:hAnsi="Calibri"/>
                <w:sz w:val="18"/>
                <w:szCs w:val="18"/>
                <w:color w:val="auto"/>
              </w:rPr>
              <w:t>granted prior to current fscal year that vested during the year</w:t>
            </w:r>
          </w:p>
        </w:tc>
        <w:tc>
          <w:tcPr>
            <w:tcW w:w="120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Calibri" w:cs="Calibri" w:eastAsia="Calibri" w:hAnsi="Calibri"/>
                <w:sz w:val="18"/>
                <w:szCs w:val="18"/>
                <w:color w:val="auto"/>
              </w:rPr>
              <w:t>4,358</w:t>
            </w:r>
          </w:p>
        </w:tc>
      </w:tr>
      <w:tr>
        <w:trPr>
          <w:trHeight w:val="167"/>
        </w:trPr>
        <w:tc>
          <w:tcPr>
            <w:tcW w:w="7740" w:type="dxa"/>
            <w:vAlign w:val="bottom"/>
            <w:tcBorders>
              <w:left w:val="single" w:sz="8" w:color="auto"/>
            </w:tcBorders>
          </w:tcPr>
          <w:p>
            <w:pPr>
              <w:ind w:left="240"/>
              <w:spacing w:after="0" w:line="166" w:lineRule="exact"/>
              <w:rPr>
                <w:sz w:val="20"/>
                <w:szCs w:val="20"/>
                <w:color w:val="auto"/>
              </w:rPr>
            </w:pPr>
            <w:r>
              <w:rPr>
                <w:rFonts w:ascii="Calibri" w:cs="Calibri" w:eastAsia="Calibri" w:hAnsi="Calibri"/>
                <w:sz w:val="18"/>
                <w:szCs w:val="18"/>
                <w:color w:val="auto"/>
              </w:rPr>
              <w:t>Deducton for prior fscal year end fair value of awards granted prior to current fscal year that were</w:t>
            </w:r>
          </w:p>
        </w:tc>
        <w:tc>
          <w:tcPr>
            <w:tcW w:w="1200" w:type="dxa"/>
            <w:vAlign w:val="bottom"/>
            <w:tcBorders>
              <w:right w:val="single" w:sz="8" w:color="auto"/>
            </w:tcBorders>
          </w:tcPr>
          <w:p>
            <w:pPr>
              <w:spacing w:after="0"/>
              <w:rPr>
                <w:sz w:val="14"/>
                <w:szCs w:val="14"/>
                <w:color w:val="auto"/>
              </w:rPr>
            </w:pPr>
          </w:p>
        </w:tc>
      </w:tr>
      <w:tr>
        <w:trPr>
          <w:trHeight w:val="228"/>
        </w:trPr>
        <w:tc>
          <w:tcPr>
            <w:tcW w:w="7740" w:type="dxa"/>
            <w:vAlign w:val="bottom"/>
            <w:tcBorders>
              <w:left w:val="single" w:sz="8" w:color="auto"/>
            </w:tcBorders>
          </w:tcPr>
          <w:p>
            <w:pPr>
              <w:ind w:left="240"/>
              <w:spacing w:after="0" w:line="215" w:lineRule="exact"/>
              <w:rPr>
                <w:sz w:val="20"/>
                <w:szCs w:val="20"/>
                <w:color w:val="auto"/>
              </w:rPr>
            </w:pPr>
            <w:r>
              <w:rPr>
                <w:rFonts w:ascii="Calibri" w:cs="Calibri" w:eastAsia="Calibri" w:hAnsi="Calibri"/>
                <w:sz w:val="18"/>
                <w:szCs w:val="18"/>
                <w:color w:val="auto"/>
              </w:rPr>
              <w:t>forfeited during the year</w:t>
            </w:r>
          </w:p>
        </w:tc>
        <w:tc>
          <w:tcPr>
            <w:tcW w:w="120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w:t>
            </w:r>
          </w:p>
        </w:tc>
      </w:tr>
      <w:tr>
        <w:trPr>
          <w:trHeight w:val="23"/>
        </w:trPr>
        <w:tc>
          <w:tcPr>
            <w:tcW w:w="7740" w:type="dxa"/>
            <w:vAlign w:val="bottom"/>
            <w:tcBorders>
              <w:left w:val="single" w:sz="8" w:color="auto"/>
            </w:tcBorders>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r>
      <w:tr>
        <w:trPr>
          <w:trHeight w:val="230"/>
        </w:trPr>
        <w:tc>
          <w:tcPr>
            <w:tcW w:w="7740" w:type="dxa"/>
            <w:vAlign w:val="bottom"/>
            <w:tcBorders>
              <w:left w:val="single" w:sz="8" w:color="auto"/>
            </w:tcBorders>
            <w:shd w:val="clear" w:color="auto" w:fill="DBDBDB"/>
          </w:tcPr>
          <w:p>
            <w:pPr>
              <w:ind w:left="240"/>
              <w:spacing w:after="0" w:line="215" w:lineRule="exact"/>
              <w:rPr>
                <w:sz w:val="20"/>
                <w:szCs w:val="20"/>
                <w:color w:val="auto"/>
              </w:rPr>
            </w:pPr>
            <w:r>
              <w:rPr>
                <w:rFonts w:ascii="Calibri" w:cs="Calibri" w:eastAsia="Calibri" w:hAnsi="Calibri"/>
                <w:sz w:val="18"/>
                <w:szCs w:val="18"/>
                <w:color w:val="auto"/>
              </w:rPr>
              <w:t>Increase for dividends or other earnings paid during the fscal year prior to vestng date of award</w:t>
            </w:r>
          </w:p>
        </w:tc>
        <w:tc>
          <w:tcPr>
            <w:tcW w:w="1200" w:type="dxa"/>
            <w:vAlign w:val="bottom"/>
            <w:tcBorders>
              <w:bottom w:val="single" w:sz="8" w:color="auto"/>
              <w:right w:val="single" w:sz="8" w:color="auto"/>
            </w:tcBorders>
            <w:shd w:val="clear" w:color="auto" w:fill="DBDBDB"/>
          </w:tcPr>
          <w:p>
            <w:pPr>
              <w:jc w:val="right"/>
              <w:spacing w:after="0" w:line="215" w:lineRule="exact"/>
              <w:rPr>
                <w:sz w:val="20"/>
                <w:szCs w:val="20"/>
                <w:color w:val="auto"/>
              </w:rPr>
            </w:pPr>
            <w:r>
              <w:rPr>
                <w:rFonts w:ascii="Calibri" w:cs="Calibri" w:eastAsia="Calibri" w:hAnsi="Calibri"/>
                <w:sz w:val="18"/>
                <w:szCs w:val="18"/>
                <w:color w:val="auto"/>
              </w:rPr>
              <w:t>11,027</w:t>
            </w:r>
          </w:p>
        </w:tc>
      </w:tr>
      <w:tr>
        <w:trPr>
          <w:trHeight w:val="216"/>
        </w:trPr>
        <w:tc>
          <w:tcPr>
            <w:tcW w:w="7740" w:type="dxa"/>
            <w:vAlign w:val="bottom"/>
            <w:tcBorders>
              <w:left w:val="single" w:sz="8" w:color="auto"/>
              <w:bottom w:val="single" w:sz="8" w:color="auto"/>
            </w:tcBorders>
          </w:tcPr>
          <w:p>
            <w:pPr>
              <w:ind w:left="20"/>
              <w:spacing w:after="0" w:line="199" w:lineRule="exact"/>
              <w:rPr>
                <w:sz w:val="20"/>
                <w:szCs w:val="20"/>
                <w:color w:val="auto"/>
              </w:rPr>
            </w:pPr>
            <w:r>
              <w:rPr>
                <w:rFonts w:ascii="Calibri" w:cs="Calibri" w:eastAsia="Calibri" w:hAnsi="Calibri"/>
                <w:sz w:val="18"/>
                <w:szCs w:val="18"/>
                <w:b w:val="1"/>
                <w:bCs w:val="1"/>
                <w:color w:val="auto"/>
              </w:rPr>
              <w:t>Compensaton Actually Paid to non-PEO NEOs</w:t>
            </w:r>
          </w:p>
        </w:tc>
        <w:tc>
          <w:tcPr>
            <w:tcW w:w="1200" w:type="dxa"/>
            <w:vAlign w:val="bottom"/>
            <w:tcBorders>
              <w:bottom w:val="single" w:sz="8" w:color="auto"/>
              <w:right w:val="single" w:sz="8" w:color="auto"/>
            </w:tcBorders>
          </w:tcPr>
          <w:p>
            <w:pPr>
              <w:jc w:val="right"/>
              <w:ind w:right="110"/>
              <w:spacing w:after="0" w:line="215" w:lineRule="exact"/>
              <w:rPr>
                <w:sz w:val="20"/>
                <w:szCs w:val="20"/>
                <w:color w:val="auto"/>
              </w:rPr>
            </w:pPr>
            <w:r>
              <w:rPr>
                <w:rFonts w:ascii="Calibri" w:cs="Calibri" w:eastAsia="Calibri" w:hAnsi="Calibri"/>
                <w:sz w:val="18"/>
                <w:szCs w:val="18"/>
                <w:b w:val="1"/>
                <w:bCs w:val="1"/>
                <w:color w:val="auto"/>
              </w:rPr>
              <w:t>$2,069,412</w:t>
            </w:r>
          </w:p>
        </w:tc>
      </w:tr>
    </w:tbl>
    <w:p>
      <w:pPr>
        <w:spacing w:after="0" w:line="126" w:lineRule="exact"/>
        <w:rPr>
          <w:sz w:val="20"/>
          <w:szCs w:val="20"/>
          <w:color w:val="auto"/>
        </w:rPr>
      </w:pPr>
    </w:p>
    <w:p>
      <w:pPr>
        <w:ind w:left="412" w:hanging="412"/>
        <w:spacing w:after="0" w:line="235" w:lineRule="auto"/>
        <w:tabs>
          <w:tab w:leader="none" w:pos="405"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For each of fscal 2024, 2023, 2022 and 2021, total shareholder return ("TSR") for the company and the peer group was calculated based on a deemed fxed investment of $100 at market close on March 27, 2020 (the last trading day of fscal year 2020) through and including the end of the fscal year for each year reported in the table. Our peer group is the Nasdaq Industrial Index, which is the industry line of business index used to show our performance in our Form 10-K. In our pay versus performance disclosures for 2023, we used the Russell 2000 Index. Pursuant to Securites and Exchange Commission guidance, we have changed the index used for our peer group this year. A comparison of our TSR, the Russell 2000 Index TSR, and the Nasdaq Industrial Index TSR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69215</wp:posOffset>
            </wp:positionV>
            <wp:extent cx="3343275" cy="10198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43275" cy="1019810"/>
                    </a:xfrm>
                    <a:prstGeom prst="rect">
                      <a:avLst/>
                    </a:prstGeom>
                    <a:noFill/>
                  </pic:spPr>
                </pic:pic>
              </a:graphicData>
            </a:graphic>
          </wp:anchor>
        </w:drawing>
      </w:r>
    </w:p>
    <w:p>
      <w:pPr>
        <w:spacing w:after="0" w:line="88" w:lineRule="exact"/>
        <w:rPr>
          <w:sz w:val="20"/>
          <w:szCs w:val="20"/>
          <w:color w:val="auto"/>
        </w:rPr>
      </w:pPr>
    </w:p>
    <w:p>
      <w:pPr>
        <w:ind w:left="352"/>
        <w:spacing w:after="0"/>
        <w:rPr>
          <w:sz w:val="20"/>
          <w:szCs w:val="20"/>
          <w:color w:val="auto"/>
        </w:rPr>
      </w:pPr>
      <w:r>
        <w:rPr>
          <w:rFonts w:ascii="Calibri" w:cs="Calibri" w:eastAsia="Calibri" w:hAnsi="Calibri"/>
          <w:sz w:val="18"/>
          <w:szCs w:val="18"/>
          <w:b w:val="1"/>
          <w:bCs w:val="1"/>
          <w:color w:val="auto"/>
        </w:rPr>
        <w:t>Total Shareholder Return</w:t>
      </w:r>
    </w:p>
    <w:tbl>
      <w:tblPr>
        <w:tblLayout w:type="fixed"/>
        <w:tblInd w:w="332" w:type="dxa"/>
        <w:tblCellMar>
          <w:top w:w="0" w:type="dxa"/>
          <w:left w:w="0" w:type="dxa"/>
          <w:bottom w:w="0" w:type="dxa"/>
          <w:right w:w="0" w:type="dxa"/>
        </w:tblCellMar>
      </w:tblPr>
      <w:tr>
        <w:trPr>
          <w:trHeight w:val="190"/>
        </w:trPr>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jc w:val="center"/>
              <w:ind w:left="70"/>
              <w:spacing w:after="0" w:line="190" w:lineRule="exact"/>
              <w:rPr>
                <w:sz w:val="20"/>
                <w:szCs w:val="20"/>
                <w:color w:val="auto"/>
              </w:rPr>
            </w:pPr>
            <w:r>
              <w:rPr>
                <w:rFonts w:ascii="Calibri" w:cs="Calibri" w:eastAsia="Calibri" w:hAnsi="Calibri"/>
                <w:sz w:val="18"/>
                <w:szCs w:val="18"/>
                <w:b w:val="1"/>
                <w:bCs w:val="1"/>
                <w:color w:val="auto"/>
                <w:w w:val="97"/>
              </w:rPr>
              <w:t>Russell 2000</w:t>
            </w:r>
          </w:p>
        </w:tc>
        <w:tc>
          <w:tcPr>
            <w:tcW w:w="1340" w:type="dxa"/>
            <w:vAlign w:val="bottom"/>
          </w:tcPr>
          <w:p>
            <w:pPr>
              <w:jc w:val="center"/>
              <w:spacing w:after="0" w:line="190" w:lineRule="exact"/>
              <w:rPr>
                <w:sz w:val="20"/>
                <w:szCs w:val="20"/>
                <w:color w:val="auto"/>
              </w:rPr>
            </w:pPr>
            <w:r>
              <w:rPr>
                <w:rFonts w:ascii="Calibri" w:cs="Calibri" w:eastAsia="Calibri" w:hAnsi="Calibri"/>
                <w:sz w:val="18"/>
                <w:szCs w:val="18"/>
                <w:b w:val="1"/>
                <w:bCs w:val="1"/>
                <w:color w:val="auto"/>
                <w:w w:val="99"/>
              </w:rPr>
              <w:t>Nasdaq</w:t>
            </w:r>
          </w:p>
        </w:tc>
        <w:tc>
          <w:tcPr>
            <w:tcW w:w="20" w:type="dxa"/>
            <w:vAlign w:val="bottom"/>
          </w:tcPr>
          <w:p>
            <w:pPr>
              <w:spacing w:after="0"/>
              <w:rPr>
                <w:sz w:val="16"/>
                <w:szCs w:val="16"/>
                <w:color w:val="auto"/>
              </w:rPr>
            </w:pPr>
          </w:p>
        </w:tc>
      </w:tr>
      <w:tr>
        <w:trPr>
          <w:trHeight w:val="228"/>
        </w:trPr>
        <w:tc>
          <w:tcPr>
            <w:tcW w:w="138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Fiscal Year</w:t>
            </w:r>
          </w:p>
        </w:tc>
        <w:tc>
          <w:tcPr>
            <w:tcW w:w="122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HWKN</w:t>
            </w:r>
          </w:p>
        </w:tc>
        <w:tc>
          <w:tcPr>
            <w:tcW w:w="1300" w:type="dxa"/>
            <w:vAlign w:val="bottom"/>
          </w:tcPr>
          <w:p>
            <w:pPr>
              <w:jc w:val="center"/>
              <w:ind w:left="50"/>
              <w:spacing w:after="0" w:line="215" w:lineRule="exact"/>
              <w:rPr>
                <w:sz w:val="20"/>
                <w:szCs w:val="20"/>
                <w:color w:val="auto"/>
              </w:rPr>
            </w:pPr>
            <w:r>
              <w:rPr>
                <w:rFonts w:ascii="Calibri" w:cs="Calibri" w:eastAsia="Calibri" w:hAnsi="Calibri"/>
                <w:sz w:val="18"/>
                <w:szCs w:val="18"/>
                <w:b w:val="1"/>
                <w:bCs w:val="1"/>
                <w:color w:val="auto"/>
                <w:w w:val="96"/>
              </w:rPr>
              <w:t>Index</w:t>
            </w:r>
          </w:p>
        </w:tc>
        <w:tc>
          <w:tcPr>
            <w:tcW w:w="134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7"/>
              </w:rPr>
              <w:t>Industrial Index</w:t>
            </w:r>
          </w:p>
        </w:tc>
        <w:tc>
          <w:tcPr>
            <w:tcW w:w="20" w:type="dxa"/>
            <w:vAlign w:val="bottom"/>
          </w:tcPr>
          <w:p>
            <w:pPr>
              <w:spacing w:after="0"/>
              <w:rPr>
                <w:sz w:val="19"/>
                <w:szCs w:val="19"/>
                <w:color w:val="auto"/>
              </w:rPr>
            </w:pPr>
          </w:p>
        </w:tc>
      </w:tr>
      <w:tr>
        <w:trPr>
          <w:trHeight w:val="23"/>
        </w:trPr>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1380" w:type="dxa"/>
            <w:vAlign w:val="bottom"/>
            <w:shd w:val="clear" w:color="auto" w:fill="DBDBDB"/>
          </w:tcPr>
          <w:p>
            <w:pPr>
              <w:jc w:val="center"/>
              <w:spacing w:after="0" w:line="215" w:lineRule="exact"/>
              <w:rPr>
                <w:sz w:val="20"/>
                <w:szCs w:val="20"/>
                <w:color w:val="auto"/>
              </w:rPr>
            </w:pPr>
            <w:r>
              <w:rPr>
                <w:rFonts w:ascii="Calibri" w:cs="Calibri" w:eastAsia="Calibri" w:hAnsi="Calibri"/>
                <w:sz w:val="18"/>
                <w:szCs w:val="18"/>
                <w:color w:val="auto"/>
                <w:w w:val="98"/>
              </w:rPr>
              <w:t>2024</w:t>
            </w:r>
          </w:p>
        </w:tc>
        <w:tc>
          <w:tcPr>
            <w:tcW w:w="1220" w:type="dxa"/>
            <w:vAlign w:val="bottom"/>
            <w:shd w:val="clear" w:color="auto" w:fill="DBDBDB"/>
          </w:tcPr>
          <w:p>
            <w:pPr>
              <w:jc w:val="center"/>
              <w:spacing w:after="0" w:line="215" w:lineRule="exact"/>
              <w:rPr>
                <w:sz w:val="20"/>
                <w:szCs w:val="20"/>
                <w:color w:val="auto"/>
              </w:rPr>
            </w:pPr>
            <w:r>
              <w:rPr>
                <w:rFonts w:ascii="Calibri" w:cs="Calibri" w:eastAsia="Calibri" w:hAnsi="Calibri"/>
                <w:sz w:val="18"/>
                <w:szCs w:val="18"/>
                <w:color w:val="auto"/>
                <w:w w:val="97"/>
              </w:rPr>
              <w:t>$ 483.32</w:t>
            </w:r>
          </w:p>
        </w:tc>
        <w:tc>
          <w:tcPr>
            <w:tcW w:w="1300" w:type="dxa"/>
            <w:vAlign w:val="bottom"/>
            <w:shd w:val="clear" w:color="auto" w:fill="DBDBDB"/>
          </w:tcPr>
          <w:p>
            <w:pPr>
              <w:jc w:val="center"/>
              <w:ind w:left="70"/>
              <w:spacing w:after="0" w:line="215" w:lineRule="exact"/>
              <w:rPr>
                <w:sz w:val="20"/>
                <w:szCs w:val="20"/>
                <w:color w:val="auto"/>
              </w:rPr>
            </w:pPr>
            <w:r>
              <w:rPr>
                <w:rFonts w:ascii="Calibri" w:cs="Calibri" w:eastAsia="Calibri" w:hAnsi="Calibri"/>
                <w:sz w:val="18"/>
                <w:szCs w:val="18"/>
                <w:color w:val="auto"/>
                <w:w w:val="97"/>
              </w:rPr>
              <w:t>$ 187.68</w:t>
            </w:r>
          </w:p>
        </w:tc>
        <w:tc>
          <w:tcPr>
            <w:tcW w:w="1340" w:type="dxa"/>
            <w:vAlign w:val="bottom"/>
            <w:shd w:val="clear" w:color="auto" w:fill="DBDBDB"/>
          </w:tcPr>
          <w:p>
            <w:pPr>
              <w:jc w:val="center"/>
              <w:spacing w:after="0" w:line="215" w:lineRule="exact"/>
              <w:rPr>
                <w:sz w:val="20"/>
                <w:szCs w:val="20"/>
                <w:color w:val="auto"/>
              </w:rPr>
            </w:pPr>
            <w:r>
              <w:rPr>
                <w:rFonts w:ascii="Calibri" w:cs="Calibri" w:eastAsia="Calibri" w:hAnsi="Calibri"/>
                <w:sz w:val="18"/>
                <w:szCs w:val="18"/>
                <w:color w:val="auto"/>
                <w:w w:val="97"/>
              </w:rPr>
              <w:t>$ 173.66</w:t>
            </w:r>
          </w:p>
        </w:tc>
        <w:tc>
          <w:tcPr>
            <w:tcW w:w="20" w:type="dxa"/>
            <w:vAlign w:val="bottom"/>
          </w:tcPr>
          <w:p>
            <w:pPr>
              <w:spacing w:after="0"/>
              <w:rPr>
                <w:sz w:val="19"/>
                <w:szCs w:val="19"/>
                <w:color w:val="auto"/>
              </w:rPr>
            </w:pPr>
          </w:p>
        </w:tc>
      </w:tr>
      <w:tr>
        <w:trPr>
          <w:trHeight w:val="222"/>
        </w:trPr>
        <w:tc>
          <w:tcPr>
            <w:tcW w:w="138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2023</w:t>
            </w:r>
          </w:p>
        </w:tc>
        <w:tc>
          <w:tcPr>
            <w:tcW w:w="122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$ 275.81</w:t>
            </w:r>
          </w:p>
        </w:tc>
        <w:tc>
          <w:tcPr>
            <w:tcW w:w="130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7"/>
              </w:rPr>
              <w:t>$ 159.23</w:t>
            </w:r>
          </w:p>
        </w:tc>
        <w:tc>
          <w:tcPr>
            <w:tcW w:w="134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$ 147.13</w:t>
            </w:r>
          </w:p>
        </w:tc>
        <w:tc>
          <w:tcPr>
            <w:tcW w:w="20" w:type="dxa"/>
            <w:vAlign w:val="bottom"/>
          </w:tcPr>
          <w:p>
            <w:pPr>
              <w:spacing w:after="0"/>
              <w:rPr>
                <w:sz w:val="19"/>
                <w:szCs w:val="19"/>
                <w:color w:val="auto"/>
              </w:rPr>
            </w:pPr>
          </w:p>
        </w:tc>
      </w:tr>
      <w:tr>
        <w:trPr>
          <w:trHeight w:val="237"/>
        </w:trPr>
        <w:tc>
          <w:tcPr>
            <w:tcW w:w="1380" w:type="dxa"/>
            <w:vAlign w:val="bottom"/>
            <w:shd w:val="clear" w:color="auto" w:fill="DBDBDB"/>
          </w:tcPr>
          <w:p>
            <w:pPr>
              <w:jc w:val="center"/>
              <w:spacing w:after="0"/>
              <w:rPr>
                <w:sz w:val="20"/>
                <w:szCs w:val="20"/>
                <w:color w:val="auto"/>
              </w:rPr>
            </w:pPr>
            <w:r>
              <w:rPr>
                <w:rFonts w:ascii="Calibri" w:cs="Calibri" w:eastAsia="Calibri" w:hAnsi="Calibri"/>
                <w:sz w:val="18"/>
                <w:szCs w:val="18"/>
                <w:color w:val="auto"/>
                <w:w w:val="98"/>
              </w:rPr>
              <w:t>2022</w:t>
            </w:r>
          </w:p>
        </w:tc>
        <w:tc>
          <w:tcPr>
            <w:tcW w:w="1220" w:type="dxa"/>
            <w:vAlign w:val="bottom"/>
            <w:shd w:val="clear" w:color="auto" w:fill="DBDBDB"/>
          </w:tcPr>
          <w:p>
            <w:pPr>
              <w:jc w:val="center"/>
              <w:spacing w:after="0"/>
              <w:rPr>
                <w:sz w:val="20"/>
                <w:szCs w:val="20"/>
                <w:color w:val="auto"/>
              </w:rPr>
            </w:pPr>
            <w:r>
              <w:rPr>
                <w:rFonts w:ascii="Calibri" w:cs="Calibri" w:eastAsia="Calibri" w:hAnsi="Calibri"/>
                <w:sz w:val="18"/>
                <w:szCs w:val="18"/>
                <w:color w:val="auto"/>
                <w:w w:val="97"/>
              </w:rPr>
              <w:t>$ 283.76</w:t>
            </w:r>
          </w:p>
        </w:tc>
        <w:tc>
          <w:tcPr>
            <w:tcW w:w="1300" w:type="dxa"/>
            <w:vAlign w:val="bottom"/>
            <w:shd w:val="clear" w:color="auto" w:fill="DBDBDB"/>
          </w:tcPr>
          <w:p>
            <w:pPr>
              <w:jc w:val="center"/>
              <w:ind w:left="70"/>
              <w:spacing w:after="0"/>
              <w:rPr>
                <w:sz w:val="20"/>
                <w:szCs w:val="20"/>
                <w:color w:val="auto"/>
              </w:rPr>
            </w:pPr>
            <w:r>
              <w:rPr>
                <w:rFonts w:ascii="Calibri" w:cs="Calibri" w:eastAsia="Calibri" w:hAnsi="Calibri"/>
                <w:sz w:val="18"/>
                <w:szCs w:val="18"/>
                <w:color w:val="auto"/>
                <w:w w:val="97"/>
              </w:rPr>
              <w:t>$ 184.73</w:t>
            </w:r>
          </w:p>
        </w:tc>
        <w:tc>
          <w:tcPr>
            <w:tcW w:w="1340" w:type="dxa"/>
            <w:vAlign w:val="bottom"/>
            <w:shd w:val="clear" w:color="auto" w:fill="DBDBDB"/>
          </w:tcPr>
          <w:p>
            <w:pPr>
              <w:jc w:val="center"/>
              <w:spacing w:after="0"/>
              <w:rPr>
                <w:sz w:val="20"/>
                <w:szCs w:val="20"/>
                <w:color w:val="auto"/>
              </w:rPr>
            </w:pPr>
            <w:r>
              <w:rPr>
                <w:rFonts w:ascii="Calibri" w:cs="Calibri" w:eastAsia="Calibri" w:hAnsi="Calibri"/>
                <w:sz w:val="18"/>
                <w:szCs w:val="18"/>
                <w:color w:val="auto"/>
                <w:w w:val="97"/>
              </w:rPr>
              <w:t>$ 186.02</w:t>
            </w:r>
          </w:p>
        </w:tc>
        <w:tc>
          <w:tcPr>
            <w:tcW w:w="20" w:type="dxa"/>
            <w:vAlign w:val="bottom"/>
          </w:tcPr>
          <w:p>
            <w:pPr>
              <w:spacing w:after="0"/>
              <w:rPr>
                <w:sz w:val="20"/>
                <w:szCs w:val="20"/>
                <w:color w:val="auto"/>
              </w:rPr>
            </w:pPr>
          </w:p>
        </w:tc>
      </w:tr>
      <w:tr>
        <w:trPr>
          <w:trHeight w:val="215"/>
        </w:trPr>
        <w:tc>
          <w:tcPr>
            <w:tcW w:w="138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2021</w:t>
            </w:r>
          </w:p>
        </w:tc>
        <w:tc>
          <w:tcPr>
            <w:tcW w:w="122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$ 204.94</w:t>
            </w:r>
          </w:p>
        </w:tc>
        <w:tc>
          <w:tcPr>
            <w:tcW w:w="130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7"/>
              </w:rPr>
              <w:t>$ 196.25</w:t>
            </w:r>
          </w:p>
        </w:tc>
        <w:tc>
          <w:tcPr>
            <w:tcW w:w="134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$ 181.61</w:t>
            </w:r>
          </w:p>
        </w:tc>
        <w:tc>
          <w:tcPr>
            <w:tcW w:w="20" w:type="dxa"/>
            <w:vAlign w:val="bottom"/>
          </w:tcPr>
          <w:p>
            <w:pPr>
              <w:spacing w:after="0"/>
              <w:rPr>
                <w:sz w:val="18"/>
                <w:szCs w:val="18"/>
                <w:color w:val="auto"/>
              </w:rPr>
            </w:pPr>
          </w:p>
        </w:tc>
      </w:tr>
    </w:tbl>
    <w:p>
      <w:pPr>
        <w:spacing w:after="0" w:line="249" w:lineRule="exact"/>
        <w:rPr>
          <w:sz w:val="20"/>
          <w:szCs w:val="20"/>
          <w:color w:val="auto"/>
        </w:rPr>
      </w:pPr>
    </w:p>
    <w:p>
      <w:pPr>
        <w:ind w:left="412" w:right="80" w:hanging="412"/>
        <w:spacing w:after="0" w:line="258" w:lineRule="auto"/>
        <w:tabs>
          <w:tab w:leader="none" w:pos="405" w:val="left"/>
        </w:tabs>
        <w:numPr>
          <w:ilvl w:val="0"/>
          <w:numId w:val="36"/>
        </w:numPr>
        <w:rPr>
          <w:rFonts w:ascii="Calibri" w:cs="Calibri" w:eastAsia="Calibri" w:hAnsi="Calibri"/>
          <w:sz w:val="17"/>
          <w:szCs w:val="17"/>
          <w:color w:val="auto"/>
        </w:rPr>
      </w:pPr>
      <w:r>
        <w:rPr>
          <w:rFonts w:ascii="Calibri" w:cs="Calibri" w:eastAsia="Calibri" w:hAnsi="Calibri"/>
          <w:sz w:val="17"/>
          <w:szCs w:val="17"/>
          <w:color w:val="auto"/>
        </w:rPr>
        <w:t>Our company-selected measure, which is the measure we believe represents the most important fnancial performance not otherwise presented in the table above that we use to link compensaton actually paid to our NEOs for fscal 2024 to our company's performance, is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49" w:right="359" w:bottom="1440" w:gutter="0" w:footer="0" w:header="0"/>
        </w:sectPr>
      </w:pPr>
    </w:p>
    <w:bookmarkStart w:id="34" w:name="page35"/>
    <w:bookmarkEnd w:id="34"/>
    <w:p>
      <w:pPr>
        <w:spacing w:after="0"/>
        <w:rPr>
          <w:sz w:val="20"/>
          <w:szCs w:val="20"/>
          <w:color w:val="auto"/>
        </w:rPr>
      </w:pPr>
      <w:r>
        <w:rPr>
          <w:rFonts w:ascii="Calibri" w:cs="Calibri" w:eastAsia="Calibri" w:hAnsi="Calibri"/>
          <w:sz w:val="18"/>
          <w:szCs w:val="18"/>
          <w:i w:val="1"/>
          <w:iCs w:val="1"/>
          <w:color w:val="auto"/>
        </w:rPr>
        <w:t>Pay Versus Performance Relatonship Descriptons</w:t>
      </w:r>
    </w:p>
    <w:p>
      <w:pPr>
        <w:spacing w:after="0" w:line="16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graphical comparisons provide descriptons of the relatonships between certain fgures included in the Pay Versus Performance Table for each of fscal 2024, 2023, 2022 and 2021, including comparisons between (i) the compensaton actually paid to the PEO and the average compensaton actually paid to our non-PEO NEOs and (ii) each of the following performance measures set forth in the Pay Versus Performance Table - Total Shareholder Return, Net Income and Income before Income Taxes. Income before Income Taxes is the only corporate performance measure that is used to determine incentve plan payouts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43070" cy="6951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43070" cy="6951980"/>
                    </a:xfrm>
                    <a:prstGeom prst="rect">
                      <a:avLst/>
                    </a:prstGeom>
                    <a:noFill/>
                  </pic:spPr>
                </pic:pic>
              </a:graphicData>
            </a:graphic>
          </wp:anchor>
        </w:drawing>
      </w:r>
    </w:p>
    <w:p>
      <w:pPr>
        <w:sectPr>
          <w:pgSz w:w="11900" w:h="16838" w:orient="portrait"/>
          <w:cols w:equalWidth="0" w:num="1">
            <w:col w:w="11140"/>
          </w:cols>
          <w:pgMar w:left="320" w:top="104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Calibri" w:cs="Calibri" w:eastAsia="Calibri" w:hAnsi="Calibri"/>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44" w:right="439" w:bottom="144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4243070" cy="32918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424307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Tabular List of Important Financial Performance Measures</w:t>
      </w:r>
    </w:p>
    <w:p>
      <w:pPr>
        <w:spacing w:after="0" w:line="24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tables list the most important fnancial performance measures we used to link Compensaton Actually Paid to the NEOs for fscal 2024 to our performance.</w:t>
      </w:r>
    </w:p>
    <w:p>
      <w:pPr>
        <w:spacing w:after="0" w:line="28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All NEOs other than Mr. Lange: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6573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65730" cy="16319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Calibri" w:cs="Calibri" w:eastAsia="Calibri" w:hAnsi="Calibri"/>
          <w:sz w:val="18"/>
          <w:szCs w:val="18"/>
          <w:color w:val="auto"/>
        </w:rPr>
        <w:t>Income before income taxes</w:t>
      </w:r>
    </w:p>
    <w:p>
      <w:pPr>
        <w:spacing w:after="0" w:line="37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Mr. Lange: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65730" cy="436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65730" cy="43688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Calibri" w:cs="Calibri" w:eastAsia="Calibri" w:hAnsi="Calibri"/>
          <w:sz w:val="18"/>
          <w:szCs w:val="18"/>
          <w:color w:val="auto"/>
        </w:rPr>
        <w:t>Income before income taxes</w:t>
      </w:r>
    </w:p>
    <w:p>
      <w:pPr>
        <w:spacing w:after="0" w:line="23" w:lineRule="exact"/>
        <w:rPr>
          <w:sz w:val="20"/>
          <w:szCs w:val="20"/>
          <w:color w:val="auto"/>
        </w:rPr>
      </w:pPr>
    </w:p>
    <w:p>
      <w:pPr>
        <w:ind w:left="40"/>
        <w:spacing w:after="0"/>
        <w:rPr>
          <w:sz w:val="20"/>
          <w:szCs w:val="20"/>
          <w:color w:val="auto"/>
        </w:rPr>
      </w:pPr>
      <w:r>
        <w:rPr>
          <w:rFonts w:ascii="Calibri" w:cs="Calibri" w:eastAsia="Calibri" w:hAnsi="Calibri"/>
          <w:sz w:val="18"/>
          <w:szCs w:val="18"/>
          <w:color w:val="auto"/>
        </w:rPr>
        <w:t>Water Treatment Group operatonal performance</w:t>
      </w:r>
    </w:p>
    <w:p>
      <w:pPr>
        <w:ind w:left="40"/>
        <w:spacing w:after="0" w:line="206" w:lineRule="auto"/>
        <w:rPr>
          <w:sz w:val="20"/>
          <w:szCs w:val="20"/>
          <w:color w:val="auto"/>
        </w:rPr>
      </w:pPr>
      <w:r>
        <w:rPr>
          <w:rFonts w:ascii="Calibri" w:cs="Calibri" w:eastAsia="Calibri" w:hAnsi="Calibri"/>
          <w:sz w:val="18"/>
          <w:szCs w:val="18"/>
          <w:color w:val="auto"/>
        </w:rPr>
        <w:t>measure (1)</w:t>
      </w:r>
    </w:p>
    <w:p>
      <w:pPr>
        <w:spacing w:after="0" w:line="105" w:lineRule="exact"/>
        <w:rPr>
          <w:sz w:val="20"/>
          <w:szCs w:val="20"/>
          <w:color w:val="auto"/>
        </w:rPr>
      </w:pPr>
    </w:p>
    <w:p>
      <w:pPr>
        <w:ind w:left="240" w:hanging="232"/>
        <w:spacing w:after="0"/>
        <w:tabs>
          <w:tab w:leader="none" w:pos="2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The operatonal performance measure includes gross proft as a component</w:t>
      </w:r>
    </w:p>
    <w:p>
      <w:pPr>
        <w:spacing w:after="0" w:line="200" w:lineRule="exact"/>
        <w:rPr>
          <w:rFonts w:ascii="Calibri" w:cs="Calibri" w:eastAsia="Calibri" w:hAnsi="Calibri"/>
          <w:sz w:val="18"/>
          <w:szCs w:val="18"/>
          <w:color w:val="auto"/>
        </w:rPr>
      </w:pPr>
    </w:p>
    <w:p>
      <w:pPr>
        <w:spacing w:after="0" w:line="200" w:lineRule="exact"/>
        <w:rPr>
          <w:rFonts w:ascii="Calibri" w:cs="Calibri" w:eastAsia="Calibri" w:hAnsi="Calibri"/>
          <w:sz w:val="18"/>
          <w:szCs w:val="18"/>
          <w:color w:val="auto"/>
        </w:rPr>
      </w:pPr>
    </w:p>
    <w:p>
      <w:pPr>
        <w:spacing w:after="0" w:line="392" w:lineRule="exact"/>
        <w:rPr>
          <w:rFonts w:ascii="Calibri" w:cs="Calibri" w:eastAsia="Calibri" w:hAnsi="Calibri"/>
          <w:sz w:val="18"/>
          <w:szCs w:val="18"/>
          <w:color w:val="auto"/>
        </w:rPr>
      </w:pPr>
    </w:p>
    <w:p>
      <w:pPr>
        <w:ind w:left="5540"/>
        <w:spacing w:after="0"/>
        <w:rPr>
          <w:rFonts w:ascii="Calibri" w:cs="Calibri" w:eastAsia="Calibri" w:hAnsi="Calibri"/>
          <w:sz w:val="18"/>
          <w:szCs w:val="18"/>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36" w:name="page37"/>
    <w:bookmarkEnd w:id="36"/>
    <w:p>
      <w:pPr>
        <w:spacing w:after="0"/>
        <w:rPr>
          <w:sz w:val="20"/>
          <w:szCs w:val="20"/>
          <w:color w:val="auto"/>
        </w:rPr>
      </w:pPr>
      <w:r>
        <w:rPr>
          <w:rFonts w:ascii="Calibri" w:cs="Calibri" w:eastAsia="Calibri" w:hAnsi="Calibri"/>
          <w:sz w:val="25"/>
          <w:szCs w:val="25"/>
          <w:b w:val="1"/>
          <w:bCs w:val="1"/>
          <w:color w:val="auto"/>
        </w:rPr>
        <w:t>EQUITY COMPENSATION PLAN INFORMATION</w:t>
      </w:r>
    </w:p>
    <w:p>
      <w:pPr>
        <w:spacing w:after="0" w:line="253"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provides informaton about shares that may be issued under our 2019 Plan or the Employee Stock Purchase Plan as of March 31, 2024.</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4900" w:type="dxa"/>
            <w:vAlign w:val="bottom"/>
            <w:tcBorders>
              <w:top w:val="single" w:sz="8" w:color="auto"/>
              <w:lef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center"/>
              <w:ind w:right="100"/>
              <w:spacing w:after="0" w:line="148" w:lineRule="exact"/>
              <w:rPr>
                <w:sz w:val="20"/>
                <w:szCs w:val="20"/>
                <w:color w:val="auto"/>
              </w:rPr>
            </w:pPr>
            <w:r>
              <w:rPr>
                <w:rFonts w:ascii="Calibri" w:cs="Calibri" w:eastAsia="Calibri" w:hAnsi="Calibri"/>
                <w:sz w:val="14"/>
                <w:szCs w:val="14"/>
                <w:b w:val="1"/>
                <w:bCs w:val="1"/>
                <w:color w:val="auto"/>
              </w:rPr>
              <w:t>Number of</w:t>
            </w:r>
          </w:p>
        </w:tc>
        <w:tc>
          <w:tcPr>
            <w:tcW w:w="1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300" w:type="dxa"/>
            <w:vAlign w:val="bottom"/>
            <w:tcBorders>
              <w:top w:val="single" w:sz="8" w:color="auto"/>
              <w:right w:val="single" w:sz="8" w:color="auto"/>
            </w:tcBorders>
            <w:gridSpan w:val="2"/>
          </w:tcPr>
          <w:p>
            <w:pPr>
              <w:jc w:val="center"/>
              <w:ind w:right="600"/>
              <w:spacing w:after="0" w:line="148" w:lineRule="exact"/>
              <w:rPr>
                <w:sz w:val="20"/>
                <w:szCs w:val="20"/>
                <w:color w:val="auto"/>
              </w:rPr>
            </w:pPr>
            <w:r>
              <w:rPr>
                <w:rFonts w:ascii="Calibri" w:cs="Calibri" w:eastAsia="Calibri" w:hAnsi="Calibri"/>
                <w:sz w:val="14"/>
                <w:szCs w:val="14"/>
                <w:b w:val="1"/>
                <w:bCs w:val="1"/>
                <w:color w:val="auto"/>
              </w:rPr>
              <w:t>Number of Securites</w:t>
            </w:r>
          </w:p>
        </w:tc>
        <w:tc>
          <w:tcPr>
            <w:tcW w:w="0" w:type="dxa"/>
            <w:vAlign w:val="bottom"/>
          </w:tcPr>
          <w:p>
            <w:pPr>
              <w:spacing w:after="0"/>
              <w:rPr>
                <w:sz w:val="1"/>
                <w:szCs w:val="1"/>
                <w:color w:val="auto"/>
              </w:rPr>
            </w:pPr>
          </w:p>
        </w:tc>
      </w:tr>
      <w:tr>
        <w:trPr>
          <w:trHeight w:val="148"/>
        </w:trPr>
        <w:tc>
          <w:tcPr>
            <w:tcW w:w="49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Calibri" w:cs="Calibri" w:eastAsia="Calibri" w:hAnsi="Calibri"/>
                <w:sz w:val="14"/>
                <w:szCs w:val="14"/>
                <w:b w:val="1"/>
                <w:bCs w:val="1"/>
                <w:color w:val="auto"/>
              </w:rPr>
              <w:t>Securites to Be</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Borders>
              <w:right w:val="single" w:sz="8" w:color="auto"/>
            </w:tcBorders>
            <w:gridSpan w:val="2"/>
          </w:tcPr>
          <w:p>
            <w:pPr>
              <w:jc w:val="center"/>
              <w:ind w:right="600"/>
              <w:spacing w:after="0" w:line="149" w:lineRule="exact"/>
              <w:rPr>
                <w:sz w:val="20"/>
                <w:szCs w:val="20"/>
                <w:color w:val="auto"/>
              </w:rPr>
            </w:pPr>
            <w:r>
              <w:rPr>
                <w:rFonts w:ascii="Calibri" w:cs="Calibri" w:eastAsia="Calibri" w:hAnsi="Calibri"/>
                <w:sz w:val="14"/>
                <w:szCs w:val="14"/>
                <w:b w:val="1"/>
                <w:bCs w:val="1"/>
                <w:color w:val="auto"/>
              </w:rPr>
              <w:t>Remaining Available for</w:t>
            </w:r>
          </w:p>
        </w:tc>
        <w:tc>
          <w:tcPr>
            <w:tcW w:w="0" w:type="dxa"/>
            <w:vAlign w:val="bottom"/>
          </w:tcPr>
          <w:p>
            <w:pPr>
              <w:spacing w:after="0"/>
              <w:rPr>
                <w:sz w:val="1"/>
                <w:szCs w:val="1"/>
                <w:color w:val="auto"/>
              </w:rPr>
            </w:pPr>
          </w:p>
        </w:tc>
      </w:tr>
      <w:tr>
        <w:trPr>
          <w:trHeight w:val="136"/>
        </w:trPr>
        <w:tc>
          <w:tcPr>
            <w:tcW w:w="490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2"/>
          </w:tcPr>
          <w:p>
            <w:pPr>
              <w:jc w:val="center"/>
              <w:ind w:right="100"/>
              <w:spacing w:after="0" w:line="136" w:lineRule="exact"/>
              <w:rPr>
                <w:sz w:val="20"/>
                <w:szCs w:val="20"/>
                <w:color w:val="auto"/>
              </w:rPr>
            </w:pPr>
            <w:r>
              <w:rPr>
                <w:rFonts w:ascii="Calibri" w:cs="Calibri" w:eastAsia="Calibri" w:hAnsi="Calibri"/>
                <w:sz w:val="14"/>
                <w:szCs w:val="14"/>
                <w:b w:val="1"/>
                <w:bCs w:val="1"/>
                <w:color w:val="auto"/>
              </w:rPr>
              <w:t>Issued upon</w:t>
            </w:r>
          </w:p>
        </w:tc>
        <w:tc>
          <w:tcPr>
            <w:tcW w:w="1840" w:type="dxa"/>
            <w:vAlign w:val="bottom"/>
            <w:gridSpan w:val="2"/>
          </w:tcPr>
          <w:p>
            <w:pPr>
              <w:jc w:val="center"/>
              <w:ind w:right="120"/>
              <w:spacing w:after="0" w:line="136" w:lineRule="exact"/>
              <w:rPr>
                <w:sz w:val="20"/>
                <w:szCs w:val="20"/>
                <w:color w:val="auto"/>
              </w:rPr>
            </w:pPr>
            <w:r>
              <w:rPr>
                <w:rFonts w:ascii="Calibri" w:cs="Calibri" w:eastAsia="Calibri" w:hAnsi="Calibri"/>
                <w:sz w:val="14"/>
                <w:szCs w:val="14"/>
                <w:b w:val="1"/>
                <w:bCs w:val="1"/>
                <w:color w:val="auto"/>
              </w:rPr>
              <w:t>Weighted Average</w:t>
            </w:r>
          </w:p>
        </w:tc>
        <w:tc>
          <w:tcPr>
            <w:tcW w:w="2300" w:type="dxa"/>
            <w:vAlign w:val="bottom"/>
            <w:tcBorders>
              <w:right w:val="single" w:sz="8" w:color="auto"/>
            </w:tcBorders>
            <w:gridSpan w:val="2"/>
          </w:tcPr>
          <w:p>
            <w:pPr>
              <w:jc w:val="center"/>
              <w:ind w:right="600"/>
              <w:spacing w:after="0" w:line="136" w:lineRule="exact"/>
              <w:rPr>
                <w:sz w:val="20"/>
                <w:szCs w:val="20"/>
                <w:color w:val="auto"/>
              </w:rPr>
            </w:pPr>
            <w:r>
              <w:rPr>
                <w:rFonts w:ascii="Calibri" w:cs="Calibri" w:eastAsia="Calibri" w:hAnsi="Calibri"/>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49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Calibri" w:cs="Calibri" w:eastAsia="Calibri" w:hAnsi="Calibri"/>
                <w:sz w:val="14"/>
                <w:szCs w:val="14"/>
                <w:b w:val="1"/>
                <w:bCs w:val="1"/>
                <w:color w:val="auto"/>
              </w:rPr>
              <w:t>Exercise of</w:t>
            </w:r>
          </w:p>
        </w:tc>
        <w:tc>
          <w:tcPr>
            <w:tcW w:w="1840" w:type="dxa"/>
            <w:vAlign w:val="bottom"/>
            <w:gridSpan w:val="2"/>
          </w:tcPr>
          <w:p>
            <w:pPr>
              <w:jc w:val="center"/>
              <w:ind w:right="120"/>
              <w:spacing w:after="0" w:line="149" w:lineRule="exact"/>
              <w:rPr>
                <w:sz w:val="20"/>
                <w:szCs w:val="20"/>
                <w:color w:val="auto"/>
              </w:rPr>
            </w:pPr>
            <w:r>
              <w:rPr>
                <w:rFonts w:ascii="Calibri" w:cs="Calibri" w:eastAsia="Calibri" w:hAnsi="Calibri"/>
                <w:sz w:val="14"/>
                <w:szCs w:val="14"/>
                <w:b w:val="1"/>
                <w:bCs w:val="1"/>
                <w:color w:val="auto"/>
              </w:rPr>
              <w:t>Exercise Price of</w:t>
            </w:r>
          </w:p>
        </w:tc>
        <w:tc>
          <w:tcPr>
            <w:tcW w:w="2300" w:type="dxa"/>
            <w:vAlign w:val="bottom"/>
            <w:tcBorders>
              <w:right w:val="single" w:sz="8" w:color="auto"/>
            </w:tcBorders>
            <w:gridSpan w:val="2"/>
          </w:tcPr>
          <w:p>
            <w:pPr>
              <w:jc w:val="center"/>
              <w:ind w:right="600"/>
              <w:spacing w:after="0" w:line="149" w:lineRule="exact"/>
              <w:rPr>
                <w:sz w:val="20"/>
                <w:szCs w:val="20"/>
                <w:color w:val="auto"/>
              </w:rPr>
            </w:pPr>
            <w:r>
              <w:rPr>
                <w:rFonts w:ascii="Calibri" w:cs="Calibri" w:eastAsia="Calibri" w:hAnsi="Calibri"/>
                <w:sz w:val="14"/>
                <w:szCs w:val="14"/>
                <w:b w:val="1"/>
                <w:bCs w:val="1"/>
                <w:color w:val="auto"/>
              </w:rPr>
              <w:t>Equity Compensaton Plans</w:t>
            </w:r>
          </w:p>
        </w:tc>
        <w:tc>
          <w:tcPr>
            <w:tcW w:w="0" w:type="dxa"/>
            <w:vAlign w:val="bottom"/>
          </w:tcPr>
          <w:p>
            <w:pPr>
              <w:spacing w:after="0"/>
              <w:rPr>
                <w:sz w:val="1"/>
                <w:szCs w:val="1"/>
                <w:color w:val="auto"/>
              </w:rPr>
            </w:pPr>
          </w:p>
        </w:tc>
      </w:tr>
      <w:tr>
        <w:trPr>
          <w:trHeight w:val="148"/>
        </w:trPr>
        <w:tc>
          <w:tcPr>
            <w:tcW w:w="49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Calibri" w:cs="Calibri" w:eastAsia="Calibri" w:hAnsi="Calibri"/>
                <w:sz w:val="14"/>
                <w:szCs w:val="14"/>
                <w:b w:val="1"/>
                <w:bCs w:val="1"/>
                <w:color w:val="auto"/>
              </w:rPr>
              <w:t>Outstanding</w:t>
            </w:r>
          </w:p>
        </w:tc>
        <w:tc>
          <w:tcPr>
            <w:tcW w:w="1840" w:type="dxa"/>
            <w:vAlign w:val="bottom"/>
            <w:gridSpan w:val="2"/>
          </w:tcPr>
          <w:p>
            <w:pPr>
              <w:jc w:val="center"/>
              <w:ind w:right="100"/>
              <w:spacing w:after="0" w:line="149" w:lineRule="exact"/>
              <w:rPr>
                <w:sz w:val="20"/>
                <w:szCs w:val="20"/>
                <w:color w:val="auto"/>
              </w:rPr>
            </w:pPr>
            <w:r>
              <w:rPr>
                <w:rFonts w:ascii="Calibri" w:cs="Calibri" w:eastAsia="Calibri" w:hAnsi="Calibri"/>
                <w:sz w:val="14"/>
                <w:szCs w:val="14"/>
                <w:b w:val="1"/>
                <w:bCs w:val="1"/>
                <w:color w:val="auto"/>
              </w:rPr>
              <w:t>Outstanding</w:t>
            </w:r>
          </w:p>
        </w:tc>
        <w:tc>
          <w:tcPr>
            <w:tcW w:w="2300" w:type="dxa"/>
            <w:vAlign w:val="bottom"/>
            <w:tcBorders>
              <w:right w:val="single" w:sz="8" w:color="auto"/>
            </w:tcBorders>
            <w:gridSpan w:val="2"/>
          </w:tcPr>
          <w:p>
            <w:pPr>
              <w:jc w:val="center"/>
              <w:ind w:right="600"/>
              <w:spacing w:after="0" w:line="149" w:lineRule="exact"/>
              <w:rPr>
                <w:sz w:val="20"/>
                <w:szCs w:val="20"/>
                <w:color w:val="auto"/>
              </w:rPr>
            </w:pPr>
            <w:r>
              <w:rPr>
                <w:rFonts w:ascii="Calibri" w:cs="Calibri" w:eastAsia="Calibri" w:hAnsi="Calibri"/>
                <w:sz w:val="14"/>
                <w:szCs w:val="14"/>
                <w:b w:val="1"/>
                <w:bCs w:val="1"/>
                <w:color w:val="auto"/>
              </w:rPr>
              <w:t>(excluding securites</w:t>
            </w:r>
          </w:p>
        </w:tc>
        <w:tc>
          <w:tcPr>
            <w:tcW w:w="0" w:type="dxa"/>
            <w:vAlign w:val="bottom"/>
          </w:tcPr>
          <w:p>
            <w:pPr>
              <w:spacing w:after="0"/>
              <w:rPr>
                <w:sz w:val="1"/>
                <w:szCs w:val="1"/>
                <w:color w:val="auto"/>
              </w:rPr>
            </w:pPr>
          </w:p>
        </w:tc>
      </w:tr>
      <w:tr>
        <w:trPr>
          <w:trHeight w:val="135"/>
        </w:trPr>
        <w:tc>
          <w:tcPr>
            <w:tcW w:w="490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2"/>
          </w:tcPr>
          <w:p>
            <w:pPr>
              <w:jc w:val="center"/>
              <w:ind w:right="120"/>
              <w:spacing w:after="0" w:line="135" w:lineRule="exact"/>
              <w:rPr>
                <w:sz w:val="20"/>
                <w:szCs w:val="20"/>
                <w:color w:val="auto"/>
              </w:rPr>
            </w:pPr>
            <w:r>
              <w:rPr>
                <w:rFonts w:ascii="Calibri" w:cs="Calibri" w:eastAsia="Calibri" w:hAnsi="Calibri"/>
                <w:sz w:val="14"/>
                <w:szCs w:val="14"/>
                <w:b w:val="1"/>
                <w:bCs w:val="1"/>
                <w:color w:val="auto"/>
              </w:rPr>
              <w:t>Optons, Warrants</w:t>
            </w:r>
          </w:p>
        </w:tc>
        <w:tc>
          <w:tcPr>
            <w:tcW w:w="1840" w:type="dxa"/>
            <w:vAlign w:val="bottom"/>
            <w:gridSpan w:val="2"/>
          </w:tcPr>
          <w:p>
            <w:pPr>
              <w:jc w:val="center"/>
              <w:ind w:right="120"/>
              <w:spacing w:after="0" w:line="135" w:lineRule="exact"/>
              <w:rPr>
                <w:sz w:val="20"/>
                <w:szCs w:val="20"/>
                <w:color w:val="auto"/>
              </w:rPr>
            </w:pPr>
            <w:r>
              <w:rPr>
                <w:rFonts w:ascii="Calibri" w:cs="Calibri" w:eastAsia="Calibri" w:hAnsi="Calibri"/>
                <w:sz w:val="14"/>
                <w:szCs w:val="14"/>
                <w:b w:val="1"/>
                <w:bCs w:val="1"/>
                <w:color w:val="auto"/>
              </w:rPr>
              <w:t>Optons, Warrants</w:t>
            </w:r>
          </w:p>
        </w:tc>
        <w:tc>
          <w:tcPr>
            <w:tcW w:w="2300" w:type="dxa"/>
            <w:vAlign w:val="bottom"/>
            <w:tcBorders>
              <w:right w:val="single" w:sz="8" w:color="auto"/>
            </w:tcBorders>
            <w:gridSpan w:val="2"/>
          </w:tcPr>
          <w:p>
            <w:pPr>
              <w:jc w:val="center"/>
              <w:ind w:right="600"/>
              <w:spacing w:after="0" w:line="135" w:lineRule="exact"/>
              <w:rPr>
                <w:sz w:val="20"/>
                <w:szCs w:val="20"/>
                <w:color w:val="auto"/>
              </w:rPr>
            </w:pPr>
            <w:r>
              <w:rPr>
                <w:rFonts w:ascii="Calibri" w:cs="Calibri" w:eastAsia="Calibri" w:hAnsi="Calibri"/>
                <w:sz w:val="14"/>
                <w:szCs w:val="14"/>
                <w:b w:val="1"/>
                <w:bCs w:val="1"/>
                <w:color w:val="auto"/>
              </w:rPr>
              <w:t>refected in the frst</w:t>
            </w:r>
          </w:p>
        </w:tc>
        <w:tc>
          <w:tcPr>
            <w:tcW w:w="0" w:type="dxa"/>
            <w:vAlign w:val="bottom"/>
          </w:tcPr>
          <w:p>
            <w:pPr>
              <w:spacing w:after="0"/>
              <w:rPr>
                <w:sz w:val="1"/>
                <w:szCs w:val="1"/>
                <w:color w:val="auto"/>
              </w:rPr>
            </w:pPr>
          </w:p>
        </w:tc>
      </w:tr>
      <w:tr>
        <w:trPr>
          <w:trHeight w:val="183"/>
        </w:trPr>
        <w:tc>
          <w:tcPr>
            <w:tcW w:w="5020" w:type="dxa"/>
            <w:vAlign w:val="bottom"/>
            <w:tcBorders>
              <w:left w:val="single" w:sz="8" w:color="auto"/>
            </w:tcBorders>
            <w:gridSpan w:val="2"/>
          </w:tcPr>
          <w:p>
            <w:pPr>
              <w:ind w:left="40"/>
              <w:spacing w:after="0"/>
              <w:rPr>
                <w:sz w:val="20"/>
                <w:szCs w:val="20"/>
                <w:color w:val="auto"/>
              </w:rPr>
            </w:pPr>
            <w:r>
              <w:rPr>
                <w:rFonts w:ascii="Calibri" w:cs="Calibri" w:eastAsia="Calibri" w:hAnsi="Calibri"/>
                <w:sz w:val="14"/>
                <w:szCs w:val="14"/>
                <w:b w:val="1"/>
                <w:bCs w:val="1"/>
                <w:color w:val="auto"/>
              </w:rPr>
              <w:t>Plan Category</w:t>
            </w:r>
          </w:p>
        </w:tc>
        <w:tc>
          <w:tcPr>
            <w:tcW w:w="182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and Rights (a)</w:t>
            </w:r>
          </w:p>
        </w:tc>
        <w:tc>
          <w:tcPr>
            <w:tcW w:w="184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and Rights ($)</w:t>
            </w:r>
          </w:p>
        </w:tc>
        <w:tc>
          <w:tcPr>
            <w:tcW w:w="2300" w:type="dxa"/>
            <w:vAlign w:val="bottom"/>
            <w:tcBorders>
              <w:right w:val="single" w:sz="8" w:color="auto"/>
            </w:tcBorders>
            <w:gridSpan w:val="2"/>
          </w:tcPr>
          <w:p>
            <w:pPr>
              <w:jc w:val="center"/>
              <w:ind w:right="600"/>
              <w:spacing w:after="0"/>
              <w:rPr>
                <w:sz w:val="20"/>
                <w:szCs w:val="20"/>
                <w:color w:val="auto"/>
              </w:rPr>
            </w:pPr>
            <w:r>
              <w:rPr>
                <w:rFonts w:ascii="Calibri" w:cs="Calibri" w:eastAsia="Calibri" w:hAnsi="Calibri"/>
                <w:sz w:val="14"/>
                <w:szCs w:val="14"/>
                <w:b w:val="1"/>
                <w:bCs w:val="1"/>
                <w:color w:val="auto"/>
              </w:rPr>
              <w:t>column) (b)</w:t>
            </w:r>
          </w:p>
        </w:tc>
        <w:tc>
          <w:tcPr>
            <w:tcW w:w="0" w:type="dxa"/>
            <w:vAlign w:val="bottom"/>
          </w:tcPr>
          <w:p>
            <w:pPr>
              <w:spacing w:after="0"/>
              <w:rPr>
                <w:sz w:val="1"/>
                <w:szCs w:val="1"/>
                <w:color w:val="auto"/>
              </w:rPr>
            </w:pPr>
          </w:p>
        </w:tc>
      </w:tr>
      <w:tr>
        <w:trPr>
          <w:trHeight w:val="33"/>
        </w:trPr>
        <w:tc>
          <w:tcPr>
            <w:tcW w:w="49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900" w:type="dxa"/>
            <w:vAlign w:val="bottom"/>
            <w:tcBorders>
              <w:top w:val="single" w:sz="8" w:color="auto"/>
              <w:left w:val="single" w:sz="8" w:color="auto"/>
            </w:tcBorders>
          </w:tcPr>
          <w:p>
            <w:pPr>
              <w:ind w:left="40"/>
              <w:spacing w:after="0" w:line="208" w:lineRule="exact"/>
              <w:rPr>
                <w:sz w:val="20"/>
                <w:szCs w:val="20"/>
                <w:color w:val="auto"/>
              </w:rPr>
            </w:pPr>
            <w:r>
              <w:rPr>
                <w:rFonts w:ascii="Calibri" w:cs="Calibri" w:eastAsia="Calibri" w:hAnsi="Calibri"/>
                <w:sz w:val="18"/>
                <w:szCs w:val="18"/>
                <w:color w:val="auto"/>
              </w:rPr>
              <w:t>Equity compensaton plans approved by security holders</w:t>
            </w:r>
          </w:p>
        </w:tc>
        <w:tc>
          <w:tcPr>
            <w:tcW w:w="120" w:type="dxa"/>
            <w:vAlign w:val="bottom"/>
          </w:tcPr>
          <w:p>
            <w:pPr>
              <w:spacing w:after="0"/>
              <w:rPr>
                <w:sz w:val="18"/>
                <w:szCs w:val="18"/>
                <w:color w:val="auto"/>
              </w:rPr>
            </w:pPr>
          </w:p>
        </w:tc>
        <w:tc>
          <w:tcPr>
            <w:tcW w:w="1720" w:type="dxa"/>
            <w:vAlign w:val="bottom"/>
            <w:tcBorders>
              <w:top w:val="single" w:sz="8" w:color="auto"/>
            </w:tcBorders>
          </w:tcPr>
          <w:p>
            <w:pPr>
              <w:jc w:val="right"/>
              <w:ind w:right="3"/>
              <w:spacing w:after="0" w:line="208" w:lineRule="exact"/>
              <w:rPr>
                <w:sz w:val="20"/>
                <w:szCs w:val="20"/>
                <w:color w:val="auto"/>
              </w:rPr>
            </w:pPr>
            <w:r>
              <w:rPr>
                <w:rFonts w:ascii="Calibri" w:cs="Calibri" w:eastAsia="Calibri" w:hAnsi="Calibri"/>
                <w:sz w:val="18"/>
                <w:szCs w:val="18"/>
                <w:color w:val="auto"/>
              </w:rPr>
              <w:t>70,859</w:t>
            </w:r>
          </w:p>
        </w:tc>
        <w:tc>
          <w:tcPr>
            <w:tcW w:w="100" w:type="dxa"/>
            <w:vAlign w:val="bottom"/>
          </w:tcPr>
          <w:p>
            <w:pPr>
              <w:spacing w:after="0"/>
              <w:rPr>
                <w:sz w:val="18"/>
                <w:szCs w:val="18"/>
                <w:color w:val="auto"/>
              </w:rPr>
            </w:pPr>
          </w:p>
        </w:tc>
        <w:tc>
          <w:tcPr>
            <w:tcW w:w="1720" w:type="dxa"/>
            <w:vAlign w:val="bottom"/>
            <w:tcBorders>
              <w:top w:val="single" w:sz="8" w:color="auto"/>
            </w:tcBorders>
          </w:tcPr>
          <w:p>
            <w:pPr>
              <w:ind w:left="1500"/>
              <w:spacing w:after="0" w:line="208"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7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1,315,819</w:t>
            </w:r>
          </w:p>
        </w:tc>
        <w:tc>
          <w:tcPr>
            <w:tcW w:w="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20" w:type="dxa"/>
            <w:vAlign w:val="bottom"/>
            <w:tcBorders>
              <w:left w:val="single" w:sz="8" w:color="auto"/>
            </w:tcBorders>
            <w:gridSpan w:val="2"/>
          </w:tcPr>
          <w:p>
            <w:pPr>
              <w:ind w:left="40"/>
              <w:spacing w:after="0"/>
              <w:rPr>
                <w:sz w:val="20"/>
                <w:szCs w:val="20"/>
                <w:color w:val="auto"/>
              </w:rPr>
            </w:pPr>
            <w:r>
              <w:rPr>
                <w:rFonts w:ascii="Calibri" w:cs="Calibri" w:eastAsia="Calibri" w:hAnsi="Calibri"/>
                <w:sz w:val="18"/>
                <w:szCs w:val="18"/>
                <w:color w:val="auto"/>
              </w:rPr>
              <w:t>Equity compensaton plans not approved by security holders</w:t>
            </w:r>
          </w:p>
        </w:tc>
        <w:tc>
          <w:tcPr>
            <w:tcW w:w="182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1840" w:type="dxa"/>
            <w:vAlign w:val="bottom"/>
            <w:gridSpan w:val="2"/>
          </w:tcPr>
          <w:p>
            <w:pPr>
              <w:ind w:left="1500"/>
              <w:spacing w:after="0"/>
              <w:rPr>
                <w:sz w:val="20"/>
                <w:szCs w:val="20"/>
                <w:color w:val="auto"/>
              </w:rPr>
            </w:pPr>
            <w:r>
              <w:rPr>
                <w:rFonts w:ascii="Calibri" w:cs="Calibri" w:eastAsia="Calibri" w:hAnsi="Calibri"/>
                <w:sz w:val="18"/>
                <w:szCs w:val="18"/>
                <w:color w:val="auto"/>
              </w:rPr>
              <w:t>—</w:t>
            </w:r>
          </w:p>
        </w:tc>
        <w:tc>
          <w:tcPr>
            <w:tcW w:w="2300" w:type="dxa"/>
            <w:vAlign w:val="bottom"/>
            <w:tcBorders>
              <w:right w:val="single" w:sz="8" w:color="auto"/>
            </w:tcBorders>
            <w:gridSpan w:val="2"/>
          </w:tcPr>
          <w:p>
            <w:pPr>
              <w:jc w:val="right"/>
              <w:ind w:right="66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
        </w:trPr>
        <w:tc>
          <w:tcPr>
            <w:tcW w:w="5020" w:type="dxa"/>
            <w:vAlign w:val="bottom"/>
            <w:tcBorders>
              <w:left w:val="single" w:sz="8" w:color="auto"/>
            </w:tcBorders>
            <w:gridSpan w:val="2"/>
            <w:vMerge w:val="restart"/>
          </w:tcPr>
          <w:p>
            <w:pPr>
              <w:ind w:left="40"/>
              <w:spacing w:after="0"/>
              <w:rPr>
                <w:sz w:val="20"/>
                <w:szCs w:val="20"/>
                <w:color w:val="auto"/>
              </w:rPr>
            </w:pPr>
            <w:r>
              <w:rPr>
                <w:rFonts w:ascii="Calibri" w:cs="Calibri" w:eastAsia="Calibri" w:hAnsi="Calibri"/>
                <w:sz w:val="18"/>
                <w:szCs w:val="18"/>
                <w:color w:val="auto"/>
              </w:rPr>
              <w:t>Total</w:t>
            </w: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20" w:type="dxa"/>
            <w:vAlign w:val="bottom"/>
            <w:tcBorders>
              <w:left w:val="single" w:sz="8" w:color="auto"/>
              <w:bottom w:val="single" w:sz="8" w:color="auto"/>
            </w:tcBorders>
            <w:gridSpan w:val="2"/>
            <w:vMerge w:val="continue"/>
          </w:tcPr>
          <w:p>
            <w:pPr>
              <w:spacing w:after="0"/>
              <w:rPr>
                <w:sz w:val="18"/>
                <w:szCs w:val="18"/>
                <w:color w:val="auto"/>
              </w:rPr>
            </w:pPr>
          </w:p>
        </w:tc>
        <w:tc>
          <w:tcPr>
            <w:tcW w:w="1720" w:type="dxa"/>
            <w:vAlign w:val="bottom"/>
            <w:tcBorders>
              <w:bottom w:val="single" w:sz="8" w:color="auto"/>
            </w:tcBorders>
          </w:tcPr>
          <w:p>
            <w:pPr>
              <w:jc w:val="right"/>
              <w:ind w:right="3"/>
              <w:spacing w:after="0" w:line="215" w:lineRule="exact"/>
              <w:rPr>
                <w:sz w:val="20"/>
                <w:szCs w:val="20"/>
                <w:color w:val="auto"/>
              </w:rPr>
            </w:pPr>
            <w:r>
              <w:rPr>
                <w:rFonts w:ascii="Calibri" w:cs="Calibri" w:eastAsia="Calibri" w:hAnsi="Calibri"/>
                <w:sz w:val="18"/>
                <w:szCs w:val="18"/>
                <w:color w:val="auto"/>
              </w:rPr>
              <w:t>70,859</w:t>
            </w: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ind w:left="150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1,315,819</w:t>
            </w:r>
          </w:p>
        </w:tc>
        <w:tc>
          <w:tcPr>
            <w:tcW w:w="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20" w:right="140" w:hanging="412"/>
        <w:spacing w:after="0" w:line="229" w:lineRule="auto"/>
        <w:tabs>
          <w:tab w:leader="none" w:pos="424" w:val="left"/>
        </w:tabs>
        <w:numPr>
          <w:ilvl w:val="0"/>
          <w:numId w:val="38"/>
        </w:numPr>
        <w:rPr>
          <w:rFonts w:ascii="Calibri" w:cs="Calibri" w:eastAsia="Calibri" w:hAnsi="Calibri"/>
          <w:sz w:val="20"/>
          <w:szCs w:val="20"/>
          <w:color w:val="auto"/>
        </w:rPr>
      </w:pPr>
      <w:r>
        <w:rPr>
          <w:rFonts w:ascii="Calibri" w:cs="Calibri" w:eastAsia="Calibri" w:hAnsi="Calibri"/>
          <w:sz w:val="18"/>
          <w:szCs w:val="18"/>
          <w:color w:val="auto"/>
        </w:rPr>
        <w:t>Represents securites available for issuance under the 2019 Plan pursuant to restricted stock unit awards for fscal 2024. A total of 70,859 shares of restricted stock were issued in setlement of these awards subsequent to the end of fscal 2024.</w:t>
      </w:r>
    </w:p>
    <w:p>
      <w:pPr>
        <w:spacing w:after="0" w:line="97" w:lineRule="exact"/>
        <w:rPr>
          <w:rFonts w:ascii="Calibri" w:cs="Calibri" w:eastAsia="Calibri" w:hAnsi="Calibri"/>
          <w:sz w:val="20"/>
          <w:szCs w:val="20"/>
          <w:color w:val="auto"/>
        </w:rPr>
      </w:pPr>
    </w:p>
    <w:p>
      <w:pPr>
        <w:ind w:left="420" w:right="160" w:hanging="412"/>
        <w:spacing w:after="0" w:line="235" w:lineRule="auto"/>
        <w:tabs>
          <w:tab w:leader="none" w:pos="402"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Consists of 1,122,799 shares available for future issuance under the 2019 Plan and 193,020 shares available for issuance under the Employee Stock Purchase Plan.</w:t>
      </w:r>
    </w:p>
    <w:p>
      <w:pPr>
        <w:spacing w:after="0" w:line="200" w:lineRule="exact"/>
        <w:rPr>
          <w:sz w:val="20"/>
          <w:szCs w:val="20"/>
          <w:color w:val="auto"/>
        </w:rPr>
      </w:pPr>
    </w:p>
    <w:p>
      <w:pPr>
        <w:spacing w:after="0" w:line="350" w:lineRule="exact"/>
        <w:rPr>
          <w:sz w:val="20"/>
          <w:szCs w:val="20"/>
          <w:color w:val="auto"/>
        </w:rPr>
      </w:pPr>
    </w:p>
    <w:p>
      <w:pPr>
        <w:jc w:val="center"/>
        <w:ind w:right="-279"/>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868" w:right="599" w:bottom="1440" w:gutter="0" w:footer="0" w:header="0"/>
        </w:sectPr>
      </w:pPr>
    </w:p>
    <w:bookmarkStart w:id="37" w:name="page38"/>
    <w:bookmarkEnd w:id="37"/>
    <w:p>
      <w:pPr>
        <w:spacing w:after="0"/>
        <w:rPr>
          <w:sz w:val="20"/>
          <w:szCs w:val="20"/>
          <w:color w:val="auto"/>
        </w:rPr>
      </w:pPr>
      <w:r>
        <w:rPr>
          <w:rFonts w:ascii="Calibri" w:cs="Calibri" w:eastAsia="Calibri" w:hAnsi="Calibri"/>
          <w:sz w:val="25"/>
          <w:szCs w:val="25"/>
          <w:b w:val="1"/>
          <w:bCs w:val="1"/>
          <w:color w:val="auto"/>
        </w:rPr>
        <w:t>SECURITY OWNERSHIP OF MANAGEMENT AND BENEFICIAL OWNERSHIP</w:t>
      </w:r>
    </w:p>
    <w:p>
      <w:pPr>
        <w:spacing w:after="0" w:line="253" w:lineRule="exact"/>
        <w:rPr>
          <w:sz w:val="20"/>
          <w:szCs w:val="20"/>
          <w:color w:val="auto"/>
        </w:rPr>
      </w:pPr>
    </w:p>
    <w:p>
      <w:pPr>
        <w:jc w:val="both"/>
        <w:ind w:right="140"/>
        <w:spacing w:after="0" w:line="235" w:lineRule="auto"/>
        <w:rPr>
          <w:sz w:val="20"/>
          <w:szCs w:val="20"/>
          <w:color w:val="auto"/>
        </w:rPr>
      </w:pPr>
      <w:r>
        <w:rPr>
          <w:rFonts w:ascii="Calibri" w:cs="Calibri" w:eastAsia="Calibri" w:hAnsi="Calibri"/>
          <w:sz w:val="18"/>
          <w:szCs w:val="18"/>
          <w:color w:val="auto"/>
        </w:rPr>
        <w:t>The following table contains informaton as of June 5, 2024 (except as otherwise noted below) concerning the benefcial ownership of our common stock by all directors, the named executve ofcers, all directors and executve ofcers as a group and shareholders known by us to benefcially own more than 5% of our common stock. Unless otherwise noted, the address for each shareholder listed below is our principal executve ofces.</w:t>
      </w: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6440" w:type="dxa"/>
            <w:vAlign w:val="bottom"/>
            <w:tcBorders>
              <w:top w:val="single" w:sz="8" w:color="auto"/>
              <w:left w:val="single" w:sz="8" w:color="auto"/>
            </w:tcBorders>
          </w:tcPr>
          <w:p>
            <w:pPr>
              <w:spacing w:after="0"/>
              <w:rPr>
                <w:sz w:val="12"/>
                <w:szCs w:val="12"/>
                <w:color w:val="auto"/>
              </w:rPr>
            </w:pPr>
          </w:p>
        </w:tc>
        <w:tc>
          <w:tcPr>
            <w:tcW w:w="1940" w:type="dxa"/>
            <w:vAlign w:val="bottom"/>
            <w:tcBorders>
              <w:top w:val="single" w:sz="8" w:color="auto"/>
            </w:tcBorders>
          </w:tcPr>
          <w:p>
            <w:pPr>
              <w:jc w:val="center"/>
              <w:spacing w:after="0" w:line="148" w:lineRule="exact"/>
              <w:rPr>
                <w:sz w:val="20"/>
                <w:szCs w:val="20"/>
                <w:color w:val="auto"/>
              </w:rPr>
            </w:pPr>
            <w:r>
              <w:rPr>
                <w:rFonts w:ascii="Calibri" w:cs="Calibri" w:eastAsia="Calibri" w:hAnsi="Calibri"/>
                <w:sz w:val="14"/>
                <w:szCs w:val="14"/>
                <w:b w:val="1"/>
                <w:bCs w:val="1"/>
                <w:color w:val="auto"/>
              </w:rPr>
              <w:t>Number of Shares</w:t>
            </w:r>
          </w:p>
        </w:tc>
        <w:tc>
          <w:tcPr>
            <w:tcW w:w="1060" w:type="dxa"/>
            <w:vAlign w:val="bottom"/>
            <w:tcBorders>
              <w:top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Borders>
              <w:left w:val="single" w:sz="8" w:color="auto"/>
            </w:tcBorders>
            <w:vMerge w:val="restart"/>
          </w:tcPr>
          <w:p>
            <w:pPr>
              <w:ind w:left="40"/>
              <w:spacing w:after="0"/>
              <w:rPr>
                <w:sz w:val="20"/>
                <w:szCs w:val="20"/>
                <w:color w:val="auto"/>
              </w:rPr>
            </w:pPr>
            <w:r>
              <w:rPr>
                <w:rFonts w:ascii="Calibri" w:cs="Calibri" w:eastAsia="Calibri" w:hAnsi="Calibri"/>
                <w:sz w:val="14"/>
                <w:szCs w:val="14"/>
                <w:b w:val="1"/>
                <w:bCs w:val="1"/>
                <w:color w:val="auto"/>
              </w:rPr>
              <w:t>Name of Benefcial Owner</w:t>
            </w:r>
          </w:p>
        </w:tc>
        <w:tc>
          <w:tcPr>
            <w:tcW w:w="1940" w:type="dxa"/>
            <w:vAlign w:val="bottom"/>
          </w:tcPr>
          <w:p>
            <w:pPr>
              <w:jc w:val="center"/>
              <w:spacing w:after="0" w:line="149" w:lineRule="exact"/>
              <w:rPr>
                <w:sz w:val="20"/>
                <w:szCs w:val="20"/>
                <w:color w:val="auto"/>
              </w:rPr>
            </w:pPr>
            <w:r>
              <w:rPr>
                <w:rFonts w:ascii="Calibri" w:cs="Calibri" w:eastAsia="Calibri" w:hAnsi="Calibri"/>
                <w:sz w:val="14"/>
                <w:szCs w:val="14"/>
                <w:b w:val="1"/>
                <w:bCs w:val="1"/>
                <w:color w:val="auto"/>
              </w:rPr>
              <w:t>Benefcially</w:t>
            </w:r>
          </w:p>
        </w:tc>
        <w:tc>
          <w:tcPr>
            <w:tcW w:w="1060" w:type="dxa"/>
            <w:vAlign w:val="bottom"/>
          </w:tcPr>
          <w:p>
            <w:pPr>
              <w:spacing w:after="0"/>
              <w:rPr>
                <w:sz w:val="12"/>
                <w:szCs w:val="12"/>
                <w:color w:val="auto"/>
              </w:rPr>
            </w:pPr>
          </w:p>
        </w:tc>
        <w:tc>
          <w:tcPr>
            <w:tcW w:w="1640" w:type="dxa"/>
            <w:vAlign w:val="bottom"/>
            <w:tcBorders>
              <w:right w:val="single" w:sz="8" w:color="auto"/>
            </w:tcBorders>
          </w:tcPr>
          <w:p>
            <w:pPr>
              <w:jc w:val="right"/>
              <w:ind w:right="432"/>
              <w:spacing w:after="0" w:line="149" w:lineRule="exact"/>
              <w:rPr>
                <w:sz w:val="20"/>
                <w:szCs w:val="20"/>
                <w:color w:val="auto"/>
              </w:rPr>
            </w:pPr>
            <w:r>
              <w:rPr>
                <w:rFonts w:ascii="Calibri" w:cs="Calibri" w:eastAsia="Calibri" w:hAnsi="Calibri"/>
                <w:sz w:val="14"/>
                <w:szCs w:val="14"/>
                <w:b w:val="1"/>
                <w:bCs w:val="1"/>
                <w:color w:val="auto"/>
              </w:rPr>
              <w:t>Percent of</w:t>
            </w:r>
          </w:p>
        </w:tc>
        <w:tc>
          <w:tcPr>
            <w:tcW w:w="0" w:type="dxa"/>
            <w:vAlign w:val="bottom"/>
          </w:tcPr>
          <w:p>
            <w:pPr>
              <w:spacing w:after="0"/>
              <w:rPr>
                <w:sz w:val="1"/>
                <w:szCs w:val="1"/>
                <w:color w:val="auto"/>
              </w:rPr>
            </w:pPr>
          </w:p>
        </w:tc>
      </w:tr>
      <w:tr>
        <w:trPr>
          <w:trHeight w:val="170"/>
        </w:trPr>
        <w:tc>
          <w:tcPr>
            <w:tcW w:w="6440" w:type="dxa"/>
            <w:vAlign w:val="bottom"/>
            <w:tcBorders>
              <w:left w:val="single" w:sz="8" w:color="auto"/>
            </w:tcBorders>
            <w:vMerge w:val="continue"/>
          </w:tcPr>
          <w:p>
            <w:pPr>
              <w:spacing w:after="0"/>
              <w:rPr>
                <w:sz w:val="14"/>
                <w:szCs w:val="14"/>
                <w:color w:val="auto"/>
              </w:rPr>
            </w:pPr>
          </w:p>
        </w:tc>
        <w:tc>
          <w:tcPr>
            <w:tcW w:w="1940" w:type="dxa"/>
            <w:vAlign w:val="bottom"/>
          </w:tcPr>
          <w:p>
            <w:pPr>
              <w:jc w:val="center"/>
              <w:spacing w:after="0"/>
              <w:rPr>
                <w:sz w:val="20"/>
                <w:szCs w:val="20"/>
                <w:color w:val="auto"/>
              </w:rPr>
            </w:pPr>
            <w:r>
              <w:rPr>
                <w:rFonts w:ascii="Calibri" w:cs="Calibri" w:eastAsia="Calibri" w:hAnsi="Calibri"/>
                <w:sz w:val="14"/>
                <w:szCs w:val="14"/>
                <w:b w:val="1"/>
                <w:bCs w:val="1"/>
                <w:color w:val="auto"/>
              </w:rPr>
              <w:t>Owned (a)</w:t>
            </w:r>
          </w:p>
        </w:tc>
        <w:tc>
          <w:tcPr>
            <w:tcW w:w="1060" w:type="dxa"/>
            <w:vAlign w:val="bottom"/>
          </w:tcPr>
          <w:p>
            <w:pPr>
              <w:spacing w:after="0"/>
              <w:rPr>
                <w:sz w:val="14"/>
                <w:szCs w:val="14"/>
                <w:color w:val="auto"/>
              </w:rPr>
            </w:pPr>
          </w:p>
        </w:tc>
        <w:tc>
          <w:tcPr>
            <w:tcW w:w="1640" w:type="dxa"/>
            <w:vAlign w:val="bottom"/>
            <w:tcBorders>
              <w:right w:val="single" w:sz="8" w:color="auto"/>
            </w:tcBorders>
          </w:tcPr>
          <w:p>
            <w:pPr>
              <w:jc w:val="right"/>
              <w:ind w:right="552"/>
              <w:spacing w:after="0"/>
              <w:rPr>
                <w:sz w:val="20"/>
                <w:szCs w:val="20"/>
                <w:color w:val="auto"/>
              </w:rPr>
            </w:pPr>
            <w:r>
              <w:rPr>
                <w:rFonts w:ascii="Calibri" w:cs="Calibri" w:eastAsia="Calibri" w:hAnsi="Calibri"/>
                <w:sz w:val="14"/>
                <w:szCs w:val="14"/>
                <w:b w:val="1"/>
                <w:bCs w:val="1"/>
                <w:color w:val="auto"/>
              </w:rPr>
              <w:t>Shares</w:t>
            </w:r>
          </w:p>
        </w:tc>
        <w:tc>
          <w:tcPr>
            <w:tcW w:w="0" w:type="dxa"/>
            <w:vAlign w:val="bottom"/>
          </w:tcPr>
          <w:p>
            <w:pPr>
              <w:spacing w:after="0"/>
              <w:rPr>
                <w:sz w:val="1"/>
                <w:szCs w:val="1"/>
                <w:color w:val="auto"/>
              </w:rPr>
            </w:pPr>
          </w:p>
        </w:tc>
      </w:tr>
      <w:tr>
        <w:trPr>
          <w:trHeight w:val="33"/>
        </w:trPr>
        <w:tc>
          <w:tcPr>
            <w:tcW w:w="6440" w:type="dxa"/>
            <w:vAlign w:val="bottom"/>
            <w:tcBorders>
              <w:left w:val="single" w:sz="8" w:color="auto"/>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40" w:type="dxa"/>
            <w:vAlign w:val="bottom"/>
            <w:tcBorders>
              <w:left w:val="single" w:sz="8" w:color="auto"/>
            </w:tcBorders>
            <w:shd w:val="clear" w:color="auto" w:fill="B3B3B3"/>
          </w:tcPr>
          <w:p>
            <w:pPr>
              <w:ind w:left="40"/>
              <w:spacing w:after="0" w:line="215" w:lineRule="exact"/>
              <w:rPr>
                <w:sz w:val="20"/>
                <w:szCs w:val="20"/>
                <w:color w:val="auto"/>
              </w:rPr>
            </w:pPr>
            <w:r>
              <w:rPr>
                <w:rFonts w:ascii="Calibri" w:cs="Calibri" w:eastAsia="Calibri" w:hAnsi="Calibri"/>
                <w:sz w:val="18"/>
                <w:szCs w:val="18"/>
                <w:color w:val="auto"/>
              </w:rPr>
              <w:t>James A. Faulconbridge</w:t>
            </w:r>
          </w:p>
        </w:tc>
        <w:tc>
          <w:tcPr>
            <w:tcW w:w="1940" w:type="dxa"/>
            <w:vAlign w:val="bottom"/>
            <w:shd w:val="clear" w:color="auto" w:fill="B3B3B3"/>
          </w:tcPr>
          <w:p>
            <w:pPr>
              <w:jc w:val="right"/>
              <w:ind w:right="13"/>
              <w:spacing w:after="0" w:line="215" w:lineRule="exact"/>
              <w:rPr>
                <w:sz w:val="20"/>
                <w:szCs w:val="20"/>
                <w:color w:val="auto"/>
              </w:rPr>
            </w:pPr>
            <w:r>
              <w:rPr>
                <w:rFonts w:ascii="Calibri" w:cs="Calibri" w:eastAsia="Calibri" w:hAnsi="Calibri"/>
                <w:sz w:val="18"/>
                <w:szCs w:val="18"/>
                <w:color w:val="auto"/>
              </w:rPr>
              <w:t>38,717</w:t>
            </w:r>
          </w:p>
        </w:tc>
        <w:tc>
          <w:tcPr>
            <w:tcW w:w="1060" w:type="dxa"/>
            <w:vAlign w:val="bottom"/>
            <w:shd w:val="clear" w:color="auto" w:fill="B3B3B3"/>
          </w:tcPr>
          <w:p>
            <w:pPr>
              <w:ind w:left="100"/>
              <w:spacing w:after="0" w:line="215" w:lineRule="exact"/>
              <w:rPr>
                <w:sz w:val="20"/>
                <w:szCs w:val="20"/>
                <w:color w:val="auto"/>
              </w:rPr>
            </w:pPr>
            <w:r>
              <w:rPr>
                <w:rFonts w:ascii="Calibri" w:cs="Calibri" w:eastAsia="Calibri" w:hAnsi="Calibri"/>
                <w:sz w:val="18"/>
                <w:szCs w:val="18"/>
                <w:color w:val="auto"/>
              </w:rPr>
              <w:t>(b)</w:t>
            </w:r>
          </w:p>
        </w:tc>
        <w:tc>
          <w:tcPr>
            <w:tcW w:w="1640" w:type="dxa"/>
            <w:vAlign w:val="bottom"/>
            <w:tcBorders>
              <w:right w:val="single" w:sz="8" w:color="auto"/>
            </w:tcBorders>
            <w:shd w:val="clear" w:color="auto" w:fill="B3B3B3"/>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6440" w:type="dxa"/>
            <w:vAlign w:val="bottom"/>
            <w:tcBorders>
              <w:lef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Patrick H. Hawkins</w:t>
            </w:r>
          </w:p>
        </w:tc>
        <w:tc>
          <w:tcPr>
            <w:tcW w:w="1940" w:type="dxa"/>
            <w:vAlign w:val="bottom"/>
          </w:tcPr>
          <w:p>
            <w:pPr>
              <w:jc w:val="right"/>
              <w:ind w:right="13"/>
              <w:spacing w:after="0" w:line="215" w:lineRule="exact"/>
              <w:rPr>
                <w:sz w:val="20"/>
                <w:szCs w:val="20"/>
                <w:color w:val="auto"/>
              </w:rPr>
            </w:pPr>
            <w:r>
              <w:rPr>
                <w:rFonts w:ascii="Calibri" w:cs="Calibri" w:eastAsia="Calibri" w:hAnsi="Calibri"/>
                <w:sz w:val="18"/>
                <w:szCs w:val="18"/>
                <w:color w:val="auto"/>
              </w:rPr>
              <w:t>330,309</w:t>
            </w:r>
          </w:p>
        </w:tc>
        <w:tc>
          <w:tcPr>
            <w:tcW w:w="1060" w:type="dxa"/>
            <w:vAlign w:val="bottom"/>
          </w:tcPr>
          <w:p>
            <w:pPr>
              <w:ind w:left="100"/>
              <w:spacing w:after="0" w:line="215" w:lineRule="exact"/>
              <w:rPr>
                <w:sz w:val="20"/>
                <w:szCs w:val="20"/>
                <w:color w:val="auto"/>
              </w:rPr>
            </w:pPr>
            <w:r>
              <w:rPr>
                <w:rFonts w:ascii="Calibri" w:cs="Calibri" w:eastAsia="Calibri" w:hAnsi="Calibri"/>
                <w:sz w:val="18"/>
                <w:szCs w:val="18"/>
                <w:color w:val="auto"/>
              </w:rPr>
              <w:t>(c)(d)</w:t>
            </w:r>
          </w:p>
        </w:tc>
        <w:tc>
          <w:tcPr>
            <w:tcW w:w="164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1.6 %</w:t>
            </w:r>
          </w:p>
        </w:tc>
        <w:tc>
          <w:tcPr>
            <w:tcW w:w="0" w:type="dxa"/>
            <w:vAlign w:val="bottom"/>
          </w:tcPr>
          <w:p>
            <w:pPr>
              <w:spacing w:after="0"/>
              <w:rPr>
                <w:sz w:val="1"/>
                <w:szCs w:val="1"/>
                <w:color w:val="auto"/>
              </w:rPr>
            </w:pPr>
          </w:p>
        </w:tc>
      </w:tr>
      <w:tr>
        <w:trPr>
          <w:trHeight w:val="237"/>
        </w:trPr>
        <w:tc>
          <w:tcPr>
            <w:tcW w:w="6440" w:type="dxa"/>
            <w:vAlign w:val="bottom"/>
            <w:tcBorders>
              <w:left w:val="single" w:sz="8" w:color="auto"/>
            </w:tcBorders>
            <w:shd w:val="clear" w:color="auto" w:fill="B3B3B3"/>
          </w:tcPr>
          <w:p>
            <w:pPr>
              <w:ind w:left="40"/>
              <w:spacing w:after="0"/>
              <w:rPr>
                <w:sz w:val="20"/>
                <w:szCs w:val="20"/>
                <w:color w:val="auto"/>
              </w:rPr>
            </w:pPr>
            <w:r>
              <w:rPr>
                <w:rFonts w:ascii="Calibri" w:cs="Calibri" w:eastAsia="Calibri" w:hAnsi="Calibri"/>
                <w:sz w:val="18"/>
                <w:szCs w:val="18"/>
                <w:color w:val="auto"/>
              </w:rPr>
              <w:t>Mary J. Schumacher</w:t>
            </w:r>
          </w:p>
        </w:tc>
        <w:tc>
          <w:tcPr>
            <w:tcW w:w="1940" w:type="dxa"/>
            <w:vAlign w:val="bottom"/>
            <w:shd w:val="clear" w:color="auto" w:fill="B3B3B3"/>
          </w:tcPr>
          <w:p>
            <w:pPr>
              <w:jc w:val="right"/>
              <w:ind w:right="13"/>
              <w:spacing w:after="0"/>
              <w:rPr>
                <w:sz w:val="20"/>
                <w:szCs w:val="20"/>
                <w:color w:val="auto"/>
              </w:rPr>
            </w:pPr>
            <w:r>
              <w:rPr>
                <w:rFonts w:ascii="Calibri" w:cs="Calibri" w:eastAsia="Calibri" w:hAnsi="Calibri"/>
                <w:sz w:val="18"/>
                <w:szCs w:val="18"/>
                <w:color w:val="auto"/>
              </w:rPr>
              <w:t>24,587</w:t>
            </w:r>
          </w:p>
        </w:tc>
        <w:tc>
          <w:tcPr>
            <w:tcW w:w="1060" w:type="dxa"/>
            <w:vAlign w:val="bottom"/>
            <w:shd w:val="clear" w:color="auto" w:fill="B3B3B3"/>
          </w:tcPr>
          <w:p>
            <w:pPr>
              <w:ind w:left="100"/>
              <w:spacing w:after="0"/>
              <w:rPr>
                <w:sz w:val="20"/>
                <w:szCs w:val="20"/>
                <w:color w:val="auto"/>
              </w:rPr>
            </w:pPr>
            <w:r>
              <w:rPr>
                <w:rFonts w:ascii="Calibri" w:cs="Calibri" w:eastAsia="Calibri" w:hAnsi="Calibri"/>
                <w:sz w:val="18"/>
                <w:szCs w:val="18"/>
                <w:color w:val="auto"/>
              </w:rPr>
              <w:t>(e)</w:t>
            </w:r>
          </w:p>
        </w:tc>
        <w:tc>
          <w:tcPr>
            <w:tcW w:w="1640" w:type="dxa"/>
            <w:vAlign w:val="bottom"/>
            <w:tcBorders>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6440" w:type="dxa"/>
            <w:vAlign w:val="bottom"/>
            <w:tcBorders>
              <w:lef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Jefrey E. Spethmann</w:t>
            </w:r>
          </w:p>
        </w:tc>
        <w:tc>
          <w:tcPr>
            <w:tcW w:w="1940" w:type="dxa"/>
            <w:vAlign w:val="bottom"/>
          </w:tcPr>
          <w:p>
            <w:pPr>
              <w:jc w:val="right"/>
              <w:ind w:right="13"/>
              <w:spacing w:after="0" w:line="215" w:lineRule="exact"/>
              <w:rPr>
                <w:sz w:val="20"/>
                <w:szCs w:val="20"/>
                <w:color w:val="auto"/>
              </w:rPr>
            </w:pPr>
            <w:r>
              <w:rPr>
                <w:rFonts w:ascii="Calibri" w:cs="Calibri" w:eastAsia="Calibri" w:hAnsi="Calibri"/>
                <w:sz w:val="18"/>
                <w:szCs w:val="18"/>
                <w:color w:val="auto"/>
              </w:rPr>
              <w:t>4,321</w:t>
            </w:r>
          </w:p>
        </w:tc>
        <w:tc>
          <w:tcPr>
            <w:tcW w:w="1060" w:type="dxa"/>
            <w:vAlign w:val="bottom"/>
          </w:tcPr>
          <w:p>
            <w:pPr>
              <w:ind w:left="100"/>
              <w:spacing w:after="0" w:line="215" w:lineRule="exact"/>
              <w:rPr>
                <w:sz w:val="20"/>
                <w:szCs w:val="20"/>
                <w:color w:val="auto"/>
              </w:rPr>
            </w:pPr>
            <w:r>
              <w:rPr>
                <w:rFonts w:ascii="Calibri" w:cs="Calibri" w:eastAsia="Calibri" w:hAnsi="Calibri"/>
                <w:sz w:val="18"/>
                <w:szCs w:val="18"/>
                <w:color w:val="auto"/>
              </w:rPr>
              <w:t>(e)</w:t>
            </w:r>
          </w:p>
        </w:tc>
        <w:tc>
          <w:tcPr>
            <w:tcW w:w="1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40" w:type="dxa"/>
            <w:vAlign w:val="bottom"/>
            <w:tcBorders>
              <w:left w:val="single" w:sz="8" w:color="auto"/>
            </w:tcBorders>
            <w:shd w:val="clear" w:color="auto" w:fill="B3B3B3"/>
          </w:tcPr>
          <w:p>
            <w:pPr>
              <w:ind w:left="40"/>
              <w:spacing w:after="0"/>
              <w:rPr>
                <w:sz w:val="20"/>
                <w:szCs w:val="20"/>
                <w:color w:val="auto"/>
              </w:rPr>
            </w:pPr>
            <w:r>
              <w:rPr>
                <w:rFonts w:ascii="Calibri" w:cs="Calibri" w:eastAsia="Calibri" w:hAnsi="Calibri"/>
                <w:sz w:val="18"/>
                <w:szCs w:val="18"/>
                <w:color w:val="auto"/>
              </w:rPr>
              <w:t>Daniel J. Stauber</w:t>
            </w:r>
          </w:p>
        </w:tc>
        <w:tc>
          <w:tcPr>
            <w:tcW w:w="1940" w:type="dxa"/>
            <w:vAlign w:val="bottom"/>
            <w:shd w:val="clear" w:color="auto" w:fill="B3B3B3"/>
          </w:tcPr>
          <w:p>
            <w:pPr>
              <w:jc w:val="right"/>
              <w:ind w:right="13"/>
              <w:spacing w:after="0"/>
              <w:rPr>
                <w:sz w:val="20"/>
                <w:szCs w:val="20"/>
                <w:color w:val="auto"/>
              </w:rPr>
            </w:pPr>
            <w:r>
              <w:rPr>
                <w:rFonts w:ascii="Calibri" w:cs="Calibri" w:eastAsia="Calibri" w:hAnsi="Calibri"/>
                <w:sz w:val="18"/>
                <w:szCs w:val="18"/>
                <w:color w:val="auto"/>
              </w:rPr>
              <w:t>32,460</w:t>
            </w:r>
          </w:p>
        </w:tc>
        <w:tc>
          <w:tcPr>
            <w:tcW w:w="1060" w:type="dxa"/>
            <w:vAlign w:val="bottom"/>
            <w:shd w:val="clear" w:color="auto" w:fill="B3B3B3"/>
          </w:tcPr>
          <w:p>
            <w:pPr>
              <w:ind w:left="100"/>
              <w:spacing w:after="0"/>
              <w:rPr>
                <w:sz w:val="20"/>
                <w:szCs w:val="20"/>
                <w:color w:val="auto"/>
              </w:rPr>
            </w:pPr>
            <w:r>
              <w:rPr>
                <w:rFonts w:ascii="Calibri" w:cs="Calibri" w:eastAsia="Calibri" w:hAnsi="Calibri"/>
                <w:sz w:val="18"/>
                <w:szCs w:val="18"/>
                <w:color w:val="auto"/>
              </w:rPr>
              <w:t>(e)</w:t>
            </w:r>
          </w:p>
        </w:tc>
        <w:tc>
          <w:tcPr>
            <w:tcW w:w="1640" w:type="dxa"/>
            <w:vAlign w:val="bottom"/>
            <w:tcBorders>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6440" w:type="dxa"/>
            <w:vAlign w:val="bottom"/>
            <w:tcBorders>
              <w:lef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Yi "Faith" Tang</w:t>
            </w:r>
          </w:p>
        </w:tc>
        <w:tc>
          <w:tcPr>
            <w:tcW w:w="1940" w:type="dxa"/>
            <w:vAlign w:val="bottom"/>
          </w:tcPr>
          <w:p>
            <w:pPr>
              <w:jc w:val="right"/>
              <w:ind w:right="13"/>
              <w:spacing w:after="0" w:line="215" w:lineRule="exact"/>
              <w:rPr>
                <w:sz w:val="20"/>
                <w:szCs w:val="20"/>
                <w:color w:val="auto"/>
              </w:rPr>
            </w:pPr>
            <w:r>
              <w:rPr>
                <w:rFonts w:ascii="Calibri" w:cs="Calibri" w:eastAsia="Calibri" w:hAnsi="Calibri"/>
                <w:sz w:val="18"/>
                <w:szCs w:val="18"/>
                <w:color w:val="auto"/>
              </w:rPr>
              <w:t>6,301</w:t>
            </w:r>
          </w:p>
        </w:tc>
        <w:tc>
          <w:tcPr>
            <w:tcW w:w="1060" w:type="dxa"/>
            <w:vAlign w:val="bottom"/>
          </w:tcPr>
          <w:p>
            <w:pPr>
              <w:ind w:left="100"/>
              <w:spacing w:after="0" w:line="215" w:lineRule="exact"/>
              <w:rPr>
                <w:sz w:val="20"/>
                <w:szCs w:val="20"/>
                <w:color w:val="auto"/>
              </w:rPr>
            </w:pPr>
            <w:r>
              <w:rPr>
                <w:rFonts w:ascii="Calibri" w:cs="Calibri" w:eastAsia="Calibri" w:hAnsi="Calibri"/>
                <w:sz w:val="18"/>
                <w:szCs w:val="18"/>
                <w:color w:val="auto"/>
              </w:rPr>
              <w:t>(e)</w:t>
            </w:r>
          </w:p>
        </w:tc>
        <w:tc>
          <w:tcPr>
            <w:tcW w:w="164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7"/>
        </w:trPr>
        <w:tc>
          <w:tcPr>
            <w:tcW w:w="6440" w:type="dxa"/>
            <w:vAlign w:val="bottom"/>
            <w:tcBorders>
              <w:left w:val="single" w:sz="8" w:color="auto"/>
            </w:tcBorders>
            <w:shd w:val="clear" w:color="auto" w:fill="B3B3B3"/>
          </w:tcPr>
          <w:p>
            <w:pPr>
              <w:ind w:left="40"/>
              <w:spacing w:after="0"/>
              <w:rPr>
                <w:sz w:val="20"/>
                <w:szCs w:val="20"/>
                <w:color w:val="auto"/>
              </w:rPr>
            </w:pPr>
            <w:r>
              <w:rPr>
                <w:rFonts w:ascii="Calibri" w:cs="Calibri" w:eastAsia="Calibri" w:hAnsi="Calibri"/>
                <w:sz w:val="18"/>
                <w:szCs w:val="18"/>
                <w:color w:val="auto"/>
              </w:rPr>
              <w:t>James T. Thompson</w:t>
            </w:r>
          </w:p>
        </w:tc>
        <w:tc>
          <w:tcPr>
            <w:tcW w:w="1940" w:type="dxa"/>
            <w:vAlign w:val="bottom"/>
            <w:shd w:val="clear" w:color="auto" w:fill="B3B3B3"/>
          </w:tcPr>
          <w:p>
            <w:pPr>
              <w:jc w:val="right"/>
              <w:ind w:right="13"/>
              <w:spacing w:after="0"/>
              <w:rPr>
                <w:sz w:val="20"/>
                <w:szCs w:val="20"/>
                <w:color w:val="auto"/>
              </w:rPr>
            </w:pPr>
            <w:r>
              <w:rPr>
                <w:rFonts w:ascii="Calibri" w:cs="Calibri" w:eastAsia="Calibri" w:hAnsi="Calibri"/>
                <w:sz w:val="18"/>
                <w:szCs w:val="18"/>
                <w:color w:val="auto"/>
              </w:rPr>
              <w:t>36,605</w:t>
            </w:r>
          </w:p>
        </w:tc>
        <w:tc>
          <w:tcPr>
            <w:tcW w:w="1060" w:type="dxa"/>
            <w:vAlign w:val="bottom"/>
            <w:shd w:val="clear" w:color="auto" w:fill="B3B3B3"/>
          </w:tcPr>
          <w:p>
            <w:pPr>
              <w:ind w:left="100"/>
              <w:spacing w:after="0"/>
              <w:rPr>
                <w:sz w:val="20"/>
                <w:szCs w:val="20"/>
                <w:color w:val="auto"/>
              </w:rPr>
            </w:pPr>
            <w:r>
              <w:rPr>
                <w:rFonts w:ascii="Calibri" w:cs="Calibri" w:eastAsia="Calibri" w:hAnsi="Calibri"/>
                <w:sz w:val="18"/>
                <w:szCs w:val="18"/>
                <w:color w:val="auto"/>
              </w:rPr>
              <w:t>(e)</w:t>
            </w:r>
          </w:p>
        </w:tc>
        <w:tc>
          <w:tcPr>
            <w:tcW w:w="1640" w:type="dxa"/>
            <w:vAlign w:val="bottom"/>
            <w:tcBorders>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6440" w:type="dxa"/>
            <w:vAlign w:val="bottom"/>
            <w:tcBorders>
              <w:lef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Jefrey L. Wright</w:t>
            </w:r>
          </w:p>
        </w:tc>
        <w:tc>
          <w:tcPr>
            <w:tcW w:w="1940" w:type="dxa"/>
            <w:vAlign w:val="bottom"/>
          </w:tcPr>
          <w:p>
            <w:pPr>
              <w:jc w:val="right"/>
              <w:ind w:right="13"/>
              <w:spacing w:after="0" w:line="215" w:lineRule="exact"/>
              <w:rPr>
                <w:sz w:val="20"/>
                <w:szCs w:val="20"/>
                <w:color w:val="auto"/>
              </w:rPr>
            </w:pPr>
            <w:r>
              <w:rPr>
                <w:rFonts w:ascii="Calibri" w:cs="Calibri" w:eastAsia="Calibri" w:hAnsi="Calibri"/>
                <w:sz w:val="18"/>
                <w:szCs w:val="18"/>
                <w:color w:val="auto"/>
              </w:rPr>
              <w:t>40,605</w:t>
            </w:r>
          </w:p>
        </w:tc>
        <w:tc>
          <w:tcPr>
            <w:tcW w:w="1060" w:type="dxa"/>
            <w:vAlign w:val="bottom"/>
          </w:tcPr>
          <w:p>
            <w:pPr>
              <w:ind w:left="100"/>
              <w:spacing w:after="0" w:line="215" w:lineRule="exact"/>
              <w:rPr>
                <w:sz w:val="20"/>
                <w:szCs w:val="20"/>
                <w:color w:val="auto"/>
              </w:rPr>
            </w:pPr>
            <w:r>
              <w:rPr>
                <w:rFonts w:ascii="Calibri" w:cs="Calibri" w:eastAsia="Calibri" w:hAnsi="Calibri"/>
                <w:sz w:val="18"/>
                <w:szCs w:val="18"/>
                <w:color w:val="auto"/>
              </w:rPr>
              <w:t>(e)</w:t>
            </w:r>
          </w:p>
        </w:tc>
        <w:tc>
          <w:tcPr>
            <w:tcW w:w="164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7"/>
        </w:trPr>
        <w:tc>
          <w:tcPr>
            <w:tcW w:w="6440" w:type="dxa"/>
            <w:vAlign w:val="bottom"/>
            <w:tcBorders>
              <w:left w:val="single" w:sz="8" w:color="auto"/>
            </w:tcBorders>
            <w:shd w:val="clear" w:color="auto" w:fill="B3B3B3"/>
          </w:tcPr>
          <w:p>
            <w:pPr>
              <w:ind w:left="40"/>
              <w:spacing w:after="0"/>
              <w:rPr>
                <w:sz w:val="20"/>
                <w:szCs w:val="20"/>
                <w:color w:val="auto"/>
              </w:rPr>
            </w:pPr>
            <w:r>
              <w:rPr>
                <w:rFonts w:ascii="Calibri" w:cs="Calibri" w:eastAsia="Calibri" w:hAnsi="Calibri"/>
                <w:sz w:val="18"/>
                <w:szCs w:val="18"/>
                <w:color w:val="auto"/>
              </w:rPr>
              <w:t>Richard G. Erstad</w:t>
            </w:r>
          </w:p>
        </w:tc>
        <w:tc>
          <w:tcPr>
            <w:tcW w:w="1940" w:type="dxa"/>
            <w:vAlign w:val="bottom"/>
            <w:shd w:val="clear" w:color="auto" w:fill="B3B3B3"/>
          </w:tcPr>
          <w:p>
            <w:pPr>
              <w:jc w:val="right"/>
              <w:ind w:right="13"/>
              <w:spacing w:after="0"/>
              <w:rPr>
                <w:sz w:val="20"/>
                <w:szCs w:val="20"/>
                <w:color w:val="auto"/>
              </w:rPr>
            </w:pPr>
            <w:r>
              <w:rPr>
                <w:rFonts w:ascii="Calibri" w:cs="Calibri" w:eastAsia="Calibri" w:hAnsi="Calibri"/>
                <w:sz w:val="18"/>
                <w:szCs w:val="18"/>
                <w:color w:val="auto"/>
              </w:rPr>
              <w:t>66,087</w:t>
            </w:r>
          </w:p>
        </w:tc>
        <w:tc>
          <w:tcPr>
            <w:tcW w:w="1060" w:type="dxa"/>
            <w:vAlign w:val="bottom"/>
            <w:shd w:val="clear" w:color="auto" w:fill="B3B3B3"/>
          </w:tcPr>
          <w:p>
            <w:pPr>
              <w:ind w:left="100"/>
              <w:spacing w:after="0"/>
              <w:rPr>
                <w:sz w:val="20"/>
                <w:szCs w:val="20"/>
                <w:color w:val="auto"/>
              </w:rPr>
            </w:pPr>
            <w:r>
              <w:rPr>
                <w:rFonts w:ascii="Calibri" w:cs="Calibri" w:eastAsia="Calibri" w:hAnsi="Calibri"/>
                <w:sz w:val="18"/>
                <w:szCs w:val="18"/>
                <w:color w:val="auto"/>
              </w:rPr>
              <w:t>(d)(f)</w:t>
            </w:r>
          </w:p>
        </w:tc>
        <w:tc>
          <w:tcPr>
            <w:tcW w:w="1640" w:type="dxa"/>
            <w:vAlign w:val="bottom"/>
            <w:tcBorders>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6440" w:type="dxa"/>
            <w:vAlign w:val="bottom"/>
            <w:tcBorders>
              <w:lef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Drew M. Grahek</w:t>
            </w:r>
          </w:p>
        </w:tc>
        <w:tc>
          <w:tcPr>
            <w:tcW w:w="1940" w:type="dxa"/>
            <w:vAlign w:val="bottom"/>
          </w:tcPr>
          <w:p>
            <w:pPr>
              <w:jc w:val="right"/>
              <w:ind w:right="13"/>
              <w:spacing w:after="0" w:line="215" w:lineRule="exact"/>
              <w:rPr>
                <w:sz w:val="20"/>
                <w:szCs w:val="20"/>
                <w:color w:val="auto"/>
              </w:rPr>
            </w:pPr>
            <w:r>
              <w:rPr>
                <w:rFonts w:ascii="Calibri" w:cs="Calibri" w:eastAsia="Calibri" w:hAnsi="Calibri"/>
                <w:sz w:val="18"/>
                <w:szCs w:val="18"/>
                <w:color w:val="auto"/>
              </w:rPr>
              <w:t>36,227</w:t>
            </w:r>
          </w:p>
        </w:tc>
        <w:tc>
          <w:tcPr>
            <w:tcW w:w="1060" w:type="dxa"/>
            <w:vAlign w:val="bottom"/>
          </w:tcPr>
          <w:p>
            <w:pPr>
              <w:ind w:left="100"/>
              <w:spacing w:after="0" w:line="215" w:lineRule="exact"/>
              <w:rPr>
                <w:sz w:val="20"/>
                <w:szCs w:val="20"/>
                <w:color w:val="auto"/>
              </w:rPr>
            </w:pPr>
            <w:r>
              <w:rPr>
                <w:rFonts w:ascii="Calibri" w:cs="Calibri" w:eastAsia="Calibri" w:hAnsi="Calibri"/>
                <w:sz w:val="18"/>
                <w:szCs w:val="18"/>
                <w:color w:val="auto"/>
              </w:rPr>
              <w:t>(d)(g)</w:t>
            </w:r>
          </w:p>
        </w:tc>
        <w:tc>
          <w:tcPr>
            <w:tcW w:w="164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7"/>
        </w:trPr>
        <w:tc>
          <w:tcPr>
            <w:tcW w:w="6440" w:type="dxa"/>
            <w:vAlign w:val="bottom"/>
            <w:tcBorders>
              <w:left w:val="single" w:sz="8" w:color="auto"/>
            </w:tcBorders>
            <w:shd w:val="clear" w:color="auto" w:fill="B3B3B3"/>
          </w:tcPr>
          <w:p>
            <w:pPr>
              <w:ind w:left="40"/>
              <w:spacing w:after="0"/>
              <w:rPr>
                <w:sz w:val="20"/>
                <w:szCs w:val="20"/>
                <w:color w:val="auto"/>
              </w:rPr>
            </w:pPr>
            <w:r>
              <w:rPr>
                <w:rFonts w:ascii="Calibri" w:cs="Calibri" w:eastAsia="Calibri" w:hAnsi="Calibri"/>
                <w:sz w:val="18"/>
                <w:szCs w:val="18"/>
                <w:color w:val="auto"/>
              </w:rPr>
              <w:t>Douglas A. Lange</w:t>
            </w:r>
          </w:p>
        </w:tc>
        <w:tc>
          <w:tcPr>
            <w:tcW w:w="1940" w:type="dxa"/>
            <w:vAlign w:val="bottom"/>
            <w:shd w:val="clear" w:color="auto" w:fill="B3B3B3"/>
          </w:tcPr>
          <w:p>
            <w:pPr>
              <w:jc w:val="right"/>
              <w:ind w:right="13"/>
              <w:spacing w:after="0"/>
              <w:rPr>
                <w:sz w:val="20"/>
                <w:szCs w:val="20"/>
                <w:color w:val="auto"/>
              </w:rPr>
            </w:pPr>
            <w:r>
              <w:rPr>
                <w:rFonts w:ascii="Calibri" w:cs="Calibri" w:eastAsia="Calibri" w:hAnsi="Calibri"/>
                <w:sz w:val="18"/>
                <w:szCs w:val="18"/>
                <w:color w:val="auto"/>
              </w:rPr>
              <w:t>28,991</w:t>
            </w:r>
          </w:p>
        </w:tc>
        <w:tc>
          <w:tcPr>
            <w:tcW w:w="1060" w:type="dxa"/>
            <w:vAlign w:val="bottom"/>
            <w:shd w:val="clear" w:color="auto" w:fill="B3B3B3"/>
          </w:tcPr>
          <w:p>
            <w:pPr>
              <w:ind w:left="100"/>
              <w:spacing w:after="0"/>
              <w:rPr>
                <w:sz w:val="20"/>
                <w:szCs w:val="20"/>
                <w:color w:val="auto"/>
              </w:rPr>
            </w:pPr>
            <w:r>
              <w:rPr>
                <w:rFonts w:ascii="Calibri" w:cs="Calibri" w:eastAsia="Calibri" w:hAnsi="Calibri"/>
                <w:sz w:val="18"/>
                <w:szCs w:val="18"/>
                <w:color w:val="auto"/>
              </w:rPr>
              <w:t>(d)(h)</w:t>
            </w:r>
          </w:p>
        </w:tc>
        <w:tc>
          <w:tcPr>
            <w:tcW w:w="1640" w:type="dxa"/>
            <w:vAlign w:val="bottom"/>
            <w:tcBorders>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2"/>
        </w:trPr>
        <w:tc>
          <w:tcPr>
            <w:tcW w:w="6440" w:type="dxa"/>
            <w:vAlign w:val="bottom"/>
            <w:tcBorders>
              <w:lef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Jefrey P. Oldenkamp</w:t>
            </w:r>
          </w:p>
        </w:tc>
        <w:tc>
          <w:tcPr>
            <w:tcW w:w="1940" w:type="dxa"/>
            <w:vAlign w:val="bottom"/>
          </w:tcPr>
          <w:p>
            <w:pPr>
              <w:jc w:val="right"/>
              <w:ind w:right="13"/>
              <w:spacing w:after="0" w:line="215" w:lineRule="exact"/>
              <w:rPr>
                <w:sz w:val="20"/>
                <w:szCs w:val="20"/>
                <w:color w:val="auto"/>
              </w:rPr>
            </w:pPr>
            <w:r>
              <w:rPr>
                <w:rFonts w:ascii="Calibri" w:cs="Calibri" w:eastAsia="Calibri" w:hAnsi="Calibri"/>
                <w:sz w:val="18"/>
                <w:szCs w:val="18"/>
                <w:color w:val="auto"/>
              </w:rPr>
              <w:t>89,246</w:t>
            </w:r>
          </w:p>
        </w:tc>
        <w:tc>
          <w:tcPr>
            <w:tcW w:w="1060" w:type="dxa"/>
            <w:vAlign w:val="bottom"/>
          </w:tcPr>
          <w:p>
            <w:pPr>
              <w:ind w:left="100"/>
              <w:spacing w:after="0" w:line="215" w:lineRule="exact"/>
              <w:rPr>
                <w:sz w:val="20"/>
                <w:szCs w:val="20"/>
                <w:color w:val="auto"/>
              </w:rPr>
            </w:pPr>
            <w:r>
              <w:rPr>
                <w:rFonts w:ascii="Calibri" w:cs="Calibri" w:eastAsia="Calibri" w:hAnsi="Calibri"/>
                <w:sz w:val="18"/>
                <w:szCs w:val="18"/>
                <w:color w:val="auto"/>
              </w:rPr>
              <w:t>(d)(i)</w:t>
            </w:r>
          </w:p>
        </w:tc>
        <w:tc>
          <w:tcPr>
            <w:tcW w:w="1640" w:type="dxa"/>
            <w:vAlign w:val="bottom"/>
            <w:tcBorders>
              <w:right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7"/>
        </w:trPr>
        <w:tc>
          <w:tcPr>
            <w:tcW w:w="6440" w:type="dxa"/>
            <w:vAlign w:val="bottom"/>
            <w:tcBorders>
              <w:left w:val="single" w:sz="8" w:color="auto"/>
            </w:tcBorders>
            <w:shd w:val="clear" w:color="auto" w:fill="B3B3B3"/>
          </w:tcPr>
          <w:p>
            <w:pPr>
              <w:ind w:left="40"/>
              <w:spacing w:after="0"/>
              <w:rPr>
                <w:sz w:val="20"/>
                <w:szCs w:val="20"/>
                <w:color w:val="auto"/>
              </w:rPr>
            </w:pPr>
            <w:r>
              <w:rPr>
                <w:rFonts w:ascii="Calibri" w:cs="Calibri" w:eastAsia="Calibri" w:hAnsi="Calibri"/>
                <w:sz w:val="18"/>
                <w:szCs w:val="18"/>
                <w:color w:val="auto"/>
              </w:rPr>
              <w:t>All current executve ofcers and directors as a group (14 persons)</w:t>
            </w:r>
          </w:p>
        </w:tc>
        <w:tc>
          <w:tcPr>
            <w:tcW w:w="1940" w:type="dxa"/>
            <w:vAlign w:val="bottom"/>
            <w:shd w:val="clear" w:color="auto" w:fill="B3B3B3"/>
          </w:tcPr>
          <w:p>
            <w:pPr>
              <w:jc w:val="right"/>
              <w:ind w:right="13"/>
              <w:spacing w:after="0"/>
              <w:rPr>
                <w:sz w:val="20"/>
                <w:szCs w:val="20"/>
                <w:color w:val="auto"/>
              </w:rPr>
            </w:pPr>
            <w:r>
              <w:rPr>
                <w:rFonts w:ascii="Calibri" w:cs="Calibri" w:eastAsia="Calibri" w:hAnsi="Calibri"/>
                <w:sz w:val="18"/>
                <w:szCs w:val="18"/>
                <w:color w:val="auto"/>
              </w:rPr>
              <w:t>806,803</w:t>
            </w:r>
          </w:p>
        </w:tc>
        <w:tc>
          <w:tcPr>
            <w:tcW w:w="1060" w:type="dxa"/>
            <w:vAlign w:val="bottom"/>
            <w:shd w:val="clear" w:color="auto" w:fill="B3B3B3"/>
          </w:tcPr>
          <w:p>
            <w:pPr>
              <w:ind w:left="100"/>
              <w:spacing w:after="0"/>
              <w:rPr>
                <w:sz w:val="20"/>
                <w:szCs w:val="20"/>
                <w:color w:val="auto"/>
              </w:rPr>
            </w:pPr>
            <w:r>
              <w:rPr>
                <w:rFonts w:ascii="Calibri" w:cs="Calibri" w:eastAsia="Calibri" w:hAnsi="Calibri"/>
                <w:sz w:val="18"/>
                <w:szCs w:val="18"/>
                <w:color w:val="auto"/>
              </w:rPr>
              <w:t>(d)(j)</w:t>
            </w:r>
          </w:p>
        </w:tc>
        <w:tc>
          <w:tcPr>
            <w:tcW w:w="1640" w:type="dxa"/>
            <w:vAlign w:val="bottom"/>
            <w:tcBorders>
              <w:right w:val="single" w:sz="8" w:color="auto"/>
            </w:tcBorders>
            <w:shd w:val="clear" w:color="auto" w:fill="B3B3B3"/>
          </w:tcPr>
          <w:p>
            <w:pPr>
              <w:jc w:val="right"/>
              <w:spacing w:after="0"/>
              <w:rPr>
                <w:sz w:val="20"/>
                <w:szCs w:val="20"/>
                <w:color w:val="auto"/>
              </w:rPr>
            </w:pPr>
            <w:r>
              <w:rPr>
                <w:rFonts w:ascii="Calibri" w:cs="Calibri" w:eastAsia="Calibri" w:hAnsi="Calibri"/>
                <w:sz w:val="18"/>
                <w:szCs w:val="18"/>
                <w:color w:val="auto"/>
              </w:rPr>
              <w:t>3.8 %</w:t>
            </w:r>
          </w:p>
        </w:tc>
        <w:tc>
          <w:tcPr>
            <w:tcW w:w="0" w:type="dxa"/>
            <w:vAlign w:val="bottom"/>
          </w:tcPr>
          <w:p>
            <w:pPr>
              <w:spacing w:after="0"/>
              <w:rPr>
                <w:sz w:val="1"/>
                <w:szCs w:val="1"/>
                <w:color w:val="auto"/>
              </w:rPr>
            </w:pPr>
          </w:p>
        </w:tc>
      </w:tr>
      <w:tr>
        <w:trPr>
          <w:trHeight w:val="257"/>
        </w:trPr>
        <w:tc>
          <w:tcPr>
            <w:tcW w:w="6440" w:type="dxa"/>
            <w:vAlign w:val="bottom"/>
            <w:tcBorders>
              <w:left w:val="single" w:sz="8" w:color="auto"/>
            </w:tcBorders>
          </w:tcPr>
          <w:p>
            <w:pPr>
              <w:spacing w:after="0"/>
              <w:rPr>
                <w:sz w:val="22"/>
                <w:szCs w:val="22"/>
                <w:color w:val="auto"/>
              </w:rPr>
            </w:pPr>
          </w:p>
        </w:tc>
        <w:tc>
          <w:tcPr>
            <w:tcW w:w="1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40" w:type="dxa"/>
            <w:vAlign w:val="bottom"/>
            <w:tcBorders>
              <w:left w:val="single" w:sz="8" w:color="auto"/>
            </w:tcBorders>
            <w:shd w:val="clear" w:color="auto" w:fill="B3B3B3"/>
          </w:tcPr>
          <w:p>
            <w:pPr>
              <w:ind w:left="40"/>
              <w:spacing w:after="0" w:line="215" w:lineRule="exact"/>
              <w:rPr>
                <w:sz w:val="20"/>
                <w:szCs w:val="20"/>
                <w:color w:val="auto"/>
              </w:rPr>
            </w:pPr>
            <w:r>
              <w:rPr>
                <w:rFonts w:ascii="Calibri" w:cs="Calibri" w:eastAsia="Calibri" w:hAnsi="Calibri"/>
                <w:sz w:val="18"/>
                <w:szCs w:val="18"/>
                <w:color w:val="auto"/>
              </w:rPr>
              <w:t>BlackRock, Inc.</w:t>
            </w:r>
          </w:p>
        </w:tc>
        <w:tc>
          <w:tcPr>
            <w:tcW w:w="1940" w:type="dxa"/>
            <w:vAlign w:val="bottom"/>
            <w:shd w:val="clear" w:color="auto" w:fill="B3B3B3"/>
          </w:tcPr>
          <w:p>
            <w:pPr>
              <w:spacing w:after="0"/>
              <w:rPr>
                <w:sz w:val="19"/>
                <w:szCs w:val="19"/>
                <w:color w:val="auto"/>
              </w:rPr>
            </w:pPr>
          </w:p>
        </w:tc>
        <w:tc>
          <w:tcPr>
            <w:tcW w:w="1060" w:type="dxa"/>
            <w:vAlign w:val="bottom"/>
            <w:shd w:val="clear" w:color="auto" w:fill="B3B3B3"/>
          </w:tcPr>
          <w:p>
            <w:pPr>
              <w:spacing w:after="0"/>
              <w:rPr>
                <w:sz w:val="19"/>
                <w:szCs w:val="19"/>
                <w:color w:val="auto"/>
              </w:rPr>
            </w:pPr>
          </w:p>
        </w:tc>
        <w:tc>
          <w:tcPr>
            <w:tcW w:w="1640" w:type="dxa"/>
            <w:vAlign w:val="bottom"/>
            <w:tcBorders>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Borders>
              <w:left w:val="single" w:sz="8" w:color="auto"/>
            </w:tcBorders>
            <w:shd w:val="clear" w:color="auto" w:fill="B3B3B3"/>
          </w:tcPr>
          <w:p>
            <w:pPr>
              <w:ind w:left="240"/>
              <w:spacing w:after="0" w:line="215" w:lineRule="exact"/>
              <w:rPr>
                <w:sz w:val="20"/>
                <w:szCs w:val="20"/>
                <w:color w:val="auto"/>
              </w:rPr>
            </w:pPr>
            <w:r>
              <w:rPr>
                <w:rFonts w:ascii="Calibri" w:cs="Calibri" w:eastAsia="Calibri" w:hAnsi="Calibri"/>
                <w:sz w:val="18"/>
                <w:szCs w:val="18"/>
                <w:color w:val="auto"/>
              </w:rPr>
              <w:t>55 East 52nd Street, New York, NY 10055</w:t>
            </w:r>
          </w:p>
        </w:tc>
        <w:tc>
          <w:tcPr>
            <w:tcW w:w="1940" w:type="dxa"/>
            <w:vAlign w:val="bottom"/>
            <w:shd w:val="clear" w:color="auto" w:fill="B3B3B3"/>
          </w:tcPr>
          <w:p>
            <w:pPr>
              <w:jc w:val="right"/>
              <w:ind w:right="13"/>
              <w:spacing w:after="0" w:line="215" w:lineRule="exact"/>
              <w:rPr>
                <w:sz w:val="20"/>
                <w:szCs w:val="20"/>
                <w:color w:val="auto"/>
              </w:rPr>
            </w:pPr>
            <w:r>
              <w:rPr>
                <w:rFonts w:ascii="Calibri" w:cs="Calibri" w:eastAsia="Calibri" w:hAnsi="Calibri"/>
                <w:sz w:val="18"/>
                <w:szCs w:val="18"/>
                <w:color w:val="auto"/>
              </w:rPr>
              <w:t>3,236,415</w:t>
            </w:r>
          </w:p>
        </w:tc>
        <w:tc>
          <w:tcPr>
            <w:tcW w:w="1060" w:type="dxa"/>
            <w:vAlign w:val="bottom"/>
            <w:shd w:val="clear" w:color="auto" w:fill="B3B3B3"/>
          </w:tcPr>
          <w:p>
            <w:pPr>
              <w:ind w:left="100"/>
              <w:spacing w:after="0" w:line="215" w:lineRule="exact"/>
              <w:rPr>
                <w:sz w:val="20"/>
                <w:szCs w:val="20"/>
                <w:color w:val="auto"/>
              </w:rPr>
            </w:pPr>
            <w:r>
              <w:rPr>
                <w:rFonts w:ascii="Calibri" w:cs="Calibri" w:eastAsia="Calibri" w:hAnsi="Calibri"/>
                <w:sz w:val="18"/>
                <w:szCs w:val="18"/>
                <w:color w:val="auto"/>
              </w:rPr>
              <w:t>(k)</w:t>
            </w:r>
          </w:p>
        </w:tc>
        <w:tc>
          <w:tcPr>
            <w:tcW w:w="1640" w:type="dxa"/>
            <w:vAlign w:val="bottom"/>
            <w:tcBorders>
              <w:right w:val="single" w:sz="8" w:color="auto"/>
            </w:tcBorders>
            <w:shd w:val="clear" w:color="auto" w:fill="B6B6B6"/>
          </w:tcPr>
          <w:p>
            <w:pPr>
              <w:jc w:val="right"/>
              <w:spacing w:after="0" w:line="215" w:lineRule="exact"/>
              <w:rPr>
                <w:sz w:val="20"/>
                <w:szCs w:val="20"/>
                <w:color w:val="auto"/>
              </w:rPr>
            </w:pPr>
            <w:r>
              <w:rPr>
                <w:rFonts w:ascii="Calibri" w:cs="Calibri" w:eastAsia="Calibri" w:hAnsi="Calibri"/>
                <w:sz w:val="18"/>
                <w:szCs w:val="18"/>
                <w:color w:val="auto"/>
              </w:rPr>
              <w:t>15.4 %</w:t>
            </w:r>
          </w:p>
        </w:tc>
        <w:tc>
          <w:tcPr>
            <w:tcW w:w="0" w:type="dxa"/>
            <w:vAlign w:val="bottom"/>
          </w:tcPr>
          <w:p>
            <w:pPr>
              <w:spacing w:after="0"/>
              <w:rPr>
                <w:sz w:val="1"/>
                <w:szCs w:val="1"/>
                <w:color w:val="auto"/>
              </w:rPr>
            </w:pPr>
          </w:p>
        </w:tc>
      </w:tr>
      <w:tr>
        <w:trPr>
          <w:trHeight w:val="215"/>
        </w:trPr>
        <w:tc>
          <w:tcPr>
            <w:tcW w:w="6440" w:type="dxa"/>
            <w:vAlign w:val="bottom"/>
            <w:tcBorders>
              <w:lef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The Vanguard Group</w:t>
            </w:r>
          </w:p>
        </w:tc>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40" w:type="dxa"/>
            <w:vAlign w:val="bottom"/>
            <w:tcBorders>
              <w:left w:val="single" w:sz="8" w:color="auto"/>
            </w:tcBorders>
          </w:tcPr>
          <w:p>
            <w:pPr>
              <w:ind w:left="240"/>
              <w:spacing w:after="0"/>
              <w:rPr>
                <w:sz w:val="20"/>
                <w:szCs w:val="20"/>
                <w:color w:val="auto"/>
              </w:rPr>
            </w:pPr>
            <w:r>
              <w:rPr>
                <w:rFonts w:ascii="Calibri" w:cs="Calibri" w:eastAsia="Calibri" w:hAnsi="Calibri"/>
                <w:sz w:val="18"/>
                <w:szCs w:val="18"/>
                <w:color w:val="auto"/>
              </w:rPr>
              <w:t>100 Vanguard Blvd, Malvern, PA 19355</w:t>
            </w:r>
          </w:p>
        </w:tc>
        <w:tc>
          <w:tcPr>
            <w:tcW w:w="1940" w:type="dxa"/>
            <w:vAlign w:val="bottom"/>
          </w:tcPr>
          <w:p>
            <w:pPr>
              <w:jc w:val="right"/>
              <w:ind w:right="13"/>
              <w:spacing w:after="0"/>
              <w:rPr>
                <w:sz w:val="20"/>
                <w:szCs w:val="20"/>
                <w:color w:val="auto"/>
              </w:rPr>
            </w:pPr>
            <w:r>
              <w:rPr>
                <w:rFonts w:ascii="Calibri" w:cs="Calibri" w:eastAsia="Calibri" w:hAnsi="Calibri"/>
                <w:sz w:val="18"/>
                <w:szCs w:val="18"/>
                <w:color w:val="auto"/>
              </w:rPr>
              <w:t>1,516,717</w:t>
            </w:r>
          </w:p>
        </w:tc>
        <w:tc>
          <w:tcPr>
            <w:tcW w:w="1060" w:type="dxa"/>
            <w:vAlign w:val="bottom"/>
          </w:tcPr>
          <w:p>
            <w:pPr>
              <w:ind w:left="100"/>
              <w:spacing w:after="0"/>
              <w:rPr>
                <w:sz w:val="20"/>
                <w:szCs w:val="20"/>
                <w:color w:val="auto"/>
              </w:rPr>
            </w:pPr>
            <w:r>
              <w:rPr>
                <w:rFonts w:ascii="Calibri" w:cs="Calibri" w:eastAsia="Calibri" w:hAnsi="Calibri"/>
                <w:sz w:val="18"/>
                <w:szCs w:val="18"/>
                <w:color w:val="auto"/>
              </w:rPr>
              <w:t>(l)</w:t>
            </w:r>
          </w:p>
        </w:tc>
        <w:tc>
          <w:tcPr>
            <w:tcW w:w="164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7.2 %</w:t>
            </w:r>
          </w:p>
        </w:tc>
        <w:tc>
          <w:tcPr>
            <w:tcW w:w="0" w:type="dxa"/>
            <w:vAlign w:val="bottom"/>
          </w:tcPr>
          <w:p>
            <w:pPr>
              <w:spacing w:after="0"/>
              <w:rPr>
                <w:sz w:val="1"/>
                <w:szCs w:val="1"/>
                <w:color w:val="auto"/>
              </w:rPr>
            </w:pPr>
          </w:p>
        </w:tc>
      </w:tr>
      <w:tr>
        <w:trPr>
          <w:trHeight w:val="23"/>
        </w:trPr>
        <w:tc>
          <w:tcPr>
            <w:tcW w:w="6440" w:type="dxa"/>
            <w:vAlign w:val="bottom"/>
            <w:tcBorders>
              <w:left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40" w:type="dxa"/>
            <w:vAlign w:val="bottom"/>
            <w:tcBorders>
              <w:left w:val="single" w:sz="8" w:color="auto"/>
            </w:tcBorders>
            <w:shd w:val="clear" w:color="auto" w:fill="B3B3B3"/>
          </w:tcPr>
          <w:p>
            <w:pPr>
              <w:ind w:left="40"/>
              <w:spacing w:after="0" w:line="215" w:lineRule="exact"/>
              <w:rPr>
                <w:sz w:val="20"/>
                <w:szCs w:val="20"/>
                <w:color w:val="auto"/>
              </w:rPr>
            </w:pPr>
            <w:r>
              <w:rPr>
                <w:rFonts w:ascii="Calibri" w:cs="Calibri" w:eastAsia="Calibri" w:hAnsi="Calibri"/>
                <w:sz w:val="18"/>
                <w:szCs w:val="18"/>
                <w:color w:val="auto"/>
              </w:rPr>
              <w:t>Hawkins, Inc. Employee Stock Ownership Plan and Trust, et al.</w:t>
            </w:r>
          </w:p>
        </w:tc>
        <w:tc>
          <w:tcPr>
            <w:tcW w:w="1940" w:type="dxa"/>
            <w:vAlign w:val="bottom"/>
            <w:shd w:val="clear" w:color="auto" w:fill="B3B3B3"/>
          </w:tcPr>
          <w:p>
            <w:pPr>
              <w:jc w:val="right"/>
              <w:ind w:right="13"/>
              <w:spacing w:after="0" w:line="215" w:lineRule="exact"/>
              <w:rPr>
                <w:sz w:val="20"/>
                <w:szCs w:val="20"/>
                <w:color w:val="auto"/>
              </w:rPr>
            </w:pPr>
            <w:r>
              <w:rPr>
                <w:rFonts w:ascii="Calibri" w:cs="Calibri" w:eastAsia="Calibri" w:hAnsi="Calibri"/>
                <w:sz w:val="18"/>
                <w:szCs w:val="18"/>
                <w:color w:val="auto"/>
              </w:rPr>
              <w:t>1,038,358</w:t>
            </w:r>
          </w:p>
        </w:tc>
        <w:tc>
          <w:tcPr>
            <w:tcW w:w="1060" w:type="dxa"/>
            <w:vAlign w:val="bottom"/>
            <w:shd w:val="clear" w:color="auto" w:fill="B3B3B3"/>
          </w:tcPr>
          <w:p>
            <w:pPr>
              <w:ind w:left="100"/>
              <w:spacing w:after="0" w:line="215" w:lineRule="exact"/>
              <w:rPr>
                <w:sz w:val="20"/>
                <w:szCs w:val="20"/>
                <w:color w:val="auto"/>
              </w:rPr>
            </w:pPr>
            <w:r>
              <w:rPr>
                <w:rFonts w:ascii="Calibri" w:cs="Calibri" w:eastAsia="Calibri" w:hAnsi="Calibri"/>
                <w:sz w:val="18"/>
                <w:szCs w:val="18"/>
                <w:color w:val="auto"/>
              </w:rPr>
              <w:t>(m)</w:t>
            </w:r>
          </w:p>
        </w:tc>
        <w:tc>
          <w:tcPr>
            <w:tcW w:w="1640" w:type="dxa"/>
            <w:vAlign w:val="bottom"/>
            <w:tcBorders>
              <w:right w:val="single" w:sz="8" w:color="auto"/>
            </w:tcBorders>
            <w:shd w:val="clear" w:color="auto" w:fill="B6B6B6"/>
          </w:tcPr>
          <w:p>
            <w:pPr>
              <w:jc w:val="right"/>
              <w:spacing w:after="0" w:line="215" w:lineRule="exact"/>
              <w:rPr>
                <w:sz w:val="20"/>
                <w:szCs w:val="20"/>
                <w:color w:val="auto"/>
              </w:rPr>
            </w:pPr>
            <w:r>
              <w:rPr>
                <w:rFonts w:ascii="Calibri" w:cs="Calibri" w:eastAsia="Calibri" w:hAnsi="Calibri"/>
                <w:sz w:val="18"/>
                <w:szCs w:val="18"/>
                <w:color w:val="auto"/>
              </w:rPr>
              <w:t>4.9 %</w:t>
            </w:r>
          </w:p>
        </w:tc>
        <w:tc>
          <w:tcPr>
            <w:tcW w:w="0" w:type="dxa"/>
            <w:vAlign w:val="bottom"/>
          </w:tcPr>
          <w:p>
            <w:pPr>
              <w:spacing w:after="0"/>
              <w:rPr>
                <w:sz w:val="1"/>
                <w:szCs w:val="1"/>
                <w:color w:val="auto"/>
              </w:rPr>
            </w:pPr>
          </w:p>
        </w:tc>
      </w:tr>
      <w:tr>
        <w:trPr>
          <w:trHeight w:val="215"/>
        </w:trPr>
        <w:tc>
          <w:tcPr>
            <w:tcW w:w="6440" w:type="dxa"/>
            <w:vAlign w:val="bottom"/>
            <w:tcBorders>
              <w:lef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Dimensional Fund Advisors LP</w:t>
            </w:r>
          </w:p>
        </w:tc>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40" w:type="dxa"/>
            <w:vAlign w:val="bottom"/>
            <w:tcBorders>
              <w:left w:val="single" w:sz="8" w:color="auto"/>
            </w:tcBorders>
          </w:tcPr>
          <w:p>
            <w:pPr>
              <w:ind w:left="240"/>
              <w:spacing w:after="0"/>
              <w:rPr>
                <w:sz w:val="20"/>
                <w:szCs w:val="20"/>
                <w:color w:val="auto"/>
              </w:rPr>
            </w:pPr>
            <w:r>
              <w:rPr>
                <w:rFonts w:ascii="Calibri" w:cs="Calibri" w:eastAsia="Calibri" w:hAnsi="Calibri"/>
                <w:sz w:val="18"/>
                <w:szCs w:val="18"/>
                <w:color w:val="auto"/>
              </w:rPr>
              <w:t>6300 Bee Cave Road, Austn, TX 78746</w:t>
            </w:r>
          </w:p>
        </w:tc>
        <w:tc>
          <w:tcPr>
            <w:tcW w:w="1940" w:type="dxa"/>
            <w:vAlign w:val="bottom"/>
          </w:tcPr>
          <w:p>
            <w:pPr>
              <w:jc w:val="right"/>
              <w:ind w:right="13"/>
              <w:spacing w:after="0"/>
              <w:rPr>
                <w:sz w:val="20"/>
                <w:szCs w:val="20"/>
                <w:color w:val="auto"/>
              </w:rPr>
            </w:pPr>
            <w:r>
              <w:rPr>
                <w:rFonts w:ascii="Calibri" w:cs="Calibri" w:eastAsia="Calibri" w:hAnsi="Calibri"/>
                <w:sz w:val="18"/>
                <w:szCs w:val="18"/>
                <w:color w:val="auto"/>
              </w:rPr>
              <w:t>1,146,643</w:t>
            </w:r>
          </w:p>
        </w:tc>
        <w:tc>
          <w:tcPr>
            <w:tcW w:w="1060" w:type="dxa"/>
            <w:vAlign w:val="bottom"/>
          </w:tcPr>
          <w:p>
            <w:pPr>
              <w:ind w:left="100"/>
              <w:spacing w:after="0"/>
              <w:rPr>
                <w:sz w:val="20"/>
                <w:szCs w:val="20"/>
                <w:color w:val="auto"/>
              </w:rPr>
            </w:pPr>
            <w:r>
              <w:rPr>
                <w:rFonts w:ascii="Calibri" w:cs="Calibri" w:eastAsia="Calibri" w:hAnsi="Calibri"/>
                <w:sz w:val="18"/>
                <w:szCs w:val="18"/>
                <w:color w:val="auto"/>
              </w:rPr>
              <w:t>(n)</w:t>
            </w:r>
          </w:p>
        </w:tc>
        <w:tc>
          <w:tcPr>
            <w:tcW w:w="1640" w:type="dxa"/>
            <w:vAlign w:val="bottom"/>
            <w:tcBorders>
              <w:right w:val="single" w:sz="8" w:color="auto"/>
            </w:tcBorders>
          </w:tcPr>
          <w:p>
            <w:pPr>
              <w:jc w:val="right"/>
              <w:spacing w:after="0"/>
              <w:rPr>
                <w:sz w:val="20"/>
                <w:szCs w:val="20"/>
                <w:color w:val="auto"/>
              </w:rPr>
            </w:pPr>
            <w:r>
              <w:rPr>
                <w:rFonts w:ascii="Calibri" w:cs="Calibri" w:eastAsia="Calibri" w:hAnsi="Calibri"/>
                <w:sz w:val="18"/>
                <w:szCs w:val="18"/>
                <w:color w:val="auto"/>
              </w:rPr>
              <w:t>5.4 %</w:t>
            </w:r>
          </w:p>
        </w:tc>
        <w:tc>
          <w:tcPr>
            <w:tcW w:w="0" w:type="dxa"/>
            <w:vAlign w:val="bottom"/>
          </w:tcPr>
          <w:p>
            <w:pPr>
              <w:spacing w:after="0"/>
              <w:rPr>
                <w:sz w:val="1"/>
                <w:szCs w:val="1"/>
                <w:color w:val="auto"/>
              </w:rPr>
            </w:pPr>
          </w:p>
        </w:tc>
      </w:tr>
      <w:tr>
        <w:trPr>
          <w:trHeight w:val="23"/>
        </w:trPr>
        <w:tc>
          <w:tcPr>
            <w:tcW w:w="6440" w:type="dxa"/>
            <w:vAlign w:val="bottom"/>
            <w:tcBorders>
              <w:left w:val="single" w:sz="8" w:color="auto"/>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80"/>
        <w:spacing w:after="0"/>
        <w:tabs>
          <w:tab w:leader="none" w:pos="320" w:val="left"/>
        </w:tabs>
        <w:rPr>
          <w:sz w:val="20"/>
          <w:szCs w:val="20"/>
          <w:color w:val="auto"/>
        </w:rPr>
      </w:pPr>
      <w:r>
        <w:rPr>
          <w:rFonts w:ascii="Calibri" w:cs="Calibri" w:eastAsia="Calibri" w:hAnsi="Calibri"/>
          <w:sz w:val="18"/>
          <w:szCs w:val="18"/>
          <w:color w:val="auto"/>
        </w:rPr>
        <w:t>*</w:t>
      </w:r>
      <w:r>
        <w:rPr>
          <w:sz w:val="20"/>
          <w:szCs w:val="20"/>
          <w:color w:val="auto"/>
        </w:rPr>
        <w:tab/>
      </w:r>
      <w:r>
        <w:rPr>
          <w:rFonts w:ascii="Calibri" w:cs="Calibri" w:eastAsia="Calibri" w:hAnsi="Calibri"/>
          <w:sz w:val="17"/>
          <w:szCs w:val="17"/>
          <w:color w:val="auto"/>
        </w:rPr>
        <w:t>Less than one percent.</w:t>
      </w:r>
    </w:p>
    <w:p>
      <w:pPr>
        <w:spacing w:after="0" w:line="91" w:lineRule="exact"/>
        <w:rPr>
          <w:sz w:val="20"/>
          <w:szCs w:val="20"/>
          <w:color w:val="auto"/>
        </w:rPr>
      </w:pPr>
    </w:p>
    <w:p>
      <w:pPr>
        <w:ind w:left="280" w:hanging="232"/>
        <w:spacing w:after="0"/>
        <w:tabs>
          <w:tab w:leader="none" w:pos="28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Unless otherwise noted, all shares shown are held by shareholders possessing sole votng and investment power with respect to such shares.</w:t>
      </w:r>
    </w:p>
    <w:p>
      <w:pPr>
        <w:spacing w:after="0" w:line="82" w:lineRule="exact"/>
        <w:rPr>
          <w:rFonts w:ascii="Calibri" w:cs="Calibri" w:eastAsia="Calibri" w:hAnsi="Calibri"/>
          <w:sz w:val="18"/>
          <w:szCs w:val="18"/>
          <w:color w:val="auto"/>
        </w:rPr>
      </w:pPr>
    </w:p>
    <w:p>
      <w:pPr>
        <w:ind w:left="420" w:right="700" w:hanging="372"/>
        <w:spacing w:after="0" w:line="235" w:lineRule="auto"/>
        <w:tabs>
          <w:tab w:leader="none" w:pos="294"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Includes 37,196 shares that Mr. Faulconbridge holds jointly with his wife as to which he shares votng and investment power and 1,521 shares of restricted stock, which shares vest and the related restrictons expire on August 2, 2024.</w:t>
      </w:r>
    </w:p>
    <w:p>
      <w:pPr>
        <w:spacing w:after="0" w:line="96" w:lineRule="exact"/>
        <w:rPr>
          <w:rFonts w:ascii="Calibri" w:cs="Calibri" w:eastAsia="Calibri" w:hAnsi="Calibri"/>
          <w:sz w:val="18"/>
          <w:szCs w:val="18"/>
          <w:color w:val="auto"/>
        </w:rPr>
      </w:pPr>
    </w:p>
    <w:p>
      <w:pPr>
        <w:ind w:left="420" w:hanging="372"/>
        <w:spacing w:after="0" w:line="258" w:lineRule="auto"/>
        <w:tabs>
          <w:tab w:leader="none" w:pos="276" w:val="left"/>
        </w:tabs>
        <w:numPr>
          <w:ilvl w:val="0"/>
          <w:numId w:val="39"/>
        </w:numPr>
        <w:rPr>
          <w:rFonts w:ascii="Calibri" w:cs="Calibri" w:eastAsia="Calibri" w:hAnsi="Calibri"/>
          <w:sz w:val="17"/>
          <w:szCs w:val="17"/>
          <w:color w:val="auto"/>
        </w:rPr>
      </w:pPr>
      <w:r>
        <w:rPr>
          <w:rFonts w:ascii="Calibri" w:cs="Calibri" w:eastAsia="Calibri" w:hAnsi="Calibri"/>
          <w:sz w:val="17"/>
          <w:szCs w:val="17"/>
          <w:color w:val="auto"/>
        </w:rPr>
        <w:t>Includes 26,073 shares representng the benefcial interest of Mr. Hawkins in the ESOP, 19,365 shares of restricted stock, which shares vest and the related restrictons expire on March 31, 2025, and 22,188 shares of restricted stock, which shares vest and the related restrictons expire on March 30, 2026.</w:t>
      </w:r>
    </w:p>
    <w:p>
      <w:pPr>
        <w:spacing w:after="0" w:line="75" w:lineRule="exact"/>
        <w:rPr>
          <w:rFonts w:ascii="Calibri" w:cs="Calibri" w:eastAsia="Calibri" w:hAnsi="Calibri"/>
          <w:sz w:val="17"/>
          <w:szCs w:val="17"/>
          <w:color w:val="auto"/>
        </w:rPr>
      </w:pPr>
    </w:p>
    <w:p>
      <w:pPr>
        <w:ind w:left="280" w:hanging="232"/>
        <w:spacing w:after="0"/>
        <w:tabs>
          <w:tab w:leader="none" w:pos="28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Excludes outstanding Performance-Based Restricted Stock Unit Awards.</w:t>
      </w:r>
    </w:p>
    <w:p>
      <w:pPr>
        <w:spacing w:after="0" w:line="77" w:lineRule="exact"/>
        <w:rPr>
          <w:rFonts w:ascii="Calibri" w:cs="Calibri" w:eastAsia="Calibri" w:hAnsi="Calibri"/>
          <w:sz w:val="18"/>
          <w:szCs w:val="18"/>
          <w:color w:val="auto"/>
        </w:rPr>
      </w:pPr>
    </w:p>
    <w:p>
      <w:pPr>
        <w:ind w:left="280" w:hanging="232"/>
        <w:spacing w:after="0"/>
        <w:tabs>
          <w:tab w:leader="none" w:pos="28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Includes 1,521 shares of restricted stock, which shares vest and the related restrictons expire on August 2, 2024.</w:t>
      </w:r>
    </w:p>
    <w:p>
      <w:pPr>
        <w:spacing w:after="0" w:line="95" w:lineRule="exact"/>
        <w:rPr>
          <w:rFonts w:ascii="Calibri" w:cs="Calibri" w:eastAsia="Calibri" w:hAnsi="Calibri"/>
          <w:sz w:val="18"/>
          <w:szCs w:val="18"/>
          <w:color w:val="auto"/>
        </w:rPr>
      </w:pPr>
    </w:p>
    <w:p>
      <w:pPr>
        <w:jc w:val="right"/>
        <w:ind w:left="420" w:right="320" w:hanging="372"/>
        <w:spacing w:after="0" w:line="258" w:lineRule="auto"/>
        <w:tabs>
          <w:tab w:leader="none" w:pos="258" w:val="left"/>
        </w:tabs>
        <w:numPr>
          <w:ilvl w:val="0"/>
          <w:numId w:val="39"/>
        </w:numPr>
        <w:rPr>
          <w:rFonts w:ascii="Calibri" w:cs="Calibri" w:eastAsia="Calibri" w:hAnsi="Calibri"/>
          <w:sz w:val="17"/>
          <w:szCs w:val="17"/>
          <w:color w:val="auto"/>
        </w:rPr>
      </w:pPr>
      <w:r>
        <w:rPr>
          <w:rFonts w:ascii="Calibri" w:cs="Calibri" w:eastAsia="Calibri" w:hAnsi="Calibri"/>
          <w:sz w:val="17"/>
          <w:szCs w:val="17"/>
          <w:color w:val="auto"/>
        </w:rPr>
        <w:t>Includes 2,448 shares representng the benefcial interest of Mr. Erstad in the ESOP, 6,652 shares of restricted stock, which shares vest and the related restrictons expire on March 31, 2025, and 7,630 shares of restricted stock, which shares vest and the related restrictons expire on March 30, 2026.</w:t>
      </w:r>
    </w:p>
    <w:p>
      <w:pPr>
        <w:spacing w:after="0" w:line="80" w:lineRule="exact"/>
        <w:rPr>
          <w:rFonts w:ascii="Calibri" w:cs="Calibri" w:eastAsia="Calibri" w:hAnsi="Calibri"/>
          <w:sz w:val="17"/>
          <w:szCs w:val="17"/>
          <w:color w:val="auto"/>
        </w:rPr>
      </w:pPr>
    </w:p>
    <w:p>
      <w:pPr>
        <w:jc w:val="right"/>
        <w:ind w:left="420" w:right="320" w:hanging="372"/>
        <w:spacing w:after="0" w:line="258" w:lineRule="auto"/>
        <w:tabs>
          <w:tab w:leader="none" w:pos="285" w:val="left"/>
        </w:tabs>
        <w:numPr>
          <w:ilvl w:val="0"/>
          <w:numId w:val="39"/>
        </w:numPr>
        <w:rPr>
          <w:rFonts w:ascii="Calibri" w:cs="Calibri" w:eastAsia="Calibri" w:hAnsi="Calibri"/>
          <w:sz w:val="17"/>
          <w:szCs w:val="17"/>
          <w:color w:val="auto"/>
        </w:rPr>
      </w:pPr>
      <w:r>
        <w:rPr>
          <w:rFonts w:ascii="Calibri" w:cs="Calibri" w:eastAsia="Calibri" w:hAnsi="Calibri"/>
          <w:sz w:val="17"/>
          <w:szCs w:val="17"/>
          <w:color w:val="auto"/>
        </w:rPr>
        <w:t>Includes 738 shares representng the benefcial interest of Mr. Grahek in the ESOP, 6,705 shares of restricted stock, which shares vest and the related restrictons expire on March 31, 2025, and 7,689 shares of restricted stock, which shares vest and the related restrictons expire on March 30, 2026.</w:t>
      </w:r>
    </w:p>
    <w:p>
      <w:pPr>
        <w:spacing w:after="0" w:line="66" w:lineRule="exact"/>
        <w:rPr>
          <w:rFonts w:ascii="Calibri" w:cs="Calibri" w:eastAsia="Calibri" w:hAnsi="Calibri"/>
          <w:sz w:val="17"/>
          <w:szCs w:val="17"/>
          <w:color w:val="auto"/>
        </w:rPr>
      </w:pPr>
    </w:p>
    <w:p>
      <w:pPr>
        <w:jc w:val="both"/>
        <w:ind w:left="420" w:right="320" w:hanging="372"/>
        <w:spacing w:after="0" w:line="258" w:lineRule="auto"/>
        <w:tabs>
          <w:tab w:leader="none" w:pos="413" w:val="left"/>
        </w:tabs>
        <w:numPr>
          <w:ilvl w:val="0"/>
          <w:numId w:val="39"/>
        </w:numPr>
        <w:rPr>
          <w:rFonts w:ascii="Calibri" w:cs="Calibri" w:eastAsia="Calibri" w:hAnsi="Calibri"/>
          <w:sz w:val="17"/>
          <w:szCs w:val="17"/>
          <w:color w:val="auto"/>
        </w:rPr>
      </w:pPr>
      <w:r>
        <w:rPr>
          <w:rFonts w:ascii="Calibri" w:cs="Calibri" w:eastAsia="Calibri" w:hAnsi="Calibri"/>
          <w:sz w:val="17"/>
          <w:szCs w:val="17"/>
          <w:color w:val="auto"/>
        </w:rPr>
        <w:t>Includes 589 shares representng the benefcial interest of Mr. Lange in the ESOP, 6,141 shares of restricted stock, which shares vest and the related restrictons expire on March 31, 2025, and 7,042 shares of restricted stock, which shares vest and the related restrictons expire on March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38" w:name="page39"/>
    <w:bookmarkEnd w:id="38"/>
    <w:p>
      <w:pPr>
        <w:ind w:left="420" w:right="120" w:hanging="372"/>
        <w:spacing w:after="0" w:line="235" w:lineRule="auto"/>
        <w:tabs>
          <w:tab w:leader="none" w:pos="242"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Includes 1,329 shares representng the benefcial interest of Mr. Oldenkamp in the ESOP, 10,674 shares of restricted stock, which shares vest and the related restrictons expire on March 31, 2025, and 12,226 shares of restricted stock, which shares vest and the related restrictons expire on March 30, 2026.</w:t>
      </w:r>
    </w:p>
    <w:p>
      <w:pPr>
        <w:spacing w:after="0" w:line="78" w:lineRule="exact"/>
        <w:rPr>
          <w:rFonts w:ascii="Calibri" w:cs="Calibri" w:eastAsia="Calibri" w:hAnsi="Calibri"/>
          <w:sz w:val="18"/>
          <w:szCs w:val="18"/>
          <w:color w:val="auto"/>
        </w:rPr>
      </w:pPr>
    </w:p>
    <w:p>
      <w:pPr>
        <w:ind w:left="240" w:hanging="192"/>
        <w:spacing w:after="0"/>
        <w:tabs>
          <w:tab w:leader="none" w:pos="24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Includes 40,957 shares representng the benefcial interest of the ofcers as of June 5, 2024 in the ESOP.</w:t>
      </w:r>
    </w:p>
    <w:p>
      <w:pPr>
        <w:spacing w:after="0" w:line="95" w:lineRule="exact"/>
        <w:rPr>
          <w:rFonts w:ascii="Calibri" w:cs="Calibri" w:eastAsia="Calibri" w:hAnsi="Calibri"/>
          <w:sz w:val="18"/>
          <w:szCs w:val="18"/>
          <w:color w:val="auto"/>
        </w:rPr>
      </w:pPr>
    </w:p>
    <w:p>
      <w:pPr>
        <w:ind w:left="420" w:right="340" w:hanging="372"/>
        <w:spacing w:after="0" w:line="235" w:lineRule="auto"/>
        <w:tabs>
          <w:tab w:leader="none" w:pos="281"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Based on Schedule 13G/A fled with the SEC by BlackRock, Inc. on January 22, 2024, refectng securites benefcially owned as of December 31, 2023. BlackRock, Inc. reported sole votng power with respect to 3,201,950 shares, sole dispositve power with respect to all of the shares, shared votng power with respect to none of the shares and shared dispositve power with respect to none of the shares.</w:t>
      </w:r>
    </w:p>
    <w:p>
      <w:pPr>
        <w:spacing w:after="0" w:line="97" w:lineRule="exact"/>
        <w:rPr>
          <w:rFonts w:ascii="Calibri" w:cs="Calibri" w:eastAsia="Calibri" w:hAnsi="Calibri"/>
          <w:sz w:val="18"/>
          <w:szCs w:val="18"/>
          <w:color w:val="auto"/>
        </w:rPr>
      </w:pPr>
    </w:p>
    <w:p>
      <w:pPr>
        <w:ind w:left="420" w:right="320" w:hanging="372"/>
        <w:spacing w:after="0" w:line="235" w:lineRule="auto"/>
        <w:tabs>
          <w:tab w:leader="none" w:pos="242"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Based on Schedule 13G/A fled with the SEC by The Vanguard Group on February 13, 2024, refectng securites benefcially owned as of December 31, 2023. The Vanguard Group reported sole votng power with respect to none of the shares, sole dispositve power with respect to 1,462,800 of the shares, shared votng power with respect to 36,070 of the shares and shared dispositve power with respect to 53,917 of the shares.</w:t>
      </w:r>
    </w:p>
    <w:p>
      <w:pPr>
        <w:spacing w:after="0" w:line="83" w:lineRule="exact"/>
        <w:rPr>
          <w:rFonts w:ascii="Calibri" w:cs="Calibri" w:eastAsia="Calibri" w:hAnsi="Calibri"/>
          <w:sz w:val="18"/>
          <w:szCs w:val="18"/>
          <w:color w:val="auto"/>
        </w:rPr>
      </w:pPr>
    </w:p>
    <w:p>
      <w:pPr>
        <w:ind w:left="420" w:right="80" w:hanging="372"/>
        <w:spacing w:after="0" w:line="235" w:lineRule="auto"/>
        <w:tabs>
          <w:tab w:leader="none" w:pos="342"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Represents shares held in the ESOP. Matrix Trust Company is the trustee for the ESOP. The ESOP allows plan partcipants to direct votng of shares allocated to their plan accounts and all shares held by the ESOP are allocated to plan partcipant accounts. Under the applicable trust agreement, the trustee is to vote shares with respect to which no votng instructons are received from plan partcipants in proporton to the shares voted by plan partcipants who do submit votng instructons. As a result, the Trustee may theoretcally be deemed to share, at least temporarily, votng power for shares reported. The Trustee also has limited dispositve power with respect to all such shares, refectng a requirement that the assets of the ESOP must primarily consist of shares of our common stock. The trustee disclaims benefcial ownership of the shares atributed to it in its capacity as trustee of the ESOP.</w:t>
      </w:r>
    </w:p>
    <w:p>
      <w:pPr>
        <w:spacing w:after="0" w:line="100" w:lineRule="exact"/>
        <w:rPr>
          <w:rFonts w:ascii="Calibri" w:cs="Calibri" w:eastAsia="Calibri" w:hAnsi="Calibri"/>
          <w:sz w:val="18"/>
          <w:szCs w:val="18"/>
          <w:color w:val="auto"/>
        </w:rPr>
      </w:pPr>
    </w:p>
    <w:p>
      <w:pPr>
        <w:ind w:left="420" w:right="60" w:hanging="372"/>
        <w:spacing w:after="0" w:line="254" w:lineRule="auto"/>
        <w:tabs>
          <w:tab w:leader="none" w:pos="294" w:val="left"/>
        </w:tabs>
        <w:numPr>
          <w:ilvl w:val="0"/>
          <w:numId w:val="40"/>
        </w:numPr>
        <w:rPr>
          <w:rFonts w:ascii="Calibri" w:cs="Calibri" w:eastAsia="Calibri" w:hAnsi="Calibri"/>
          <w:sz w:val="17"/>
          <w:szCs w:val="17"/>
          <w:color w:val="auto"/>
        </w:rPr>
      </w:pPr>
      <w:r>
        <w:rPr>
          <w:rFonts w:ascii="Calibri" w:cs="Calibri" w:eastAsia="Calibri" w:hAnsi="Calibri"/>
          <w:sz w:val="17"/>
          <w:szCs w:val="17"/>
          <w:color w:val="auto"/>
        </w:rPr>
        <w:t>Based on Schedule 13G/A fled with the SEC by Dimensional Fund Advisors LP on February 9, 2024, refectng securites benefcially owned as of December 31, 2023. Dimensional Fund Advisors LP reported sole votng power with respect to 1,108,101 shares, sole dispositve power with respect to all of the shares, shared votng power with respect to none of the shares and shared dispositve power with respect to none of the shares..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DELINQUENT SECTION 16(a) REPORTS</w:t>
      </w:r>
    </w:p>
    <w:p>
      <w:pPr>
        <w:spacing w:after="0" w:line="118"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Secton 16(a) of the Exchange Act requires our executve ofcers, directors and persons who benefcially own more than ten percent of our common stock to fle inital reports of ownership and reports of changes in ownership of our common stock with the SEC. Executve ofcers, directors and persons who benefcially own more than ten percent of our common stock are required by SEC regulatons to furnish us with copies of all Secton 16(a) forms they fle. To our knowledge, based solely on a review of the copies of such reports fled electronically with the SEC and/or writen representatons from our executve ofcers and directors, all Secton 16(a) fling requirements applicable to our executve ofcers and directors have been satsfed.</w:t>
      </w:r>
    </w:p>
    <w:p>
      <w:pPr>
        <w:spacing w:after="0" w:line="337"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RELATED PARTY TRANSACTIONS</w:t>
      </w:r>
    </w:p>
    <w:p>
      <w:pPr>
        <w:spacing w:after="0" w:line="118"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We employ the following relatves of our executve ofcers: Angela Wagamon (sister of Patrick H. Hawkins, our Chief Executve Ofcer) and Macy Pollgreen (daughter of Shirley A. Rozeboom, our Vice President - Health and Nutriton). Including retrement plan contributons and bonuses, each employee earned in excess of $120,000 in fscal 2024.</w:t>
      </w:r>
    </w:p>
    <w:p>
      <w:pPr>
        <w:spacing w:after="0" w:line="11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Stauber Performance Ingredients, Inc., our wholly-owned subsidiary, leases its corporate ofce building and warehouse in Fullerton, California from an entty that is partally owned by Daniel J. Stauber, Chief Brand Ofcer of our Health and Nutriton Group and one of our Board members. The amount of rent expense paid in fscal 2024 totaled $0.6 million, of which approximately $80,000 was atributable to Mr. Stauber.</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These transactons were reviewed and ratfed in advance by the Audit Commitee.</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Audit Commitee Charter provides that the Audit Commitee is responsible for approving all related party transactons. The Audit Commitee reviews and ratfes all transactons involving our company and any director, nominee for director, executve ofcer, other employee or family member thereof on a quarterly basis. It is our intenton that these transactons will be on terms no less favorable to us than we could obtain from unafliated third partes.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9" w:name="page40"/>
    <w:bookmarkEnd w:id="39"/>
    <w:p>
      <w:pPr>
        <w:spacing w:after="0"/>
        <w:rPr>
          <w:sz w:val="20"/>
          <w:szCs w:val="20"/>
          <w:color w:val="auto"/>
        </w:rPr>
      </w:pPr>
      <w:r>
        <w:rPr>
          <w:rFonts w:ascii="Calibri" w:cs="Calibri" w:eastAsia="Calibri" w:hAnsi="Calibri"/>
          <w:sz w:val="25"/>
          <w:szCs w:val="25"/>
          <w:b w:val="1"/>
          <w:bCs w:val="1"/>
          <w:color w:val="auto"/>
        </w:rPr>
        <w:t xml:space="preserve">PROPOSAL THREE </w:t>
      </w:r>
      <w:r>
        <w:rPr>
          <w:rFonts w:ascii="Calibri" w:cs="Calibri" w:eastAsia="Calibri" w:hAnsi="Calibri"/>
          <w:sz w:val="25"/>
          <w:szCs w:val="25"/>
          <w:color w:val="auto"/>
        </w:rPr>
        <w:t>—</w:t>
      </w:r>
      <w:r>
        <w:rPr>
          <w:rFonts w:ascii="Calibri" w:cs="Calibri" w:eastAsia="Calibri" w:hAnsi="Calibri"/>
          <w:sz w:val="25"/>
          <w:szCs w:val="25"/>
          <w:b w:val="1"/>
          <w:bCs w:val="1"/>
          <w:color w:val="auto"/>
        </w:rPr>
        <w:t xml:space="preserve"> ADVISORY VOTE TO APPROVE EXECUTIVE COMPENSATION</w:t>
      </w:r>
    </w:p>
    <w:p>
      <w:pPr>
        <w:spacing w:after="0" w:line="25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 accordance with Secton 14A of the Exchange Act, and Secton 951 of the Dodd-Frank Wall Street Reform and Consumer Protecton Act, the company is seeking a non-binding advisory vote from its shareholders to approve the compensaton of our named executve ofcers as described in this proxy statement under “Executve Compensaton” and “Compensaton Discussion and Analysis.”</w:t>
      </w:r>
    </w:p>
    <w:p>
      <w:pPr>
        <w:spacing w:after="0" w:line="246"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This proposal gives our shareholders the opportunity to express their views on the compensaton provided to our named executve ofcers. Because your vote is advisory, it will not be binding upon the company. However, the Compensaton Commitee will take into account the outcome of the vote when making future named executve ofcer compensaton decisions.</w:t>
      </w:r>
    </w:p>
    <w:p>
      <w:pPr>
        <w:spacing w:after="0" w:line="246"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Our executve compensaton program for our named executve ofcers has been designed to atract and retain executves who will lead our company to achieve long-term success and growth in shareholder value. Consistent with that goal, our named executve ofcer compensaton is based on company, business unit and individual performance and the alignment of the interests of our named executve ofcers with those of our shareholders and is used to encourage our named executve ofcers to stay with the company. Our program currently includes a mix of compensaton elements that rewards current results as well as motvates long-term performance through an appropriate balance of base pay and performance-based variable compensaton. To incent appropriate performance, our performance-based variable compensaton consists of a short-term variable pay component that rewards executves for both current business results as well as personal performance, and a long-term incentve plan that motvates long-term performance and aligns business results with the interests of our shareholders.</w:t>
      </w:r>
    </w:p>
    <w:p>
      <w:pPr>
        <w:spacing w:after="0" w:line="25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At our August 2023 annual meetng of shareholders, approximately 94% of the advisory votes cast “for” or “against” the corresponding proposal were cast in support of the compensaton of our named executve ofcers. The Compensaton Commitee and the other members of our Board believe that this vote refected our shareholders’ strong support of the compensaton decisions made by the Commitee for our named executve ofcers for fscal 2023. Based on these results, the Commitee concluded that our named executve ofcer compensaton program achieved the goals of our compensaton philosophy and, therefore, reafrmed the elements of our named executve ofcer compensaton program for fscal 2024.</w:t>
      </w:r>
    </w:p>
    <w:p>
      <w:pPr>
        <w:spacing w:after="0" w:line="24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We are presentng this proposal, which gives you as a shareholder the opportunity to approve our named executve ofcer compensaton as disclosed in this proxy statement by votng for or against the following resoluton:</w:t>
      </w:r>
    </w:p>
    <w:p>
      <w:pPr>
        <w:spacing w:after="0" w:line="245" w:lineRule="exact"/>
        <w:rPr>
          <w:sz w:val="20"/>
          <w:szCs w:val="20"/>
          <w:color w:val="auto"/>
        </w:rPr>
      </w:pPr>
    </w:p>
    <w:p>
      <w:pPr>
        <w:ind w:left="660" w:right="680"/>
        <w:spacing w:after="0" w:line="235" w:lineRule="auto"/>
        <w:rPr>
          <w:sz w:val="20"/>
          <w:szCs w:val="20"/>
          <w:color w:val="auto"/>
        </w:rPr>
      </w:pPr>
      <w:r>
        <w:rPr>
          <w:rFonts w:ascii="Calibri" w:cs="Calibri" w:eastAsia="Calibri" w:hAnsi="Calibri"/>
          <w:sz w:val="18"/>
          <w:szCs w:val="18"/>
          <w:color w:val="auto"/>
        </w:rPr>
        <w:t>RESOLVED, that the shareholders approve the compensaton of the company’s named executve ofcers, as disclosed in the Compensaton Discussion and Analysis, the compensaton tables, and the related disclosure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40575" cy="283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pacing w:after="0" w:line="144" w:lineRule="exact"/>
        <w:rPr>
          <w:sz w:val="20"/>
          <w:szCs w:val="20"/>
          <w:color w:val="auto"/>
        </w:rPr>
      </w:pPr>
    </w:p>
    <w:p>
      <w:pPr>
        <w:jc w:val="center"/>
        <w:ind w:left="420" w:right="280"/>
        <w:spacing w:after="0" w:line="220" w:lineRule="auto"/>
        <w:rPr>
          <w:sz w:val="20"/>
          <w:szCs w:val="20"/>
          <w:color w:val="auto"/>
        </w:rPr>
      </w:pPr>
      <w:r>
        <w:rPr>
          <w:rFonts w:ascii="Calibri" w:cs="Calibri" w:eastAsia="Calibri" w:hAnsi="Calibri"/>
          <w:sz w:val="18"/>
          <w:szCs w:val="18"/>
          <w:b w:val="1"/>
          <w:bCs w:val="1"/>
          <w:i w:val="1"/>
          <w:iCs w:val="1"/>
          <w:color w:val="auto"/>
        </w:rPr>
        <w:t>OUR BOARD BELIEVES THAT THE COMPENSATION OF OUR NAMED EXECUTIVE OFFICERS IS APPROPRIATE AND RECOMMENDS A VOTE “FOR” THIS PROPOSAL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68" w:right="419" w:bottom="1440" w:gutter="0" w:footer="0" w:header="0"/>
        </w:sectPr>
      </w:pPr>
    </w:p>
    <w:bookmarkStart w:id="40" w:name="page41"/>
    <w:bookmarkEnd w:id="40"/>
    <w:p>
      <w:pPr>
        <w:spacing w:after="0"/>
        <w:rPr>
          <w:sz w:val="20"/>
          <w:szCs w:val="20"/>
          <w:color w:val="auto"/>
        </w:rPr>
      </w:pPr>
      <w:r>
        <w:rPr>
          <w:rFonts w:ascii="Calibri" w:cs="Calibri" w:eastAsia="Calibri" w:hAnsi="Calibri"/>
          <w:sz w:val="25"/>
          <w:szCs w:val="25"/>
          <w:b w:val="1"/>
          <w:bCs w:val="1"/>
          <w:color w:val="auto"/>
        </w:rPr>
        <w:t>OTHER MATTERS</w:t>
      </w:r>
    </w:p>
    <w:p>
      <w:pPr>
        <w:spacing w:after="0" w:line="118"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Our management does not know of any other business that will be presented for consideraton at the Annual Meetng. If, however, any other business does properly come before the Annual Meetng, proxies will be voted in accordance with the judgment of the person or persons actng under them as to what is in the best interests of our company.</w:t>
      </w:r>
    </w:p>
    <w:p>
      <w:pPr>
        <w:spacing w:after="0" w:line="227"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PROPOSALS BY SHAREHOLDERS</w:t>
      </w:r>
    </w:p>
    <w:p>
      <w:pPr>
        <w:spacing w:after="0" w:line="132"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In order for a shareholder proposal (other than director nominatons) to be considered for inclusion in our proxy statement for next year’s annual meetng of shareholders, the writen proposal must be received by us at our principal executve ofces no later than February 20, 2025. Any such proposals also must comply with all applicable requirements of Minnesota law and the rules and regulatons of the SEC regarding shareholder proposals. In order for any other shareholder proposal (including a director nominaton) to be properly brought before next year’s annual meetng of shareholders, we must receive a writen notce at our principal executve ofces no later than May 2, 2025, in conformance with our By-Laws. The persons named as proxies by us for that meetng will have discretonary authority to vote on any shareholder proposal for which such notce is not properly received by us and as otherwise permited pursuant to the SEC’s rules and regulatons regarding the votng of proxies. Any director nominatons made by shareholders also must comply with the relevant provisions set forth in Artcle II of our By-Laws, as described under the Nominatng Process secton above. A copy of our By-Laws has been fled with the SEC and is available on the SEC’s website (www.sec.gov) or may be obtained by sending a writen request to our Secretary at our principal executve ofces.</w:t>
      </w:r>
    </w:p>
    <w:p>
      <w:pPr>
        <w:spacing w:after="0" w:line="251"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In additon to satsfying the foregoing requirements under our By-Laws, to comply with the universal proxy rules under the Exchange Act, stockholders who intend to solicit proxies in support of director nominees other than the Company’s nominees must provide notce that sets forth the informaton required by Rule 14a-19 under the Exchange Act no later than June 2, 2025.</w:t>
      </w:r>
    </w:p>
    <w:p>
      <w:pPr>
        <w:spacing w:after="0" w:line="227"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FORM 10-K</w:t>
      </w:r>
    </w:p>
    <w:p>
      <w:pPr>
        <w:spacing w:after="0" w:line="118"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Our Annual Report on Form 10-K for fscal 2024, including fnancial statements, is being furnished with this proxy statement. Shareholders who wish to obtain an additonal copy of our Annual Report on Form 10-K for fscal 2024 may do so without charge by writng to: Hawkins, Inc., 2381 Rosegate, Roseville, Minnesota 55113, Atenton: Secretary. Our Annual Report on Form 10-K, as well as other company reports, are also available on the SEC’s website (www.sec.gov).</w:t>
      </w:r>
    </w:p>
    <w:p>
      <w:pPr>
        <w:spacing w:after="0" w:line="228"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HOUSEHOLDING</w:t>
      </w:r>
    </w:p>
    <w:p>
      <w:pPr>
        <w:spacing w:after="0" w:line="132" w:lineRule="exact"/>
        <w:rPr>
          <w:sz w:val="20"/>
          <w:szCs w:val="20"/>
          <w:color w:val="auto"/>
        </w:rPr>
      </w:pPr>
    </w:p>
    <w:p>
      <w:pPr>
        <w:ind w:right="260"/>
        <w:spacing w:after="0" w:line="254" w:lineRule="auto"/>
        <w:rPr>
          <w:sz w:val="20"/>
          <w:szCs w:val="20"/>
          <w:color w:val="auto"/>
        </w:rPr>
      </w:pPr>
      <w:r>
        <w:rPr>
          <w:rFonts w:ascii="Calibri" w:cs="Calibri" w:eastAsia="Calibri" w:hAnsi="Calibri"/>
          <w:sz w:val="17"/>
          <w:szCs w:val="17"/>
          <w:color w:val="auto"/>
        </w:rPr>
        <w:t>We have adopted a procedure approved by the SEC called “householding,” by which certain shareholders who have the same address and appear to be members of the same family receive only one copy of our annual report and proxy statement. Each shareholder partcipatng in householding contnues to receive a separate proxy card. Householding reduces both the environmental impact of our annual meetngs and our mailing and printng expenses.</w:t>
      </w:r>
    </w:p>
    <w:p>
      <w:pPr>
        <w:spacing w:after="0" w:line="232" w:lineRule="exact"/>
        <w:rPr>
          <w:sz w:val="20"/>
          <w:szCs w:val="20"/>
          <w:color w:val="auto"/>
        </w:rPr>
      </w:pPr>
    </w:p>
    <w:p>
      <w:pPr>
        <w:spacing w:after="0" w:line="252" w:lineRule="auto"/>
        <w:rPr>
          <w:sz w:val="20"/>
          <w:szCs w:val="20"/>
          <w:color w:val="auto"/>
        </w:rPr>
      </w:pPr>
      <w:r>
        <w:rPr>
          <w:rFonts w:ascii="Calibri" w:cs="Calibri" w:eastAsia="Calibri" w:hAnsi="Calibri"/>
          <w:sz w:val="17"/>
          <w:szCs w:val="17"/>
          <w:color w:val="auto"/>
        </w:rPr>
        <w:t>If you would like to change your householding electon, request that a single copy of the proxy materials be sent to your address, or request a separate copy of the proxy materials, please contact Broadridge Financial Solutons, Inc., by calling (866) 540-7095 or by writng to Broadridge Householding Department, 51 Mercedes Way, Edgewood, New York 11717. We will promptly deliver the notce of internet availability or proxy materials to you upon receipt of your request. If you hold your shares in street name, please contact your bank, broker, or other record holder to request informaton about householding.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9111615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577850</wp:posOffset>
            </wp:positionV>
            <wp:extent cx="5966460" cy="7783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6460" cy="7783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5966460" cy="78009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6460" cy="7800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lvl w:ilvl="1">
      <w:lvlJc w:val="left"/>
      <w:lvlText w:val="(%2)"/>
      <w:numFmt w:val="decimal"/>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lowerRoman"/>
      <w:start w:val="2"/>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Letter"/>
      <w:start w:val="2"/>
    </w:lvl>
  </w:abstractNum>
  <w:abstractNum w:abstractNumId="18">
    <w:nsid w:val="3A95F874"/>
    <w:multiLevelType w:val="hybridMultilevel"/>
    <w:lvl w:ilvl="0">
      <w:lvlJc w:val="left"/>
      <w:lvlText w:val="(%1)"/>
      <w:numFmt w:val="lowerLetter"/>
      <w:start w:val="3"/>
    </w:lvl>
    <w:lvl w:ilvl="1">
      <w:lvlJc w:val="left"/>
      <w:lvlText w:val="•"/>
      <w:numFmt w:val="bullet"/>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lowerLetter"/>
      <w:start w:val="3"/>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2"/>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2"/>
    </w:lvl>
  </w:abstractNum>
  <w:abstractNum w:abstractNumId="34">
    <w:nsid w:val="7724C67E"/>
    <w:multiLevelType w:val="hybridMultilevel"/>
    <w:lvl w:ilvl="0">
      <w:lvlJc w:val="left"/>
      <w:lvlText w:val="(%1)"/>
      <w:numFmt w:val="decimal"/>
      <w:start w:val="3"/>
    </w:lvl>
  </w:abstractNum>
  <w:abstractNum w:abstractNumId="35">
    <w:nsid w:val="5C482A97"/>
    <w:multiLevelType w:val="hybridMultilevel"/>
    <w:lvl w:ilvl="0">
      <w:lvlJc w:val="left"/>
      <w:lvlText w:val="(%1)"/>
      <w:numFmt w:val="decimal"/>
      <w:start w:val="4"/>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2024-06-20T15:19:25Z</dcterms:created>
  <dcterms:modified xsi:type="dcterms:W3CDTF">2024-06-20T15:19:25Z</dcterms:modified>
</cp:coreProperties>
</file>