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217805</wp:posOffset>
            </wp:positionH>
            <wp:positionV relativeFrom="page">
              <wp:posOffset>620395</wp:posOffset>
            </wp:positionV>
            <wp:extent cx="7126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534670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-311785</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QUARTERLY REPORT PURSUANT TO SECTION 13 OR 15(d) OF THE</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EXCHANGE ACT OF 1934</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30, 2018</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0-7647</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48260</wp:posOffset>
            </wp:positionV>
            <wp:extent cx="5857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2"/>
          </w:tcPr>
          <w:p>
            <w:pPr>
              <w:jc w:val="center"/>
              <w:ind w:right="2262"/>
              <w:spacing w:after="0"/>
              <w:rPr>
                <w:sz w:val="20"/>
                <w:szCs w:val="20"/>
                <w:color w:val="auto"/>
              </w:rPr>
            </w:pPr>
            <w:r>
              <w:rPr>
                <w:rFonts w:ascii="Arial" w:cs="Arial" w:eastAsia="Arial" w:hAnsi="Arial"/>
                <w:sz w:val="18"/>
                <w:szCs w:val="18"/>
                <w:b w:val="1"/>
                <w:bCs w:val="1"/>
                <w:color w:val="auto"/>
              </w:rPr>
              <w:t>MINNESOTA</w:t>
            </w:r>
          </w:p>
        </w:tc>
        <w:tc>
          <w:tcPr>
            <w:tcW w:w="3460" w:type="dxa"/>
            <w:vAlign w:val="bottom"/>
          </w:tcPr>
          <w:p>
            <w:pPr>
              <w:jc w:val="center"/>
              <w:ind w:right="1922"/>
              <w:spacing w:after="0"/>
              <w:rPr>
                <w:sz w:val="20"/>
                <w:szCs w:val="20"/>
                <w:color w:val="auto"/>
              </w:rPr>
            </w:pPr>
            <w:r>
              <w:rPr>
                <w:rFonts w:ascii="Arial" w:cs="Arial" w:eastAsia="Arial" w:hAnsi="Arial"/>
                <w:sz w:val="18"/>
                <w:szCs w:val="18"/>
                <w:b w:val="1"/>
                <w:bCs w:val="1"/>
                <w:color w:val="auto"/>
                <w:w w:val="89"/>
              </w:rPr>
              <w:t>41-0771293</w:t>
            </w:r>
          </w:p>
        </w:tc>
      </w:tr>
      <w:tr>
        <w:trPr>
          <w:trHeight w:val="27"/>
        </w:trPr>
        <w:tc>
          <w:tcPr>
            <w:tcW w:w="34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146"/>
        </w:trPr>
        <w:tc>
          <w:tcPr>
            <w:tcW w:w="7960" w:type="dxa"/>
            <w:vAlign w:val="bottom"/>
            <w:gridSpan w:val="2"/>
          </w:tcPr>
          <w:p>
            <w:pPr>
              <w:jc w:val="center"/>
              <w:ind w:right="2262"/>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3460" w:type="dxa"/>
            <w:vAlign w:val="bottom"/>
          </w:tcPr>
          <w:p>
            <w:pPr>
              <w:jc w:val="center"/>
              <w:ind w:right="1942"/>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960" w:type="dxa"/>
            <w:vAlign w:val="bottom"/>
            <w:gridSpan w:val="2"/>
          </w:tcPr>
          <w:p>
            <w:pPr>
              <w:jc w:val="center"/>
              <w:ind w:right="2262"/>
              <w:spacing w:after="0"/>
              <w:rPr>
                <w:sz w:val="20"/>
                <w:szCs w:val="20"/>
                <w:color w:val="auto"/>
              </w:rPr>
            </w:pPr>
            <w:r>
              <w:rPr>
                <w:rFonts w:ascii="Arial" w:cs="Arial" w:eastAsia="Arial" w:hAnsi="Arial"/>
                <w:sz w:val="14"/>
                <w:szCs w:val="14"/>
                <w:b w:val="1"/>
                <w:bCs w:val="1"/>
                <w:color w:val="auto"/>
                <w:w w:val="93"/>
              </w:rPr>
              <w:t>incorporation or organization)</w:t>
            </w:r>
          </w:p>
        </w:tc>
        <w:tc>
          <w:tcPr>
            <w:tcW w:w="346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346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7"/>
              </w:rPr>
              <w:t>2381 ROSEGATE, ROSEVILLE, MINNESOTA 55113</w:t>
            </w:r>
          </w:p>
        </w:tc>
        <w:tc>
          <w:tcPr>
            <w:tcW w:w="3460" w:type="dxa"/>
            <w:vAlign w:val="bottom"/>
          </w:tcPr>
          <w:p>
            <w:pPr>
              <w:spacing w:after="0"/>
              <w:rPr>
                <w:sz w:val="24"/>
                <w:szCs w:val="24"/>
                <w:color w:val="auto"/>
              </w:rPr>
            </w:pPr>
          </w:p>
        </w:tc>
      </w:tr>
      <w:tr>
        <w:trPr>
          <w:trHeight w:val="186"/>
        </w:trPr>
        <w:tc>
          <w:tcPr>
            <w:tcW w:w="346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460" w:type="dxa"/>
            <w:vAlign w:val="bottom"/>
          </w:tcPr>
          <w:p>
            <w:pPr>
              <w:spacing w:after="0"/>
              <w:rPr>
                <w:sz w:val="16"/>
                <w:szCs w:val="16"/>
                <w:color w:val="auto"/>
              </w:rPr>
            </w:pPr>
          </w:p>
        </w:tc>
      </w:tr>
      <w:tr>
        <w:trPr>
          <w:trHeight w:val="512"/>
        </w:trPr>
        <w:tc>
          <w:tcPr>
            <w:tcW w:w="7960" w:type="dxa"/>
            <w:vAlign w:val="bottom"/>
            <w:gridSpan w:val="2"/>
          </w:tcPr>
          <w:p>
            <w:pPr>
              <w:jc w:val="center"/>
              <w:ind w:left="3399"/>
              <w:spacing w:after="0"/>
              <w:rPr>
                <w:sz w:val="20"/>
                <w:szCs w:val="20"/>
                <w:color w:val="auto"/>
              </w:rPr>
            </w:pPr>
            <w:r>
              <w:rPr>
                <w:rFonts w:ascii="Arial" w:cs="Arial" w:eastAsia="Arial" w:hAnsi="Arial"/>
                <w:sz w:val="18"/>
                <w:szCs w:val="18"/>
                <w:b w:val="1"/>
                <w:bCs w:val="1"/>
                <w:color w:val="auto"/>
                <w:w w:val="90"/>
              </w:rPr>
              <w:t>(612) 331-6910</w:t>
            </w:r>
          </w:p>
        </w:tc>
        <w:tc>
          <w:tcPr>
            <w:tcW w:w="3460" w:type="dxa"/>
            <w:vAlign w:val="bottom"/>
          </w:tcPr>
          <w:p>
            <w:pPr>
              <w:spacing w:after="0"/>
              <w:rPr>
                <w:sz w:val="24"/>
                <w:szCs w:val="24"/>
                <w:color w:val="auto"/>
              </w:rPr>
            </w:pPr>
          </w:p>
        </w:tc>
      </w:tr>
      <w:tr>
        <w:trPr>
          <w:trHeight w:val="224"/>
        </w:trPr>
        <w:tc>
          <w:tcPr>
            <w:tcW w:w="3460" w:type="dxa"/>
            <w:vAlign w:val="bottom"/>
          </w:tcPr>
          <w:p>
            <w:pPr>
              <w:spacing w:after="0"/>
              <w:rPr>
                <w:sz w:val="19"/>
                <w:szCs w:val="19"/>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460" w:type="dxa"/>
            <w:vAlign w:val="bottom"/>
          </w:tcPr>
          <w:p>
            <w:pPr>
              <w:spacing w:after="0"/>
              <w:rPr>
                <w:sz w:val="19"/>
                <w:szCs w:val="19"/>
                <w:color w:val="auto"/>
              </w:rPr>
            </w:pPr>
          </w:p>
        </w:tc>
      </w:tr>
    </w:tbl>
    <w:p>
      <w:pPr>
        <w:spacing w:after="0" w:line="283"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54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280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05"/>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280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92"/>
        </w:trPr>
        <w:tc>
          <w:tcPr>
            <w:tcW w:w="19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300" w:type="dxa"/>
            <w:vAlign w:val="bottom"/>
            <w:vMerge w:val="restart"/>
          </w:tcPr>
          <w:p>
            <w:pPr>
              <w:ind w:left="280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96"/>
        </w:trPr>
        <w:tc>
          <w:tcPr>
            <w:tcW w:w="19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3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660"/>
        <w:spacing w:after="0" w:line="207" w:lineRule="exact"/>
        <w:tabs>
          <w:tab w:leader="none" w:pos="1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10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rPr>
              <w:t>CLASS</w:t>
            </w:r>
          </w:p>
        </w:tc>
        <w:tc>
          <w:tcPr>
            <w:tcW w:w="30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Shares Outstanding at February 1, 2019</w:t>
            </w:r>
          </w:p>
        </w:tc>
        <w:tc>
          <w:tcPr>
            <w:tcW w:w="1200" w:type="dxa"/>
            <w:vAlign w:val="bottom"/>
          </w:tcPr>
          <w:p>
            <w:pPr>
              <w:spacing w:after="0"/>
              <w:rPr>
                <w:sz w:val="16"/>
                <w:szCs w:val="16"/>
                <w:color w:val="auto"/>
              </w:rPr>
            </w:pPr>
          </w:p>
        </w:tc>
      </w:tr>
      <w:tr>
        <w:trPr>
          <w:trHeight w:val="243"/>
        </w:trPr>
        <w:tc>
          <w:tcPr>
            <w:tcW w:w="100" w:type="dxa"/>
            <w:vAlign w:val="bottom"/>
          </w:tcPr>
          <w:p>
            <w:pPr>
              <w:spacing w:after="0"/>
              <w:rPr>
                <w:sz w:val="21"/>
                <w:szCs w:val="21"/>
                <w:color w:val="auto"/>
              </w:rPr>
            </w:pPr>
          </w:p>
        </w:tc>
        <w:tc>
          <w:tcPr>
            <w:tcW w:w="51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Common Stock, par value $.05 per share</w:t>
            </w:r>
          </w:p>
        </w:tc>
        <w:tc>
          <w:tcPr>
            <w:tcW w:w="4840" w:type="dxa"/>
            <w:vAlign w:val="bottom"/>
          </w:tcPr>
          <w:p>
            <w:pPr>
              <w:jc w:val="right"/>
              <w:ind w:right="1939"/>
              <w:spacing w:after="0"/>
              <w:rPr>
                <w:sz w:val="20"/>
                <w:szCs w:val="20"/>
                <w:color w:val="auto"/>
              </w:rPr>
            </w:pPr>
            <w:r>
              <w:rPr>
                <w:rFonts w:ascii="Arial" w:cs="Arial" w:eastAsia="Arial" w:hAnsi="Arial"/>
                <w:sz w:val="18"/>
                <w:szCs w:val="18"/>
                <w:color w:val="auto"/>
              </w:rPr>
              <w:t>10,682,063</w:t>
            </w:r>
          </w:p>
        </w:tc>
        <w:tc>
          <w:tcPr>
            <w:tcW w:w="1200" w:type="dxa"/>
            <w:vAlign w:val="bottom"/>
          </w:tcPr>
          <w:p>
            <w:pPr>
              <w:spacing w:after="0"/>
              <w:rPr>
                <w:sz w:val="21"/>
                <w:szCs w:val="21"/>
                <w:color w:val="auto"/>
              </w:rPr>
            </w:pPr>
          </w:p>
        </w:tc>
      </w:tr>
      <w:tr>
        <w:trPr>
          <w:trHeight w:val="216"/>
        </w:trPr>
        <w:tc>
          <w:tcPr>
            <w:tcW w:w="100" w:type="dxa"/>
            <w:vAlign w:val="bottom"/>
          </w:tcPr>
          <w:p>
            <w:pPr>
              <w:spacing w:after="0"/>
              <w:rPr>
                <w:sz w:val="18"/>
                <w:szCs w:val="18"/>
                <w:color w:val="auto"/>
              </w:rPr>
            </w:pPr>
          </w:p>
        </w:tc>
        <w:tc>
          <w:tcPr>
            <w:tcW w:w="4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122"/>
        </w:trPr>
        <w:tc>
          <w:tcPr>
            <w:tcW w:w="100" w:type="dxa"/>
            <w:vAlign w:val="bottom"/>
          </w:tcPr>
          <w:p>
            <w:pPr>
              <w:spacing w:after="0"/>
              <w:rPr>
                <w:sz w:val="10"/>
                <w:szCs w:val="10"/>
                <w:color w:val="auto"/>
              </w:rPr>
            </w:pPr>
          </w:p>
        </w:tc>
        <w:tc>
          <w:tcPr>
            <w:tcW w:w="48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030" w:right="239" w:bottom="1440" w:gutter="0" w:footer="0" w:header="0"/>
        </w:sectPr>
      </w:pPr>
    </w:p>
    <w:bookmarkStart w:id="1" w:name="page2"/>
    <w:bookmarkEnd w:id="1"/>
    <w:p>
      <w:pPr>
        <w:jc w:val="center"/>
        <w:ind w:right="-116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INDEX TO FORM 10-Q</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336"/>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260" w:type="dxa"/>
            <w:vAlign w:val="bottom"/>
            <w:gridSpan w:val="11"/>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24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220" w:type="dxa"/>
            <w:vAlign w:val="bottom"/>
            <w:gridSpan w:val="10"/>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tcPr>
          <w:p>
            <w:pPr>
              <w:spacing w:after="0"/>
              <w:rPr>
                <w:sz w:val="24"/>
                <w:szCs w:val="24"/>
                <w:color w:val="auto"/>
              </w:rPr>
            </w:pPr>
          </w:p>
        </w:tc>
        <w:tc>
          <w:tcPr>
            <w:tcW w:w="76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December 30, 2018 and April 1, 2018</w:t>
              </w:r>
            </w:hyperlink>
          </w:p>
        </w:tc>
        <w:tc>
          <w:tcPr>
            <w:tcW w:w="96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7660" w:type="dxa"/>
            <w:vAlign w:val="bottom"/>
            <w:gridSpan w:val="19"/>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Income – Three and Nine Months Ended December 30,</w:t>
              </w:r>
            </w:hyperlink>
          </w:p>
        </w:tc>
        <w:tc>
          <w:tcPr>
            <w:tcW w:w="96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196"/>
        </w:trPr>
        <w:tc>
          <w:tcPr>
            <w:tcW w:w="1140" w:type="dxa"/>
            <w:vAlign w:val="bottom"/>
          </w:tcPr>
          <w:p>
            <w:pPr>
              <w:spacing w:after="0"/>
              <w:rPr>
                <w:sz w:val="17"/>
                <w:szCs w:val="17"/>
                <w:color w:val="auto"/>
              </w:rPr>
            </w:pPr>
          </w:p>
        </w:tc>
        <w:tc>
          <w:tcPr>
            <w:tcW w:w="68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2018 and December 31, 2017</w:t>
              </w:r>
            </w:hyperlink>
          </w:p>
        </w:tc>
        <w:tc>
          <w:tcPr>
            <w:tcW w:w="80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7660" w:type="dxa"/>
            <w:vAlign w:val="bottom"/>
            <w:gridSpan w:val="19"/>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Statements of Comprehensive Income – Three and Nine Months Ended</w:t>
              </w:r>
            </w:hyperlink>
          </w:p>
        </w:tc>
        <w:tc>
          <w:tcPr>
            <w:tcW w:w="96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196"/>
        </w:trPr>
        <w:tc>
          <w:tcPr>
            <w:tcW w:w="1140" w:type="dxa"/>
            <w:vAlign w:val="bottom"/>
          </w:tcPr>
          <w:p>
            <w:pPr>
              <w:spacing w:after="0"/>
              <w:rPr>
                <w:sz w:val="17"/>
                <w:szCs w:val="17"/>
                <w:color w:val="auto"/>
              </w:rPr>
            </w:pPr>
          </w:p>
        </w:tc>
        <w:tc>
          <w:tcPr>
            <w:tcW w:w="69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December 30, 2018 and December 31, 2017</w:t>
              </w:r>
            </w:hyperlink>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766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 Nine Months Ended December 30, 2018</w:t>
              </w:r>
            </w:hyperlink>
          </w:p>
        </w:tc>
        <w:tc>
          <w:tcPr>
            <w:tcW w:w="96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196"/>
        </w:trPr>
        <w:tc>
          <w:tcPr>
            <w:tcW w:w="1140" w:type="dxa"/>
            <w:vAlign w:val="bottom"/>
          </w:tcPr>
          <w:p>
            <w:pPr>
              <w:spacing w:after="0"/>
              <w:rPr>
                <w:sz w:val="17"/>
                <w:szCs w:val="17"/>
                <w:color w:val="auto"/>
              </w:rPr>
            </w:pPr>
          </w:p>
        </w:tc>
        <w:tc>
          <w:tcPr>
            <w:tcW w:w="68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December 31, 2017</w:t>
              </w:r>
            </w:hyperlink>
          </w:p>
        </w:tc>
        <w:tc>
          <w:tcPr>
            <w:tcW w:w="86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660" w:type="dxa"/>
            <w:vAlign w:val="bottom"/>
            <w:gridSpan w:val="8"/>
          </w:tcPr>
          <w:p>
            <w:pPr>
              <w:spacing w:after="0"/>
              <w:rPr>
                <w:sz w:val="24"/>
                <w:szCs w:val="24"/>
                <w:color w:val="auto"/>
              </w:rPr>
            </w:pPr>
          </w:p>
        </w:tc>
        <w:tc>
          <w:tcPr>
            <w:tcW w:w="8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660" w:type="dxa"/>
            <w:vAlign w:val="bottom"/>
            <w:gridSpan w:val="19"/>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960" w:type="dxa"/>
            <w:vAlign w:val="bottom"/>
            <w:gridSpan w:val="3"/>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13</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Quantitative and Qualitative Disclosures about Market Risk</w:t>
              </w:r>
            </w:hyperlink>
          </w:p>
        </w:tc>
        <w:tc>
          <w:tcPr>
            <w:tcW w:w="2140" w:type="dxa"/>
            <w:vAlign w:val="bottom"/>
            <w:gridSpan w:val="3"/>
          </w:tcPr>
          <w:p>
            <w:pPr>
              <w:spacing w:after="0"/>
              <w:rPr>
                <w:sz w:val="24"/>
                <w:szCs w:val="24"/>
                <w:color w:val="auto"/>
              </w:rPr>
            </w:pPr>
          </w:p>
        </w:tc>
        <w:tc>
          <w:tcPr>
            <w:tcW w:w="1200" w:type="dxa"/>
            <w:vAlign w:val="bottom"/>
            <w:gridSpan w:val="4"/>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18</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5"/>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Controls and Procedures</w:t>
              </w:r>
            </w:hyperlink>
          </w:p>
        </w:tc>
        <w:tc>
          <w:tcPr>
            <w:tcW w:w="2540" w:type="dxa"/>
            <w:vAlign w:val="bottom"/>
            <w:gridSpan w:val="7"/>
          </w:tcPr>
          <w:p>
            <w:pPr>
              <w:spacing w:after="0"/>
              <w:rPr>
                <w:sz w:val="24"/>
                <w:szCs w:val="24"/>
                <w:color w:val="auto"/>
              </w:rPr>
            </w:pPr>
          </w:p>
        </w:tc>
        <w:tc>
          <w:tcPr>
            <w:tcW w:w="3340" w:type="dxa"/>
            <w:vAlign w:val="bottom"/>
            <w:gridSpan w:val="7"/>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660" w:type="dxa"/>
            <w:vAlign w:val="bottom"/>
            <w:gridSpan w:val="19"/>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OTHER INFORMATION</w:t>
              </w:r>
            </w:hyperlink>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tcBorders>
            <w:gridSpan w:val="3"/>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24"/>
                <w:szCs w:val="24"/>
                <w:color w:val="auto"/>
              </w:rPr>
            </w:pPr>
          </w:p>
        </w:tc>
        <w:tc>
          <w:tcPr>
            <w:tcW w:w="5640" w:type="dxa"/>
            <w:vAlign w:val="bottom"/>
            <w:gridSpan w:val="13"/>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20</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134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6320" w:type="dxa"/>
            <w:vAlign w:val="bottom"/>
            <w:gridSpan w:val="16"/>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20</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13"/>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Unregistered Sales of Equity Securities and Use of Proceeds</w:t>
              </w:r>
            </w:hyperlink>
          </w:p>
        </w:tc>
        <w:tc>
          <w:tcPr>
            <w:tcW w:w="3300" w:type="dxa"/>
            <w:vAlign w:val="bottom"/>
            <w:gridSpan w:val="6"/>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20</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60" w:type="dxa"/>
            <w:vAlign w:val="bottom"/>
            <w:gridSpan w:val="12"/>
            <w:shd w:val="clear" w:color="auto" w:fill="0000EE"/>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4360" w:type="dxa"/>
            <w:vAlign w:val="bottom"/>
            <w:gridSpan w:val="1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3300" w:type="dxa"/>
            <w:vAlign w:val="bottom"/>
            <w:gridSpan w:val="6"/>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179"/>
          </w:cols>
          <w:pgMar w:left="280" w:top="58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30,</w:t>
            </w:r>
          </w:p>
        </w:tc>
        <w:tc>
          <w:tcPr>
            <w:tcW w:w="260" w:type="dxa"/>
            <w:vAlign w:val="bottom"/>
          </w:tcPr>
          <w:p>
            <w:pPr>
              <w:spacing w:after="0"/>
              <w:rPr>
                <w:sz w:val="17"/>
                <w:szCs w:val="17"/>
                <w:color w:val="auto"/>
              </w:rPr>
            </w:pPr>
          </w:p>
        </w:tc>
        <w:tc>
          <w:tcPr>
            <w:tcW w:w="1100" w:type="dxa"/>
            <w:vAlign w:val="bottom"/>
          </w:tcPr>
          <w:p>
            <w:pPr>
              <w:jc w:val="right"/>
              <w:ind w:right="339"/>
              <w:spacing w:after="0"/>
              <w:rPr>
                <w:sz w:val="20"/>
                <w:szCs w:val="20"/>
                <w:color w:val="auto"/>
              </w:rPr>
            </w:pPr>
            <w:r>
              <w:rPr>
                <w:rFonts w:ascii="Arial" w:cs="Arial" w:eastAsia="Arial" w:hAnsi="Arial"/>
                <w:sz w:val="16"/>
                <w:szCs w:val="16"/>
                <w:b w:val="1"/>
                <w:bCs w:val="1"/>
                <w:color w:val="auto"/>
              </w:rPr>
              <w:t>April 1,</w:t>
            </w:r>
          </w:p>
        </w:tc>
        <w:tc>
          <w:tcPr>
            <w:tcW w:w="0" w:type="dxa"/>
            <w:vAlign w:val="bottom"/>
          </w:tcPr>
          <w:p>
            <w:pPr>
              <w:spacing w:after="0"/>
              <w:rPr>
                <w:sz w:val="1"/>
                <w:szCs w:val="1"/>
                <w:color w:val="auto"/>
              </w:rPr>
            </w:pPr>
          </w:p>
        </w:tc>
      </w:tr>
      <w:tr>
        <w:trPr>
          <w:trHeight w:val="210"/>
        </w:trPr>
        <w:tc>
          <w:tcPr>
            <w:tcW w:w="8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4,990</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Trade receivables — less allowance for doubtful accounts: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$589 as of December 30, 2018 and $942 as of April 1, 2018</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63,507</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67,672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59,736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taxes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2,643</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5,693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4,106</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142,180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134,982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242,886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238,165</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 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125,282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114,339</w:t>
            </w:r>
          </w:p>
        </w:tc>
        <w:tc>
          <w:tcPr>
            <w:tcW w:w="0" w:type="dxa"/>
            <w:vAlign w:val="bottom"/>
          </w:tcPr>
          <w:p>
            <w:pPr>
              <w:spacing w:after="0"/>
              <w:rPr>
                <w:sz w:val="1"/>
                <w:szCs w:val="1"/>
                <w:color w:val="auto"/>
              </w:rPr>
            </w:pP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Net property, plant, and equipment</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117,604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123,826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58,440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58,440</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66,994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71,179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3,226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2,564</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128,660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132,183</w:t>
            </w:r>
          </w:p>
        </w:tc>
        <w:tc>
          <w:tcPr>
            <w:tcW w:w="0" w:type="dxa"/>
            <w:vAlign w:val="bottom"/>
          </w:tcPr>
          <w:p>
            <w:pPr>
              <w:spacing w:after="0"/>
              <w:rPr>
                <w:sz w:val="1"/>
                <w:szCs w:val="1"/>
                <w:color w:val="auto"/>
              </w:rPr>
            </w:pP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388,444</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390,991</w:t>
            </w:r>
          </w:p>
        </w:tc>
        <w:tc>
          <w:tcPr>
            <w:tcW w:w="0" w:type="dxa"/>
            <w:vAlign w:val="bottom"/>
          </w:tcPr>
          <w:p>
            <w:pPr>
              <w:spacing w:after="0"/>
              <w:rPr>
                <w:sz w:val="1"/>
                <w:szCs w:val="1"/>
                <w:color w:val="auto"/>
              </w:rPr>
            </w:pPr>
          </w:p>
        </w:tc>
      </w:tr>
      <w:tr>
        <w:trPr>
          <w:trHeight w:val="73"/>
        </w:trPr>
        <w:tc>
          <w:tcPr>
            <w:tcW w:w="85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 trade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33,424</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Dividends payable</w:t>
            </w:r>
          </w:p>
        </w:tc>
        <w:tc>
          <w:tcPr>
            <w:tcW w:w="1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4,704</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payroll and employee benefits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8,399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9,907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9,864</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Container deposits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2,935</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60,567</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LONG-TERM DEBT, LESS CURRENT PORTION</w:t>
            </w: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80,635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90,762</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PENSION WITHDRAWAL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27,242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27,383</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4,386</w:t>
            </w:r>
          </w:p>
        </w:tc>
        <w:tc>
          <w:tcPr>
            <w:tcW w:w="0" w:type="dxa"/>
            <w:vAlign w:val="bottom"/>
          </w:tcPr>
          <w:p>
            <w:pPr>
              <w:spacing w:after="0"/>
              <w:rPr>
                <w:sz w:val="1"/>
                <w:szCs w:val="1"/>
                <w:color w:val="auto"/>
              </w:rPr>
            </w:pP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Total liabilities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170,914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188,744</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SHAREHOLDERS’ EQUITY:</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Common stock; authorized: 30,000,000 shares of $0.05 par value; 10,619,681 and 10,631,992 shares issued and</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outstanding as of December 30, 2018 and April 1, 2018, respectively</w:t>
            </w: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53,478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53,877</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163,083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147,242</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Accumulated other comprehensive income</w:t>
            </w: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217,530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202,247</w:t>
            </w:r>
          </w:p>
        </w:tc>
        <w:tc>
          <w:tcPr>
            <w:tcW w:w="0" w:type="dxa"/>
            <w:vAlign w:val="bottom"/>
          </w:tcPr>
          <w:p>
            <w:pPr>
              <w:spacing w:after="0"/>
              <w:rPr>
                <w:sz w:val="1"/>
                <w:szCs w:val="1"/>
                <w:color w:val="auto"/>
              </w:rPr>
            </w:pP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388,444</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390,991</w:t>
            </w:r>
          </w:p>
        </w:tc>
        <w:tc>
          <w:tcPr>
            <w:tcW w:w="0" w:type="dxa"/>
            <w:vAlign w:val="bottom"/>
          </w:tcPr>
          <w:p>
            <w:pPr>
              <w:spacing w:after="0"/>
              <w:rPr>
                <w:sz w:val="1"/>
                <w:szCs w:val="1"/>
                <w:color w:val="auto"/>
              </w:rPr>
            </w:pPr>
          </w:p>
        </w:tc>
      </w:tr>
      <w:tr>
        <w:trPr>
          <w:trHeight w:val="33"/>
        </w:trPr>
        <w:tc>
          <w:tcPr>
            <w:tcW w:w="8580" w:type="dxa"/>
            <w:vAlign w:val="bottom"/>
            <w:vMerge w:val="restart"/>
          </w:tcPr>
          <w:p>
            <w:pPr>
              <w:ind w:left="3080"/>
              <w:spacing w:after="0"/>
              <w:rPr>
                <w:sz w:val="20"/>
                <w:szCs w:val="20"/>
                <w:color w:val="auto"/>
              </w:rPr>
            </w:pPr>
            <w:r>
              <w:rPr>
                <w:rFonts w:ascii="Arial" w:cs="Arial" w:eastAsia="Arial" w:hAnsi="Arial"/>
                <w:sz w:val="18"/>
                <w:szCs w:val="18"/>
                <w:color w:val="auto"/>
                <w:w w:val="92"/>
              </w:rPr>
              <w:t>See accompanying notes to condensed consolidated financial statements.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580" w:type="dxa"/>
            <w:vAlign w:val="bottom"/>
            <w:gridSpan w:val="4"/>
          </w:tcPr>
          <w:p>
            <w:pPr>
              <w:jc w:val="right"/>
              <w:ind w:right="57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46"/>
        </w:trPr>
        <w:tc>
          <w:tcPr>
            <w:tcW w:w="5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December 30,</w:t>
            </w:r>
          </w:p>
        </w:tc>
        <w:tc>
          <w:tcPr>
            <w:tcW w:w="180" w:type="dxa"/>
            <w:vAlign w:val="bottom"/>
          </w:tcPr>
          <w:p>
            <w:pPr>
              <w:spacing w:after="0"/>
              <w:rPr>
                <w:sz w:val="12"/>
                <w:szCs w:val="12"/>
                <w:color w:val="auto"/>
              </w:rPr>
            </w:pPr>
          </w:p>
        </w:tc>
        <w:tc>
          <w:tcPr>
            <w:tcW w:w="126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6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December 30,</w:t>
            </w:r>
          </w:p>
        </w:tc>
        <w:tc>
          <w:tcPr>
            <w:tcW w:w="180" w:type="dxa"/>
            <w:vAlign w:val="bottom"/>
          </w:tcPr>
          <w:p>
            <w:pPr>
              <w:spacing w:after="0"/>
              <w:rPr>
                <w:sz w:val="12"/>
                <w:szCs w:val="12"/>
                <w:color w:val="auto"/>
              </w:rPr>
            </w:pPr>
          </w:p>
        </w:tc>
        <w:tc>
          <w:tcPr>
            <w:tcW w:w="1140" w:type="dxa"/>
            <w:vAlign w:val="bottom"/>
          </w:tcPr>
          <w:p>
            <w:pPr>
              <w:jc w:val="right"/>
              <w:ind w:right="172"/>
              <w:spacing w:after="0" w:line="147"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53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118,053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423,275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377,179</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(107,118)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(99,213)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(348,013)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(308,225)</w:t>
            </w:r>
          </w:p>
        </w:tc>
      </w:tr>
      <w:tr>
        <w:trPr>
          <w:trHeight w:val="27"/>
        </w:trPr>
        <w:tc>
          <w:tcPr>
            <w:tcW w:w="5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75,262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68,954</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(44,232)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(44,733)</w:t>
            </w:r>
          </w:p>
        </w:tc>
      </w:tr>
      <w:tr>
        <w:trPr>
          <w:trHeight w:val="27"/>
        </w:trPr>
        <w:tc>
          <w:tcPr>
            <w:tcW w:w="5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24,221</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(2,522)</w:t>
            </w:r>
          </w:p>
        </w:tc>
      </w:tr>
      <w:tr>
        <w:trPr>
          <w:trHeight w:val="27"/>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5,598</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3,844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28,238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21,798</w:t>
            </w:r>
          </w:p>
        </w:tc>
      </w:tr>
      <w:tr>
        <w:trPr>
          <w:trHeight w:val="27"/>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13,299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6,386</w:t>
            </w: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4,130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17,143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20,662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28,184</w:t>
            </w:r>
          </w:p>
        </w:tc>
      </w:tr>
      <w:tr>
        <w:trPr>
          <w:trHeight w:val="67"/>
        </w:trPr>
        <w:tc>
          <w:tcPr>
            <w:tcW w:w="53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305"/>
        </w:trPr>
        <w:tc>
          <w:tcPr>
            <w:tcW w:w="5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10,667,001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10,609,078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10,663,807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10,599,232</w:t>
            </w:r>
          </w:p>
        </w:tc>
      </w:tr>
      <w:tr>
        <w:trPr>
          <w:trHeight w:val="27"/>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10,712,027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10,648,232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10,727,377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10,641,578</w:t>
            </w:r>
          </w:p>
        </w:tc>
      </w:tr>
      <w:tr>
        <w:trPr>
          <w:trHeight w:val="324"/>
        </w:trPr>
        <w:tc>
          <w:tcPr>
            <w:tcW w:w="5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2.65</w:t>
            </w:r>
          </w:p>
        </w:tc>
      </w:tr>
      <w:tr>
        <w:trPr>
          <w:trHeight w:val="27"/>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5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0.225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0.44</w:t>
            </w:r>
          </w:p>
        </w:tc>
      </w:tr>
    </w:tbl>
    <w:p>
      <w:pPr>
        <w:spacing w:after="0" w:line="175"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240" w:top="580" w:right="7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30,</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30,</w:t>
            </w:r>
          </w:p>
        </w:tc>
        <w:tc>
          <w:tcPr>
            <w:tcW w:w="180" w:type="dxa"/>
            <w:vAlign w:val="bottom"/>
          </w:tcPr>
          <w:p>
            <w:pPr>
              <w:spacing w:after="0"/>
              <w:rPr>
                <w:sz w:val="13"/>
                <w:szCs w:val="13"/>
                <w:color w:val="auto"/>
              </w:rPr>
            </w:pPr>
          </w:p>
        </w:tc>
        <w:tc>
          <w:tcPr>
            <w:tcW w:w="1180" w:type="dxa"/>
            <w:vAlign w:val="bottom"/>
          </w:tcPr>
          <w:p>
            <w:pPr>
              <w:jc w:val="right"/>
              <w:ind w:right="197"/>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4,130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17,143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20,662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28,184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gain on interest rate swap</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3,960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17,267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20,504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28,245</w:t>
            </w:r>
          </w:p>
        </w:tc>
      </w:tr>
      <w:tr>
        <w:trPr>
          <w:trHeight w:val="27"/>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7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7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30,</w:t>
            </w:r>
          </w:p>
        </w:tc>
        <w:tc>
          <w:tcPr>
            <w:tcW w:w="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7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r>
      <w:tr>
        <w:trPr>
          <w:trHeight w:val="33"/>
        </w:trPr>
        <w:tc>
          <w:tcPr>
            <w:tcW w:w="7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4"/>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60"/>
        </w:trPr>
        <w:tc>
          <w:tcPr>
            <w:tcW w:w="76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20,662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28,184</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Reconciliation to cash flows: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762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16,398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16,759</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debt issuance costs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r>
      <w:tr>
        <w:trPr>
          <w:trHeight w:val="237"/>
        </w:trPr>
        <w:tc>
          <w:tcPr>
            <w:tcW w:w="7620" w:type="dxa"/>
            <w:vAlign w:val="bottom"/>
          </w:tcPr>
          <w:p>
            <w:pPr>
              <w:ind w:left="720"/>
              <w:spacing w:after="0"/>
              <w:rPr>
                <w:sz w:val="20"/>
                <w:szCs w:val="20"/>
                <w:color w:val="auto"/>
              </w:rPr>
            </w:pPr>
            <w:r>
              <w:rPr>
                <w:rFonts w:ascii="Arial" w:cs="Arial" w:eastAsia="Arial" w:hAnsi="Arial"/>
                <w:sz w:val="16"/>
                <w:szCs w:val="16"/>
                <w:color w:val="auto"/>
              </w:rPr>
              <w:t>Loss (gain) on deferred compensation assets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(16,765)</w:t>
            </w:r>
          </w:p>
        </w:tc>
      </w:tr>
      <w:tr>
        <w:trPr>
          <w:trHeight w:val="237"/>
        </w:trPr>
        <w:tc>
          <w:tcPr>
            <w:tcW w:w="7620" w:type="dxa"/>
            <w:vAlign w:val="bottom"/>
          </w:tcPr>
          <w:p>
            <w:pPr>
              <w:ind w:left="720"/>
              <w:spacing w:after="0"/>
              <w:rPr>
                <w:sz w:val="20"/>
                <w:szCs w:val="20"/>
                <w:color w:val="auto"/>
              </w:rPr>
            </w:pPr>
            <w:r>
              <w:rPr>
                <w:rFonts w:ascii="Arial" w:cs="Arial" w:eastAsia="Arial" w:hAnsi="Arial"/>
                <w:sz w:val="16"/>
                <w:szCs w:val="16"/>
                <w:color w:val="auto"/>
              </w:rPr>
              <w:t>Stock compensation expense</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1,574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1,209</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Loss (gain) on property disposals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24"/>
        </w:trPr>
        <w:tc>
          <w:tcPr>
            <w:tcW w:w="7620" w:type="dxa"/>
            <w:vAlign w:val="bottom"/>
          </w:tcPr>
          <w:p>
            <w:pPr>
              <w:ind w:left="720"/>
              <w:spacing w:after="0"/>
              <w:rPr>
                <w:sz w:val="20"/>
                <w:szCs w:val="20"/>
                <w:color w:val="auto"/>
              </w:rPr>
            </w:pPr>
            <w:r>
              <w:rPr>
                <w:rFonts w:ascii="Arial" w:cs="Arial" w:eastAsia="Arial" w:hAnsi="Arial"/>
                <w:sz w:val="16"/>
                <w:szCs w:val="16"/>
                <w:color w:val="auto"/>
              </w:rPr>
              <w:t>Changes in operating accounts providing (using) cash:</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7"/>
        </w:trPr>
        <w:tc>
          <w:tcPr>
            <w:tcW w:w="7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7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Trade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w:t>
            </w:r>
          </w:p>
        </w:tc>
      </w:tr>
      <w:tr>
        <w:trPr>
          <w:trHeight w:val="237"/>
        </w:trPr>
        <w:tc>
          <w:tcPr>
            <w:tcW w:w="7620" w:type="dxa"/>
            <w:vAlign w:val="bottom"/>
          </w:tcPr>
          <w:p>
            <w:pPr>
              <w:ind w:left="114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(7,936)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(11,487)</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(990)</w:t>
            </w:r>
          </w:p>
        </w:tc>
      </w:tr>
      <w:tr>
        <w:trPr>
          <w:trHeight w:val="237"/>
        </w:trPr>
        <w:tc>
          <w:tcPr>
            <w:tcW w:w="7620" w:type="dxa"/>
            <w:vAlign w:val="bottom"/>
          </w:tcPr>
          <w:p>
            <w:pPr>
              <w:ind w:left="1140"/>
              <w:spacing w:after="0"/>
              <w:rPr>
                <w:sz w:val="20"/>
                <w:szCs w:val="20"/>
                <w:color w:val="auto"/>
              </w:rPr>
            </w:pPr>
            <w:r>
              <w:rPr>
                <w:rFonts w:ascii="Arial" w:cs="Arial" w:eastAsia="Arial" w:hAnsi="Arial"/>
                <w:sz w:val="16"/>
                <w:szCs w:val="16"/>
                <w:color w:val="auto"/>
              </w:rPr>
              <w:t>Accrued liabilities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1,261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(1,057)</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977</w:t>
            </w:r>
          </w:p>
        </w:tc>
      </w:tr>
      <w:tr>
        <w:trPr>
          <w:trHeight w:val="237"/>
        </w:trPr>
        <w:tc>
          <w:tcPr>
            <w:tcW w:w="7620" w:type="dxa"/>
            <w:vAlign w:val="bottom"/>
          </w:tcPr>
          <w:p>
            <w:pPr>
              <w:ind w:left="114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(1,785)</w:t>
            </w:r>
          </w:p>
        </w:tc>
      </w:tr>
      <w:tr>
        <w:trPr>
          <w:trHeight w:val="33"/>
        </w:trPr>
        <w:tc>
          <w:tcPr>
            <w:tcW w:w="7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762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14,560</w:t>
            </w:r>
          </w:p>
        </w:tc>
      </w:tr>
      <w:tr>
        <w:trPr>
          <w:trHeight w:val="224"/>
        </w:trPr>
        <w:tc>
          <w:tcPr>
            <w:tcW w:w="762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7"/>
        </w:trPr>
        <w:tc>
          <w:tcPr>
            <w:tcW w:w="7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(17,002)</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298</w:t>
            </w:r>
          </w:p>
        </w:tc>
      </w:tr>
      <w:tr>
        <w:trPr>
          <w:trHeight w:val="33"/>
        </w:trPr>
        <w:tc>
          <w:tcPr>
            <w:tcW w:w="7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762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(16,704)</w:t>
            </w:r>
          </w:p>
        </w:tc>
      </w:tr>
      <w:tr>
        <w:trPr>
          <w:trHeight w:val="224"/>
        </w:trPr>
        <w:tc>
          <w:tcPr>
            <w:tcW w:w="762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7"/>
        </w:trPr>
        <w:tc>
          <w:tcPr>
            <w:tcW w:w="7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dividends paid</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(9,161)</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New shares issued</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704</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Shares surrendered for payroll taxes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Shares repurchased</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proceeds from revolver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17,000</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Payments on term loan borrowings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(85,000)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(5,625)</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for debt issuance costs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7620" w:type="dxa"/>
            <w:vAlign w:val="bottom"/>
          </w:tcPr>
          <w:p>
            <w:pPr>
              <w:ind w:left="1460"/>
              <w:spacing w:after="0"/>
              <w:rPr>
                <w:sz w:val="20"/>
                <w:szCs w:val="20"/>
                <w:color w:val="auto"/>
              </w:rPr>
            </w:pPr>
            <w:r>
              <w:rPr>
                <w:rFonts w:ascii="Arial" w:cs="Arial" w:eastAsia="Arial" w:hAnsi="Arial"/>
                <w:sz w:val="16"/>
                <w:szCs w:val="16"/>
                <w:color w:val="auto"/>
              </w:rPr>
              <w:t>Net cash (used in) provided by financing activities</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(21,682)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2,918</w:t>
            </w:r>
          </w:p>
        </w:tc>
      </w:tr>
      <w:tr>
        <w:trPr>
          <w:trHeight w:val="33"/>
        </w:trPr>
        <w:tc>
          <w:tcPr>
            <w:tcW w:w="7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774</w:t>
            </w:r>
          </w:p>
        </w:tc>
      </w:tr>
      <w:tr>
        <w:trPr>
          <w:trHeight w:val="237"/>
        </w:trPr>
        <w:tc>
          <w:tcPr>
            <w:tcW w:w="762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4,990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6,861</w:t>
            </w:r>
          </w:p>
        </w:tc>
      </w:tr>
      <w:tr>
        <w:trPr>
          <w:trHeight w:val="33"/>
        </w:trPr>
        <w:tc>
          <w:tcPr>
            <w:tcW w:w="7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7,635</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Cash paid for income taxes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5,100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9,064</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for interest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2,229</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Noncash investing activities - capital expenditures in 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269</w:t>
            </w:r>
          </w:p>
        </w:tc>
      </w:tr>
    </w:tbl>
    <w:p>
      <w:pPr>
        <w:spacing w:after="0" w:line="18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0860"/>
          </w:cols>
          <w:pgMar w:left="240" w:top="580" w:right="7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860"/>
          </w:cols>
          <w:pgMar w:left="240" w:top="580" w:right="79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1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financial statements should be read in conjunction with the consolidated financial statements and footnotes included in our Annual Report on Form 10-K for the fiscal year ended April 1, 2018,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w:t>
      </w:r>
    </w:p>
    <w:p>
      <w:pPr>
        <w:spacing w:after="0" w:line="16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accounting policies we follow are set forth in Note 1 – Nature of Business and Significant Accounting Policies to our consolidated financial statements in our Annual Report on Form 10-K for the fiscal year ended April 1, 2018, previously filed with the SEC. With the exception of our policy regarding revenue recognition (see Note 2), there has been no significant change in our accounting policies since the end of fiscal 2018.</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for the nine months ended December 30, 2018 are not necessarily indicative of the results that may be expected for the full year.</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References to fiscal 2018 refer to the fiscal year ended April 1, 2018 and references to fiscal 2019 refer to the fiscal year ending March 31, 2019.</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March 2016, the Financial Accounting Standards Board (“FASB”) issued Accounting Standards Update (“ASU”) 2016-02 which provides new accounting guidance requiring lessees to recognize most leases as assets and liabilities on the balance sheet. This guidance will be effective for interim periods beginning after December 15, 2018 (our fiscal year ending March 30, 2020). </w:t>
      </w:r>
      <w:r>
        <w:rPr>
          <w:rFonts w:ascii="Arial" w:cs="Arial" w:eastAsia="Arial" w:hAnsi="Arial"/>
          <w:sz w:val="18"/>
          <w:szCs w:val="18"/>
          <w:color w:val="080808"/>
        </w:rPr>
        <w:t>While we are still in the process of evaluating the effect of adoption on our consolidated</w:t>
      </w:r>
      <w:r>
        <w:rPr>
          <w:rFonts w:ascii="Arial" w:cs="Arial" w:eastAsia="Arial" w:hAnsi="Arial"/>
          <w:sz w:val="18"/>
          <w:szCs w:val="18"/>
          <w:color w:val="auto"/>
        </w:rPr>
        <w:t xml:space="preserve"> </w:t>
      </w:r>
      <w:r>
        <w:rPr>
          <w:rFonts w:ascii="Arial" w:cs="Arial" w:eastAsia="Arial" w:hAnsi="Arial"/>
          <w:sz w:val="18"/>
          <w:szCs w:val="18"/>
          <w:color w:val="080808"/>
        </w:rPr>
        <w:t>financial statements and are currently assessing our leases, t</w:t>
      </w:r>
      <w:r>
        <w:rPr>
          <w:rFonts w:ascii="Arial" w:cs="Arial" w:eastAsia="Arial" w:hAnsi="Arial"/>
          <w:sz w:val="18"/>
          <w:szCs w:val="18"/>
          <w:color w:val="000000"/>
        </w:rPr>
        <w:t>he core principal of the guidance is that an entity should recognize assets and liabilities arising</w:t>
      </w:r>
      <w:r>
        <w:rPr>
          <w:rFonts w:ascii="Arial" w:cs="Arial" w:eastAsia="Arial" w:hAnsi="Arial"/>
          <w:sz w:val="18"/>
          <w:szCs w:val="18"/>
          <w:color w:val="080808"/>
        </w:rPr>
        <w:t xml:space="preserve"> </w:t>
      </w:r>
      <w:r>
        <w:rPr>
          <w:rFonts w:ascii="Arial" w:cs="Arial" w:eastAsia="Arial" w:hAnsi="Arial"/>
          <w:sz w:val="18"/>
          <w:szCs w:val="18"/>
          <w:color w:val="000000"/>
        </w:rPr>
        <w:t>from a lease for both financing and operating leases, along with additional qualitative and quantitative disclosures. As part of our assessment, we will need to determine the impact of lease extension provisions provided in our facility leases which will impact the amount of the right of use asset and lease liability recorded under the ASU.</w:t>
      </w:r>
    </w:p>
    <w:p>
      <w:pPr>
        <w:spacing w:after="0" w:line="1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The amendments in this update replace the incurred loss impairment methodology in current GAAP with a methodology that reflects expected credit losses on instruments within its scope, including trade receivables. This update is intended to provide financial statement users with more decision-useful information about the expected credit losses. This ASU is effective for annual periods and interim periods for those annual periods beginning after December 15, 2019, which for us is our fiscal year beginning March 30, 2020. Entities may early adopt beginning after December 15, 2018. We are currently evaluating the impact of the adoption of ASU 2016-13 on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In May 2014, the FASB issued ASU 2014-09, which provides accounting requirements for recognition of revenue from contracts with customers. </w:t>
      </w:r>
      <w:r>
        <w:rPr>
          <w:rFonts w:ascii="Arial" w:cs="Arial" w:eastAsia="Arial" w:hAnsi="Arial"/>
          <w:sz w:val="18"/>
          <w:szCs w:val="18"/>
          <w:color w:val="080808"/>
        </w:rPr>
        <w:t>We adopted</w:t>
      </w:r>
      <w:r>
        <w:rPr>
          <w:rFonts w:ascii="Arial" w:cs="Arial" w:eastAsia="Arial" w:hAnsi="Arial"/>
          <w:sz w:val="18"/>
          <w:szCs w:val="18"/>
          <w:color w:val="auto"/>
        </w:rPr>
        <w:t xml:space="preserve"> </w:t>
      </w:r>
      <w:r>
        <w:rPr>
          <w:rFonts w:ascii="Arial" w:cs="Arial" w:eastAsia="Arial" w:hAnsi="Arial"/>
          <w:sz w:val="18"/>
          <w:szCs w:val="18"/>
          <w:color w:val="080808"/>
        </w:rPr>
        <w:t>the new standard effective April 2, 2018, and there was no impact to our financial position or results of operations. See Note 2 for disclosures required upon adoption of this new standard.</w:t>
      </w:r>
    </w:p>
    <w:p>
      <w:pPr>
        <w:spacing w:after="0" w:line="181"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 xml:space="preserve">In January 2016, the FASB issued ASU 2016-01 which provides guidance that addresses certain aspects of recognition, measurement, presentation, and disclosure of financial instruments. </w:t>
      </w:r>
      <w:r>
        <w:rPr>
          <w:rFonts w:ascii="Arial" w:cs="Arial" w:eastAsia="Arial" w:hAnsi="Arial"/>
          <w:sz w:val="18"/>
          <w:szCs w:val="18"/>
          <w:color w:val="080808"/>
        </w:rPr>
        <w:t>We adopted the new standard effective April 2, 2018, and there was no impact to our financial position or results of</w:t>
      </w:r>
      <w:r>
        <w:rPr>
          <w:rFonts w:ascii="Arial" w:cs="Arial" w:eastAsia="Arial" w:hAnsi="Arial"/>
          <w:sz w:val="18"/>
          <w:szCs w:val="18"/>
          <w:color w:val="auto"/>
        </w:rPr>
        <w:t xml:space="preserve"> </w:t>
      </w:r>
      <w:r>
        <w:rPr>
          <w:rFonts w:ascii="Arial" w:cs="Arial" w:eastAsia="Arial" w:hAnsi="Arial"/>
          <w:sz w:val="18"/>
          <w:szCs w:val="18"/>
          <w:color w:val="080808"/>
        </w:rPr>
        <w:t>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April 2, 2018, we adopted ASU 2014-09 using the modified retrospective method applied to those contracts which were not completed as of April 2, 2018. Results for reporting periods beginning after April 2, 2018 are presented under ASU 2014-09,</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7" w:name="page8"/>
    <w:bookmarkEnd w:id="7"/>
    <w:p>
      <w:pPr>
        <w:ind w:right="400"/>
        <w:spacing w:after="0" w:line="277" w:lineRule="auto"/>
        <w:rPr>
          <w:sz w:val="20"/>
          <w:szCs w:val="20"/>
          <w:color w:val="auto"/>
        </w:rPr>
      </w:pPr>
      <w:r>
        <w:rPr>
          <w:rFonts w:ascii="Arial" w:cs="Arial" w:eastAsia="Arial" w:hAnsi="Arial"/>
          <w:sz w:val="18"/>
          <w:szCs w:val="18"/>
          <w:color w:val="auto"/>
        </w:rPr>
        <w:t>while prior period amounts are not adjusted and continue to be reported in accordance with historic accounting under Accounting Standards Codification (“ASC”) Topic 605.</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revenue arrangements generally consist of a single performance obligation to transfer promised goods or services. As a result, the application of ASU 2014-09 had no impact on our financial statement line items as compared with the guidance that was in effect before the change. Accordingly, the impact of adopting the standard resulted in no adjustment to accumulated retained earnings.</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disaggregate revenues from contracts with customers by both operating segments and types of product sold. Reporting by operating segment is pertinent to understanding our revenues, as it aligns to how we review the financial performance of our operations. Types of products sold within each operating segment help us to further evaluate the financial performance of our segments.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disaggregates external customer net sales by major revenue stream for the three and nine months ended December 30, 2018:</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Bulk / Distributed products </w:t>
      </w:r>
      <w:r>
        <w:rPr>
          <w:rFonts w:ascii="Arial" w:cs="Arial" w:eastAsia="Arial" w:hAnsi="Arial"/>
          <w:sz w:val="25"/>
          <w:szCs w:val="25"/>
          <w:color w:val="auto"/>
          <w:vertAlign w:val="superscript"/>
        </w:rPr>
        <w:t>(1)</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Specialty / Manufactured products </w:t>
      </w:r>
      <w:r>
        <w:rPr>
          <w:rFonts w:ascii="Arial" w:cs="Arial" w:eastAsia="Arial" w:hAnsi="Arial"/>
          <w:sz w:val="22"/>
          <w:szCs w:val="22"/>
          <w:color w:val="auto"/>
          <w:vertAlign w:val="superscript"/>
        </w:rPr>
        <w:t>(2)</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Bulk / Distributed products </w:t>
      </w:r>
      <w:r>
        <w:rPr>
          <w:rFonts w:ascii="Arial" w:cs="Arial" w:eastAsia="Arial" w:hAnsi="Arial"/>
          <w:sz w:val="25"/>
          <w:szCs w:val="25"/>
          <w:color w:val="auto"/>
          <w:vertAlign w:val="superscript"/>
        </w:rPr>
        <w:t>(1)</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Specialty / Manufactured products </w:t>
      </w:r>
      <w:r>
        <w:rPr>
          <w:rFonts w:ascii="Arial" w:cs="Arial" w:eastAsia="Arial" w:hAnsi="Arial"/>
          <w:sz w:val="22"/>
          <w:szCs w:val="22"/>
          <w:color w:val="auto"/>
          <w:vertAlign w:val="superscript"/>
        </w:rPr>
        <w:t>(2)</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external customer sales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Three months ended December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3687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Water</w:t>
            </w:r>
          </w:p>
        </w:tc>
        <w:tc>
          <w:tcPr>
            <w:tcW w:w="18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Health and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0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Industrial</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Treatment</w:t>
            </w:r>
          </w:p>
        </w:tc>
        <w:tc>
          <w:tcPr>
            <w:tcW w:w="18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Nutrition</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15,740</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5,191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23,004</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43,935</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52,130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27,193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3,354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82,677</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1,539</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69,026</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32,740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26,385</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128,151</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-548005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-205105</wp:posOffset>
            </wp:positionV>
            <wp:extent cx="724662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1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Nine months ended December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36874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Water</w:t>
            </w:r>
          </w:p>
        </w:tc>
        <w:tc>
          <w:tcPr>
            <w:tcW w:w="18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Health and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0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Industrial</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Treatment</w:t>
            </w:r>
          </w:p>
        </w:tc>
        <w:tc>
          <w:tcPr>
            <w:tcW w:w="18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Nutrition</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45,983</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16,986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83,381</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146,350</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163,366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98,166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11,038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272,570</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3,097</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4,355</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212,446</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116,322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94,507</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423,275</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-728345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-376555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800"/>
          </w:cols>
          <w:pgMar w:left="240" w:top="584" w:right="239" w:bottom="1440" w:gutter="0" w:footer="0" w:header="0"/>
          <w:type w:val="continuous"/>
        </w:sectPr>
      </w:pPr>
    </w:p>
    <w:p>
      <w:pPr>
        <w:spacing w:after="0" w:line="6" w:lineRule="exact"/>
        <w:rPr>
          <w:sz w:val="20"/>
          <w:szCs w:val="20"/>
          <w:color w:val="auto"/>
        </w:rPr>
      </w:pPr>
    </w:p>
    <w:p>
      <w:pPr>
        <w:ind w:left="660" w:right="400" w:hanging="328"/>
        <w:spacing w:after="0" w:line="25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bulk products that we do not modify in any way, but receive, store, and ship from our facilities, or direct ship to our customers in large quantities. For our Health and Nutrition segment, this line includes our non-manufactured distributed specialty products, which may be sold out of one of our facilities or direct shipped to our customers.</w:t>
      </w:r>
    </w:p>
    <w:p>
      <w:pPr>
        <w:spacing w:after="0" w:line="1" w:lineRule="exact"/>
        <w:rPr>
          <w:rFonts w:ascii="Arial" w:cs="Arial" w:eastAsia="Arial" w:hAnsi="Arial"/>
          <w:sz w:val="16"/>
          <w:szCs w:val="16"/>
          <w:color w:val="auto"/>
        </w:rPr>
      </w:pPr>
    </w:p>
    <w:p>
      <w:pPr>
        <w:ind w:left="660" w:right="420" w:hanging="328"/>
        <w:spacing w:after="0" w:line="25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non-bulk specialty products that we either manufacture, blend, repackage, resell in their original form, or direct ship to our customers in smaller quantities, and services we provide for our customers. For our Health and Nutrition segment, this line includes products manufactured, processed or repackaged in our facility and/or with our equipment.</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Net sales include products and shipping charges, net of estimates for product returns and any related sales rebates. Revenue is measured as the amount of consideration we expect to receive in exchange for transferring products. All revenue is recognized when we satisfy our performance obligations under the contract. Our criteria for recording revenue is consistent between our operating segments and types of products sold. We recognize revenue upon transfer of control of the promised products to the customer, with revenue recognized at the point in time the customer obtains control of the products. In arrangements where product is shipped directly from the vendor to our customer, we act as the principal in the transaction as we direct the other party to provide the product to our customer on our behalf, take inventory risk, establish the selling price, and are exposed to credit risk for the collection of the invoiced amount. If there were circumstances where we were to manufacture products for customers that were unique to their specifications and we would be prohibited by contract to use the product for any alternate use, we would recognize revenue over time if all criteria were met. We have made a policy election to treat shipping costs for FOB shipping point sales as fulfillment costs. As such, we recognize revenue for all shipping charges, if applicable, at the same time we recognize revenue on the products delivered. We estimate product returns based on historical return rates. Using probability assessments, we estimate sales rebates expected to be paid over the term of the contract. The majority of our contracts have a single performance obligation and are short term in nature. Sales taxes that are collected from customers and remitted to governmental authorities are accounted for on a net basis and therefore are excluded from net sales. We offer certain customers cash discounts and volume rebates as sales incentives. The discounts and volume rebates are recorded as a reduction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type w:val="continuous"/>
        </w:sectPr>
      </w:pPr>
    </w:p>
    <w:bookmarkStart w:id="8" w:name="page9"/>
    <w:bookmarkEnd w:id="8"/>
    <w:p>
      <w:pPr>
        <w:ind w:right="500"/>
        <w:spacing w:after="0" w:line="277" w:lineRule="auto"/>
        <w:rPr>
          <w:sz w:val="20"/>
          <w:szCs w:val="20"/>
          <w:color w:val="auto"/>
        </w:rPr>
      </w:pPr>
      <w:r>
        <w:rPr>
          <w:rFonts w:ascii="Arial" w:cs="Arial" w:eastAsia="Arial" w:hAnsi="Arial"/>
          <w:sz w:val="18"/>
          <w:szCs w:val="18"/>
          <w:color w:val="auto"/>
        </w:rPr>
        <w:t>in sales at the time revenue is recognized in an amount estimated based on historical experience and contractual obligations. We periodically review the assumptions underlying our estimates of discounts and volume rebates and adjusts revenues accordingly.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Earnings per Share</w:t>
      </w:r>
    </w:p>
    <w:p>
      <w:pPr>
        <w:spacing w:after="0" w:line="2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Basic earnings per share (“EPS”) are computed by dividing net earnings by the weighted-average number of common shares outstanding. Diluted EPS includes the incremental shares assumed to be issued as performance units and restricted stock. Basic and diluted EPS were calculated using the following:</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460" w:type="dxa"/>
            <w:vAlign w:val="bottom"/>
            <w:gridSpan w:val="4"/>
          </w:tcPr>
          <w:p>
            <w:pPr>
              <w:ind w:left="880"/>
              <w:spacing w:after="0"/>
              <w:rPr>
                <w:sz w:val="20"/>
                <w:szCs w:val="20"/>
                <w:color w:val="auto"/>
              </w:rPr>
            </w:pPr>
            <w:r>
              <w:rPr>
                <w:rFonts w:ascii="Arial" w:cs="Arial" w:eastAsia="Arial" w:hAnsi="Arial"/>
                <w:sz w:val="18"/>
                <w:szCs w:val="18"/>
                <w:b w:val="1"/>
                <w:bCs w:val="1"/>
                <w:color w:val="auto"/>
              </w:rPr>
              <w:t>Three Months Ended</w:t>
            </w:r>
          </w:p>
        </w:tc>
        <w:tc>
          <w:tcPr>
            <w:tcW w:w="326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70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174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December 30,</w:t>
            </w:r>
          </w:p>
        </w:tc>
        <w:tc>
          <w:tcPr>
            <w:tcW w:w="172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December 31,</w:t>
            </w:r>
          </w:p>
        </w:tc>
        <w:tc>
          <w:tcPr>
            <w:tcW w:w="1680" w:type="dxa"/>
            <w:vAlign w:val="bottom"/>
            <w:gridSpan w:val="2"/>
          </w:tcPr>
          <w:p>
            <w:pPr>
              <w:ind w:left="240"/>
              <w:spacing w:after="0"/>
              <w:rPr>
                <w:sz w:val="20"/>
                <w:szCs w:val="20"/>
                <w:color w:val="auto"/>
              </w:rPr>
            </w:pPr>
            <w:r>
              <w:rPr>
                <w:rFonts w:ascii="Arial" w:cs="Arial" w:eastAsia="Arial" w:hAnsi="Arial"/>
                <w:sz w:val="18"/>
                <w:szCs w:val="18"/>
                <w:b w:val="1"/>
                <w:bCs w:val="1"/>
                <w:color w:val="auto"/>
              </w:rPr>
              <w:t>December 30,</w:t>
            </w:r>
          </w:p>
        </w:tc>
        <w:tc>
          <w:tcPr>
            <w:tcW w:w="158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700" w:type="dxa"/>
            <w:vAlign w:val="bottom"/>
          </w:tcPr>
          <w:p>
            <w:pPr>
              <w:spacing w:after="0"/>
              <w:rPr>
                <w:sz w:val="20"/>
                <w:szCs w:val="20"/>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outstanding—basic</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10,667,001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10,609,078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10,663,807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10,599,232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Dilutive impact of performance units and restricted stock</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45,026</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39,154</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63,570</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42,346</w:t>
            </w:r>
          </w:p>
        </w:tc>
      </w:tr>
      <w:tr>
        <w:trPr>
          <w:trHeight w:val="27"/>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outstanding—diluted</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10,712,027</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10,648,232</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10,727,377</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10,641,578</w:t>
            </w: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each of the three and nine months ended December 30, 2018 and December 31, 2017, there were no shares excluded from the calculation of weighted-average common shares for diluted EPS.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Derivative Instruments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have in place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swap agreement will terminate on December 23, 2020. The notional amount of the swap agreement was $40 million from September 1, 2017 through August 31, 2018, and is $30 million from September 1, 2018 through August 31, 2019 and $20 million from September 1, 2019 through December 23, 2020. We have designated this swap as a cash flow hedge and have determined that it qualifies for hedge accounting treatment. For so long as the hedge is effective, changes in fair value of the cash flow hedge are recorded in other comprehensive income (net of tax) until income or loss from the cash flows of the hedged item is realized.</w:t>
      </w:r>
    </w:p>
    <w:p>
      <w:pPr>
        <w:spacing w:after="0" w:line="20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For both the three and nine months ended December 30, 2018, we recorded $0.2 million in other comprehensive income related to unrealized losses (net of tax) on the cash flow hedge described above. For the three and nine months ended December 31, 2017 we recorded $0.1 million in other comprehensive income related to unrealized gains (net of tax) on the cash flow hedge. Included in other long-term assets on our condensed consolidated balance sheet was $0.6 million as of December 30, 2018 and $0.8 million as of April 1, 2018 related to the cash flow hedge. Unrealized gains and losses will be reflected in net income when the related cash flows or hedged transactions occur and offset the related performance of the hedged item.</w:t>
      </w:r>
    </w:p>
    <w:p>
      <w:pPr>
        <w:spacing w:after="0" w:line="15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By their nature, derivative instruments are subject to market risk. Derivative instruments are also subject to credit risk associated with counterparties to the derivative contracts. Credit risk associated with derivatives is measured based on the replacement cost should the counterparty with a contract in a gain position to us fail to perform under the terms of the contract. We do not anticipate nonperformance by the counterparty.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Our financial assets and liabilities are measured at fair value at the price that would be received to sell an asset or paid to transfer a liability in an orderly transaction between market participants at the measurement date (exit price). We classify the inputs used to measure fair value into the following hierarchy: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9" w:name="page10"/>
    <w:bookmarkEnd w:id="9"/>
    <w:p>
      <w:pPr>
        <w:ind w:left="1300"/>
        <w:spacing w:after="0"/>
        <w:tabs>
          <w:tab w:leader="none" w:pos="21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63" w:lineRule="exact"/>
        <w:rPr>
          <w:sz w:val="20"/>
          <w:szCs w:val="20"/>
          <w:color w:val="auto"/>
        </w:rPr>
      </w:pPr>
    </w:p>
    <w:p>
      <w:pPr>
        <w:ind w:left="2160" w:right="340" w:hanging="864"/>
        <w:spacing w:after="0" w:line="264" w:lineRule="auto"/>
        <w:tabs>
          <w:tab w:leader="none" w:pos="21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in active markets for similar assets or liabilities, or quoted prices for identical or similar assets or liabilities in markets that are not active, or inputs other than quoted prices that are observable or can be corroborated by observable market data for the asset or liability.</w:t>
      </w:r>
    </w:p>
    <w:p>
      <w:pPr>
        <w:spacing w:after="0" w:line="19" w:lineRule="exact"/>
        <w:rPr>
          <w:sz w:val="20"/>
          <w:szCs w:val="20"/>
          <w:color w:val="auto"/>
        </w:rPr>
      </w:pPr>
    </w:p>
    <w:p>
      <w:pPr>
        <w:ind w:left="2160" w:right="1000" w:hanging="864"/>
        <w:spacing w:after="0" w:line="264" w:lineRule="auto"/>
        <w:tabs>
          <w:tab w:leader="none" w:pos="21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for the asset or liability that are supported by little or no market activity. These fair values are determined using pricing models for which the assumptions utilize management’s estimates or market participant assumptions.</w:t>
      </w:r>
    </w:p>
    <w:p>
      <w:pPr>
        <w:spacing w:after="0" w:line="222"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 xml:space="preserve">Assets and Liabilities Measured at Fair Value on a Recurring Basis. </w:t>
      </w:r>
      <w:r>
        <w:rPr>
          <w:rFonts w:ascii="Arial" w:cs="Arial" w:eastAsia="Arial" w:hAnsi="Arial"/>
          <w:sz w:val="17"/>
          <w:szCs w:val="17"/>
          <w:color w:val="auto"/>
        </w:rPr>
        <w:t>The fair value hierarchy requires the use of observable market data when available.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financial assets that are measured at fair value on a recurring basis are an interest rate swap and assets held in a deferred compensation retirement plan. Both of these assets are classified as other long-term assets on our balance sheet, with the portion of the deferred compensation retirement plan assets expected to be paid within twelve months reclassified to current assets. The fair value of the interest rate swap is determined by the respective counterparties based on interest rate changes. Interest rate swaps are valued based on observable interest rate yield curves for similar instruments. The deferred compensation plan assets relate to contributions made to a non-qualified compensation plan, established in fiscal 2017,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balances of assets measured at fair value on a recurring basis as of December 30, 2018 and April 1, 2018.</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20" w:type="dxa"/>
            <w:vAlign w:val="bottom"/>
            <w:gridSpan w:val="6"/>
          </w:tcPr>
          <w:p>
            <w:pPr>
              <w:spacing w:after="0"/>
              <w:rPr>
                <w:sz w:val="20"/>
                <w:szCs w:val="20"/>
                <w:color w:val="auto"/>
              </w:rPr>
            </w:pPr>
            <w:r>
              <w:rPr>
                <w:rFonts w:ascii="Arial" w:cs="Arial" w:eastAsia="Arial" w:hAnsi="Arial"/>
                <w:sz w:val="18"/>
                <w:szCs w:val="18"/>
                <w:b w:val="1"/>
                <w:bCs w:val="1"/>
                <w:color w:val="auto"/>
                <w:w w:val="92"/>
              </w:rPr>
              <w:t>December 30, 2018</w:t>
            </w:r>
          </w:p>
        </w:tc>
        <w:tc>
          <w:tcPr>
            <w:tcW w:w="84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8"/>
        </w:trPr>
        <w:tc>
          <w:tcPr>
            <w:tcW w:w="8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Level 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Level 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Level 3</w:t>
            </w: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r>
      <w:tr>
        <w:trPr>
          <w:trHeight w:val="621"/>
        </w:trPr>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4"/>
          </w:tcPr>
          <w:p>
            <w:pPr>
              <w:spacing w:after="0"/>
              <w:rPr>
                <w:sz w:val="20"/>
                <w:szCs w:val="20"/>
                <w:color w:val="auto"/>
              </w:rPr>
            </w:pPr>
            <w:r>
              <w:rPr>
                <w:rFonts w:ascii="Arial" w:cs="Arial" w:eastAsia="Arial" w:hAnsi="Arial"/>
                <w:sz w:val="18"/>
                <w:szCs w:val="18"/>
                <w:b w:val="1"/>
                <w:bCs w:val="1"/>
                <w:color w:val="auto"/>
              </w:rPr>
              <w:t>April 1, 2018</w:t>
            </w:r>
          </w:p>
        </w:tc>
        <w:tc>
          <w:tcPr>
            <w:tcW w:w="840" w:type="dxa"/>
            <w:vAlign w:val="bottom"/>
          </w:tcPr>
          <w:p>
            <w:pPr>
              <w:spacing w:after="0"/>
              <w:rPr>
                <w:sz w:val="24"/>
                <w:szCs w:val="24"/>
                <w:color w:val="auto"/>
              </w:rPr>
            </w:pPr>
          </w:p>
        </w:tc>
      </w:tr>
      <w:tr>
        <w:trPr>
          <w:trHeight w:val="27"/>
        </w:trPr>
        <w:tc>
          <w:tcPr>
            <w:tcW w:w="8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8"/>
        </w:trPr>
        <w:tc>
          <w:tcPr>
            <w:tcW w:w="8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Level 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Level 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Level 3</w:t>
            </w: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1,392</w:t>
            </w:r>
          </w:p>
        </w:tc>
        <w:tc>
          <w:tcPr>
            <w:tcW w:w="3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Assets Held for Sale</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third quarter of fiscal 2019, management entered into a plan of action to dispose of an office building in St. Louis, Missouri currently utilized in the administration of our Industrial segment. The amount of office space in this facility is no longer needed due to current staffing levels, and management expects to relocate affected employees to leased space. The building is listed for sale at a price in excess of its current book value, and thus no impairment has been recognized. The $0.9 million net book value of this property is recorded as an asset held for sale within prepaid expenses and other current assets on our balance sheet.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December 30, 2018 and April 1, 2018 consisted of the following: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1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8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30,</w:t>
            </w:r>
          </w:p>
        </w:tc>
        <w:tc>
          <w:tcPr>
            <w:tcW w:w="300" w:type="dxa"/>
            <w:vAlign w:val="bottom"/>
          </w:tcPr>
          <w:p>
            <w:pPr>
              <w:spacing w:after="0"/>
              <w:rPr>
                <w:sz w:val="18"/>
                <w:szCs w:val="18"/>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April 1,</w:t>
            </w:r>
          </w:p>
        </w:tc>
      </w:tr>
      <w:tr>
        <w:trPr>
          <w:trHeight w:val="255"/>
        </w:trPr>
        <w:tc>
          <w:tcPr>
            <w:tcW w:w="8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(FIFO basis)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73,246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65,322</w:t>
            </w: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color w:val="auto"/>
              </w:rPr>
              <w:t>LIFO reserve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(5,586)</w:t>
            </w:r>
          </w:p>
        </w:tc>
      </w:tr>
      <w:tr>
        <w:trPr>
          <w:trHeight w:val="27"/>
        </w:trPr>
        <w:tc>
          <w:tcPr>
            <w:tcW w:w="8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inventory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67,672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59,736</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FIFO value of inventories accounted for under the LIFO method was $48.7 million at December 30, 2018 and $44.0 million at April 1, 2018. The remainder of the inventory was valued and accounted for under the FIFO method.</w:t>
      </w:r>
    </w:p>
    <w:p>
      <w:pPr>
        <w:spacing w:after="0" w:line="170"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The LIFO reserve decreased $0.5 million during the three months ended December 30, 2018 and increased $0.7 million during the three months ended December 31, 2017. During the nine months ended December 30, 2018, the LIFO reserve decreased nominally and increased $1.4 million during the nine months ended December 31, 2017. The valuation of LIFO inventory for interim periods is based on our estimates of year-end inventory levels and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carrying amount of goodwill was $58.4 million as of December 30, 2018 and April 1, 2018, of which $44.9 million was related to our Health and Nutrition segment.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intangible assets as of December 30, 2018 and April 1, 2018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30, 2018</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April 1, 2018</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3"/>
                <w:szCs w:val="13"/>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9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260" w:type="dxa"/>
            <w:vAlign w:val="bottom"/>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3"/>
                <w:szCs w:val="13"/>
                <w:color w:val="auto"/>
              </w:rPr>
            </w:pPr>
          </w:p>
        </w:tc>
        <w:tc>
          <w:tcPr>
            <w:tcW w:w="7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Amortization</w:t>
            </w: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Finite-life intangible 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78,383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(15,787)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62,596</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78,383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(12,419)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65,964</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Trademarks and 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3,061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Other 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3,648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3,648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88,076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65,767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88,076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69,952</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Indefinite-life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1,227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89,303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(22,309)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66,994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89,303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71,179</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Debt</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November 30, 2018, we entered into an amended and restated credit agreement (the “Credit Agreement”) with U.S. Bank National Association (“U.S. Bank”) as Sole Lead Arranger and Sole Book Runner, and other lenders from time to time party thereto (collectively, the “Lenders”), whereby U.S. Bank is also serving as Administrative Agent. The Credit Agreement refinanced the term and revolving loans under our previous credit agreement with U.S. Bank and provides us with senior secured revolving credit facilities (the “Revolving Loan Facility”) totaling $150.0 million. The Revolving Loan Facility includes a $5.0 million letter of credit subfacility and $15.0 million swingline subfacility. The Revolving Loan Facility has a five-year maturity date, maturing on November 30, 2023. The Revolving Loan Facility is secured by substantially all of our personal property assets and those of our subsidiaries.</w:t>
      </w:r>
    </w:p>
    <w:p>
      <w:pPr>
        <w:spacing w:after="0" w:line="16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used $91.0 million of the proceeds from the Revolving Loan Facility to refinance the obligations under the previous credit facility. We may use the remaining amount of the Revolving Loan Facility for working capital, capital expenditures, share repurchases, restricted payments and acquisitions permitted under the Credit Agreement, and other general corporate purposes.</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Borrowings under the Revolving Loan Facility bear interest at a rate per annum equal to one of the following, plus, in both cases, an applicable margin based upon our leverage ratio: (a) LIBOR for an interest period of one, two, three or six months as selected by us, reset at the end of the selected interest period, or</w:t>
      </w:r>
    </w:p>
    <w:p>
      <w:pPr>
        <w:ind w:firstLine="8"/>
        <w:spacing w:after="0" w:line="277"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a base rate determined by reference to the highest of (1) U. S. Bank’s prime rate, (2) the Federal Funds Effective Rate plus 0.5%, or (3) one-month LIBOR for U.S. dollars plus 1.0%. The LIBOR margin is between 0.85% - 1.35%, depending on our leverage ratio. The base rate margin is between 0.00% - 0.35%, depending on our leverage ratio. At December 30, 2018, the effective interest rate on our borrowings was 3.1%.</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796" w:right="259" w:bottom="1440" w:gutter="0" w:footer="0" w:header="0"/>
        </w:sectPr>
      </w:pPr>
    </w:p>
    <w:bookmarkStart w:id="11" w:name="page12"/>
    <w:bookmarkEnd w:id="11"/>
    <w:p>
      <w:pPr>
        <w:ind w:right="420"/>
        <w:spacing w:after="0" w:line="277" w:lineRule="auto"/>
        <w:rPr>
          <w:sz w:val="20"/>
          <w:szCs w:val="20"/>
          <w:color w:val="auto"/>
        </w:rPr>
      </w:pPr>
      <w:r>
        <w:rPr>
          <w:rFonts w:ascii="Arial" w:cs="Arial" w:eastAsia="Arial" w:hAnsi="Arial"/>
          <w:sz w:val="18"/>
          <w:szCs w:val="18"/>
          <w:color w:val="auto"/>
        </w:rPr>
        <w:t>In addition to paying interest on the outstanding principal under the Revolving Loan Facility, we are required to pay a commitment fee on the unutilized commitments thereunder. The commitment fee is between 0.15% - 0.25%, depending on our leverage ratio.</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Debt issuance costs of $0.2 million paid to the lenders in connection with the Credit Agreement, as well as unamortized debt issuance costs of $0.3 million paid in connection with the previous credit facility, are reflected as a reduction of debt and will be amortized as interest expense over the term of the Revolving Loan Facility.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Debt at December 30, 2018 and April 1, 2018 consisted of the following:</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68"/>
        </w:trPr>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30,</w:t>
            </w:r>
          </w:p>
        </w:tc>
        <w:tc>
          <w:tcPr>
            <w:tcW w:w="200" w:type="dxa"/>
            <w:vAlign w:val="bottom"/>
          </w:tcPr>
          <w:p>
            <w:pPr>
              <w:spacing w:after="0"/>
              <w:rPr>
                <w:sz w:val="24"/>
                <w:szCs w:val="24"/>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April 1,</w:t>
            </w:r>
          </w:p>
        </w:tc>
      </w:tr>
      <w:tr>
        <w:trPr>
          <w:trHeight w:val="234"/>
        </w:trPr>
        <w:tc>
          <w:tcPr>
            <w:tcW w:w="8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r>
      <w:tr>
        <w:trPr>
          <w:trHeight w:val="27"/>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Senior secured term loan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85,000</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revolving loan</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16,000</w:t>
            </w: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91,000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101,000</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unamortized debt issuance costs</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37"/>
        </w:trPr>
        <w:tc>
          <w:tcPr>
            <w:tcW w:w="8100" w:type="dxa"/>
            <w:vAlign w:val="bottom"/>
          </w:tcPr>
          <w:p>
            <w:pPr>
              <w:ind w:left="180"/>
              <w:spacing w:after="0"/>
              <w:rPr>
                <w:sz w:val="20"/>
                <w:szCs w:val="20"/>
                <w:color w:val="auto"/>
              </w:rPr>
            </w:pPr>
            <w:r>
              <w:rPr>
                <w:rFonts w:ascii="Arial" w:cs="Arial" w:eastAsia="Arial" w:hAnsi="Arial"/>
                <w:sz w:val="18"/>
                <w:szCs w:val="18"/>
                <w:color w:val="auto"/>
              </w:rPr>
              <w:t>Total debt, net of debt issuance costs</w:t>
            </w: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90,542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100,626</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current portion of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(9,864)</w:t>
            </w:r>
          </w:p>
        </w:tc>
      </w:tr>
      <w:tr>
        <w:trPr>
          <w:trHeight w:val="257"/>
        </w:trPr>
        <w:tc>
          <w:tcPr>
            <w:tcW w:w="810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80,635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90,762</w:t>
            </w:r>
          </w:p>
        </w:tc>
      </w:tr>
      <w:tr>
        <w:trPr>
          <w:trHeight w:val="20"/>
        </w:trPr>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29"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prior to our fiscal year ended April 3, 2016 are closed to examination by the Internal Revenue Service, and with few exceptions, state and local</w:t>
      </w:r>
    </w:p>
    <w:p>
      <w:pPr>
        <w:spacing w:after="0" w:line="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income tax jurisdictions. Our effective tax rate for the nine months ended December 30, 2018 was 26.8%. The effective tax rate is impacted by projected levels of annual taxable income, permanent items, and state taxes.</w:t>
      </w:r>
    </w:p>
    <w:p>
      <w:pPr>
        <w:spacing w:after="0" w:line="18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U.S. Tax Cuts and Jobs Act (the “Tax Act”) enacted in December 2017, reduced the U.S. corporate tax rate from 35% to 21%. Our effective tax rate for the nine months ended December 31, 2017 was not meaningful, due to the revaluation of our net deferred tax liabilities. Under GAAP, deferred tax assets and liabilities are required to be revalued during the period in which the new tax legislation is enacted. As such, during the fiscal year-end ended April 1, 2018 we revalued our net deferred tax liabilities to reflect the impact of the Tax Act and recorded a one-time benefit of $13.9 million. The accounting for the impact of the Tax Act was finalized during the quarter ended December 30, 2018 and no estimates changed from those under provisional accounting.</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December 30, 2018 and April 1, 2018, our balance sheet included a long-term liability for uncertain tax positions of $0.1 million and $0.2 million, respectively, which arose from tax positions taken by Stauber on its tax returns for periods prior to our acquisition. Because the Stauber acquisition agreement provides us with indemnification by the prior owners for any tax liabilities relating to pre-acquisition tax returns, we have also recorded an offsetting, long-term receivable of $0.1 million as of December 30, 2018 and $0.2 million as of April 1, 2018. As a result, any change in the unrecognized tax benefit will not impact our effective tax rate in future periods. We expect these uncertain income tax amounts to decrease through September 2019 as the applicable examination periods for the relevant taxing authorities expire.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Share-Based Compensation</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b w:val="1"/>
          <w:bCs w:val="1"/>
          <w:i w:val="1"/>
          <w:iCs w:val="1"/>
          <w:color w:val="auto"/>
        </w:rPr>
        <w:t>Performance-Based Restricted Stock Units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Board of Directors (the “Board”) approved a performance-based equity compensation arrangement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officers during the first quarters of each of fiscal 2019 and fiscal 2018.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69,252 shares in the aggregate for fiscal 2019. The restricted shares issued will fully vest two years after the last day of the fiscal year on which the performance is based. We are recording the compensation expense for the outstanding performance share units and the converted restricted stock over the life of the awards.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584"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represents the restricted stock activity for the nine months ended December 30, 2018:</w:t>
      </w:r>
    </w:p>
    <w:p>
      <w:pPr>
        <w:spacing w:after="0" w:line="15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060" w:type="dxa"/>
            <w:vAlign w:val="bottom"/>
          </w:tcPr>
          <w:p>
            <w:pPr>
              <w:spacing w:after="0"/>
              <w:rPr>
                <w:sz w:val="12"/>
                <w:szCs w:val="12"/>
                <w:color w:val="auto"/>
              </w:rPr>
            </w:pPr>
          </w:p>
        </w:tc>
        <w:tc>
          <w:tcPr>
            <w:tcW w:w="14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4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92"/>
        </w:trPr>
        <w:tc>
          <w:tcPr>
            <w:tcW w:w="80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50"/>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3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45.39</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7,818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Forfeited or expired</w:t>
            </w:r>
          </w:p>
        </w:tc>
        <w:tc>
          <w:tcPr>
            <w:tcW w:w="1320" w:type="dxa"/>
            <w:vAlign w:val="bottom"/>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end of period</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32,883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recorded compensation expense related to performance share units and restricted stock of $0.4 million and $1.0 million for the three and nine months ended December 30, 2018, respectively. We recorded compensation expense related to performance share units and restricted stock of $0.2 million and $0.7 million for the three and nine months ended December 31, 2017, respectively. Substantially all of the compensation expense was recorded in selling, general and administrative expenses in the condensed consolidated statements of income.</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Restricted Stock Awards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part of their retainer, each non-employee director receives an annual grant of restricted stock for their Board of Director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restricted stock awards are expensed over the requisite vesting period, which is one year from the date of issuance, based on the market value on the date of grant. As of December 30, 2018, there were 8,352 shares of restricted stock with a grant date fair value of $35.90 outstanding under this program.</w:t>
      </w:r>
    </w:p>
    <w:p>
      <w:pPr>
        <w:ind w:right="160"/>
        <w:spacing w:after="0" w:line="255" w:lineRule="auto"/>
        <w:rPr>
          <w:sz w:val="20"/>
          <w:szCs w:val="20"/>
          <w:color w:val="auto"/>
        </w:rPr>
      </w:pPr>
      <w:r>
        <w:rPr>
          <w:rFonts w:ascii="Arial" w:cs="Arial" w:eastAsia="Arial" w:hAnsi="Arial"/>
          <w:sz w:val="18"/>
          <w:szCs w:val="18"/>
          <w:color w:val="auto"/>
        </w:rPr>
        <w:t>Compensation expense for both the three months ended December 30, 2018 and December 31, 2017 related to restricted stock awards to the Board was $0.1 million. Compensation expense for the nine months ended December 30, 2018 and December 31, 2017 related to restricted stock awards to the Board was $0.2 million and $0.3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Share Repurchase Program</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board of directors has authorized the repurchase of up to 300,000 shares of our outstanding common stock for cash on the open market or in privately negotiated transactions subject to applicable securities laws and regulations. Upon repurchase of the shares, we reduce our common stock for the par value of the shares with the excess applied against additional paid-in capital. During the three and nine months ended December 30, 2018, we repurchased 59,788 shares at an aggregate purchase price of $2.4 million. No shares were repurchased during fiscal 2018. As of December 30, 2018, 52,758 shares remained available to be repurchased under the share repurchase program.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Litigation, Commitments and Contingencies</w:t>
      </w:r>
    </w:p>
    <w:p>
      <w:pPr>
        <w:spacing w:after="0" w:line="229"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 xml:space="preserve">Litigation. </w:t>
      </w:r>
      <w:r>
        <w:rPr>
          <w:rFonts w:ascii="Arial" w:cs="Arial" w:eastAsia="Arial" w:hAnsi="Arial"/>
          <w:sz w:val="17"/>
          <w:szCs w:val="17"/>
          <w:color w:val="auto"/>
        </w:rPr>
        <w:t>There are no material pending legal proceedings, other than ordinary routine litigation incidental to the business, to which we or any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subsidiaries are a party or of which any of our property is the subject. Legal fees associated with such matters are expensed as incurred.</w:t>
      </w:r>
    </w:p>
    <w:p>
      <w:pPr>
        <w:spacing w:after="0" w:line="1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Environmental Remediation. </w:t>
      </w:r>
      <w:r>
        <w:rPr>
          <w:rFonts w:ascii="Arial" w:cs="Arial" w:eastAsia="Arial" w:hAnsi="Arial"/>
          <w:sz w:val="18"/>
          <w:szCs w:val="18"/>
          <w:color w:val="auto"/>
        </w:rPr>
        <w:t>During the fourth quarter of fiscal 2018, we recorded a liability of $0.6 million related to estimated remediation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existing contamination at our Minneapolis facility. The liability was decreased by $0.2 million during the three months ended December 30, 2018 to reflect management’s revised expectations related to the cost of this environmental remediation. A nominal amount of expense was incurred against the liability during the three and nine months ended December 30, 2018. The liability is not discounted as management expects to incur these expenses within the next twelve months. Given the many uncertainties involved in assessing environmental claims, our reserves may prove to be insufficient. While it is possible that additional expenses related to remediation will be incurred in future periods if currently unknown issues arise, we are unable to estimate the extent of any further financial impact.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Segment Information</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have three reportable segments: Industrial, Water Treatment, and Health and Nutrition. The accounting policies of the segments are the same as those described in the summary of significant accounting policies in our fiscal 2018 Annual Report on Form 10-K.</w:t>
      </w:r>
    </w:p>
    <w:p>
      <w:pPr>
        <w:spacing w:after="0" w:line="1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Other than our Health and Nutrition segment, the segments do not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3" w:name="page14"/>
    <w:bookmarkEnd w:id="13"/>
    <w:p>
      <w:pPr>
        <w:ind w:right="120"/>
        <w:spacing w:after="0" w:line="264" w:lineRule="auto"/>
        <w:rPr>
          <w:sz w:val="20"/>
          <w:szCs w:val="20"/>
          <w:color w:val="auto"/>
        </w:rPr>
      </w:pPr>
      <w:r>
        <w:rPr>
          <w:rFonts w:ascii="Arial" w:cs="Arial" w:eastAsia="Arial" w:hAnsi="Arial"/>
          <w:sz w:val="18"/>
          <w:szCs w:val="18"/>
          <w:color w:val="auto"/>
        </w:rPr>
        <w:t>have separate accounting, administration, customer service or purchasing functions. We allocate certain corporate expenses to our operating segments. There are no intersegment sales and no operating segments have been aggregated. No single customer’s revenues amounted to 10% or more of our total revenue. Sales are primarily within the United States and all assets are located within the United States.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Water</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Health and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5"/>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2"/>
                <w:szCs w:val="22"/>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Industrial</w:t>
            </w:r>
          </w:p>
        </w:tc>
        <w:tc>
          <w:tcPr>
            <w:tcW w:w="200" w:type="dxa"/>
            <w:vAlign w:val="bottom"/>
          </w:tcPr>
          <w:p>
            <w:pPr>
              <w:spacing w:after="0"/>
              <w:rPr>
                <w:sz w:val="22"/>
                <w:szCs w:val="22"/>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Treatment</w:t>
            </w:r>
          </w:p>
        </w:tc>
        <w:tc>
          <w:tcPr>
            <w:tcW w:w="180" w:type="dxa"/>
            <w:vAlign w:val="bottom"/>
          </w:tcPr>
          <w:p>
            <w:pPr>
              <w:spacing w:after="0"/>
              <w:rPr>
                <w:sz w:val="22"/>
                <w:szCs w:val="22"/>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Nutrition</w:t>
            </w:r>
          </w:p>
        </w:tc>
        <w:tc>
          <w:tcPr>
            <w:tcW w:w="300" w:type="dxa"/>
            <w:vAlign w:val="bottom"/>
          </w:tcPr>
          <w:p>
            <w:pPr>
              <w:spacing w:after="0"/>
              <w:rPr>
                <w:sz w:val="22"/>
                <w:szCs w:val="22"/>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December 30, 2018:</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69,026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32,740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26,385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128,151</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21,033</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14,312</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Three months ended December 31, 2017:</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118,053</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7,091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7,393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4,356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18,840</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14,139</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4,701</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Nine months ended December 30, 2018:</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212,446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116,322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94,507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423,275</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75,262</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16,866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14,738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12,628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44,232</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31,030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Nine months ended December 31, 2017:</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183,053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107,307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377,179</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24,372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29,624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14,958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68,954</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44,733</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8,329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14,682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24,221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significant changes to identifiable assets by segment occurred during the nine months ended December 30, 2018.</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4" w:name="page15"/>
    <w:bookmarkEnd w:id="14"/>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30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is a discussion and analysis of our financial condition and results of operations for the three and nine months ended December 30, 2018 as compared to the similar periods ended December 31, 2017. This discussion should be read in conjunction with the condensed consolidated financial statements and notes to condensed consolidated financial statements included in this quarterly report on Form 10-Q and Item 8 of our Annual Report on Form 10-K for the fiscal year ended April 1, 2018 (“fiscal 2018”). References to “fiscal 2019” refer to the fiscal year ending March 31,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derive substantially all of our revenues from the sale of chemicals and specialty ingredients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 and specialty ingredients, including manufacturing, blending, and repackaging certain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focus on total profitability dollars when evaluating our financial results as opposed to profitability as a percentage of sales, as sales dollars tend to fluctuate, particularly in our Industrial and Water Treatment segments, as raw material costs rise and fall. The costs for certain of our raw materials can rise or fall rapidly, causing fluctuations in gross profit as a percentage of sales.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use the last in, first out (“LIFO”) method for valuing the majority of our inventory in our Industrial and Water Treatment segments, which causes the most recent product costs for those products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Inventories in the Health and Nutrition segment are valued using the first-in, first-out (“FIFO”) method.</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Industrial and Water Treatment segments sell bulk commodity products. We disclose the sales of our bulk commodity products as a percentage of total sales dollars within each of those segments. Our definition of bulk commodity products includes products that we do not modify in any way, but receive, store, and ship from our facilities, or direct ship to our customers in large quantities. We review our sales reporting on a periodic basis to ensure we are including all products that meet this definition.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356"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3500" w:type="dxa"/>
            <w:vAlign w:val="bottom"/>
            <w:gridSpan w:val="3"/>
          </w:tcPr>
          <w:p>
            <w:pPr>
              <w:ind w:left="920"/>
              <w:spacing w:after="0"/>
              <w:rPr>
                <w:sz w:val="20"/>
                <w:szCs w:val="20"/>
                <w:color w:val="auto"/>
              </w:rPr>
            </w:pPr>
            <w:r>
              <w:rPr>
                <w:rFonts w:ascii="Arial" w:cs="Arial" w:eastAsia="Arial" w:hAnsi="Arial"/>
                <w:sz w:val="18"/>
                <w:szCs w:val="18"/>
                <w:b w:val="1"/>
                <w:bCs w:val="1"/>
                <w:color w:val="auto"/>
              </w:rPr>
              <w:t>Three months ended</w:t>
            </w:r>
          </w:p>
        </w:tc>
        <w:tc>
          <w:tcPr>
            <w:tcW w:w="340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3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43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3"/>
              </w:rPr>
              <w:t>December 30, 2018</w:t>
            </w:r>
          </w:p>
        </w:tc>
        <w:tc>
          <w:tcPr>
            <w:tcW w:w="17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December 31, 2017</w:t>
            </w:r>
          </w:p>
        </w:tc>
        <w:tc>
          <w:tcPr>
            <w:tcW w:w="17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December 30, 2018</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December 31, 2017</w:t>
            </w: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color w:val="auto"/>
              </w:rPr>
              <w:t>Sales</w:t>
            </w: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100.0 %</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4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(83.6)%</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16.4 %</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16.0 %</w:t>
            </w:r>
          </w:p>
        </w:tc>
        <w:tc>
          <w:tcPr>
            <w:tcW w:w="1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17.8 %</w:t>
            </w:r>
          </w:p>
        </w:tc>
        <w:tc>
          <w:tcPr>
            <w:tcW w:w="1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18.3 %</w:t>
            </w:r>
          </w:p>
        </w:tc>
      </w:tr>
      <w:tr>
        <w:trPr>
          <w:trHeight w:val="27"/>
        </w:trPr>
        <w:tc>
          <w:tcPr>
            <w:tcW w:w="4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5.2 %</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7.4 %</w:t>
            </w:r>
          </w:p>
        </w:tc>
        <w:tc>
          <w:tcPr>
            <w:tcW w:w="1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6.4 %</w:t>
            </w:r>
          </w:p>
        </w:tc>
      </w:tr>
      <w:tr>
        <w:trPr>
          <w:trHeight w:val="27"/>
        </w:trPr>
        <w:tc>
          <w:tcPr>
            <w:tcW w:w="4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780" w:type="dxa"/>
            <w:vAlign w:val="bottom"/>
            <w:gridSpan w:val="2"/>
          </w:tcPr>
          <w:p>
            <w:pPr>
              <w:ind w:left="1260"/>
              <w:spacing w:after="0"/>
              <w:rPr>
                <w:sz w:val="20"/>
                <w:szCs w:val="20"/>
                <w:color w:val="auto"/>
              </w:rPr>
            </w:pPr>
            <w:r>
              <w:rPr>
                <w:rFonts w:ascii="Arial" w:cs="Arial" w:eastAsia="Arial" w:hAnsi="Arial"/>
                <w:sz w:val="18"/>
                <w:szCs w:val="18"/>
                <w:color w:val="auto"/>
              </w:rPr>
              <w:t>— %</w:t>
            </w:r>
          </w:p>
        </w:tc>
        <w:tc>
          <w:tcPr>
            <w:tcW w:w="16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3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4.4 %</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680" w:type="dxa"/>
            <w:vAlign w:val="bottom"/>
          </w:tcPr>
          <w:p>
            <w:pPr>
              <w:jc w:val="right"/>
              <w:spacing w:after="0"/>
              <w:rPr>
                <w:sz w:val="20"/>
                <w:szCs w:val="20"/>
                <w:color w:val="auto"/>
              </w:rPr>
            </w:pPr>
            <w:r>
              <w:rPr>
                <w:rFonts w:ascii="Arial" w:cs="Arial" w:eastAsia="Arial" w:hAnsi="Arial"/>
                <w:sz w:val="18"/>
                <w:szCs w:val="18"/>
                <w:color w:val="auto"/>
              </w:rPr>
              <w:t>11.3 %</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43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3.3 %</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584" w:right="279" w:bottom="1440" w:gutter="0" w:footer="0" w:header="0"/>
        </w:sectPr>
      </w:pPr>
    </w:p>
    <w:bookmarkStart w:id="15" w:name="page16"/>
    <w:bookmarkEnd w:id="15"/>
    <w:p>
      <w:pPr>
        <w:ind w:right="4260"/>
        <w:spacing w:after="0" w:line="438" w:lineRule="auto"/>
        <w:rPr>
          <w:sz w:val="20"/>
          <w:szCs w:val="20"/>
          <w:color w:val="auto"/>
        </w:rPr>
      </w:pPr>
      <w:r>
        <w:rPr>
          <w:rFonts w:ascii="Arial" w:cs="Arial" w:eastAsia="Arial" w:hAnsi="Arial"/>
          <w:sz w:val="18"/>
          <w:szCs w:val="18"/>
          <w:b w:val="1"/>
          <w:bCs w:val="1"/>
          <w:i w:val="1"/>
          <w:iCs w:val="1"/>
          <w:color w:val="auto"/>
        </w:rPr>
        <w:t xml:space="preserve">Three Months Ended December 30, 2018 Compared to Three Months Ended December 31, 2017 </w:t>
      </w:r>
      <w:r>
        <w:rPr>
          <w:rFonts w:ascii="Arial" w:cs="Arial" w:eastAsia="Arial" w:hAnsi="Arial"/>
          <w:sz w:val="18"/>
          <w:szCs w:val="18"/>
          <w:i w:val="1"/>
          <w:iCs w:val="1"/>
          <w:color w:val="auto"/>
        </w:rPr>
        <w:t>Sales</w:t>
      </w:r>
    </w:p>
    <w:p>
      <w:pPr>
        <w:spacing w:after="0" w:line="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Sales increased $10.1 million, or 8.6%, to $128.2 million for the three months ended December 30, 2018, as compared to $118.1 million for the same period of the prior year.</w:t>
      </w:r>
    </w:p>
    <w:p>
      <w:pPr>
        <w:spacing w:after="0" w:line="1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$8.7 million, or 14.4%, to $69.0 million for the three months ended December 30, 2018,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$60.3 million for the same period of the prior year. Sales of bulk commodity products in the Industrial segment were approximately 23% of sales dollars for the three months ended December 30, 2018 and for the same period in the prior year. Sales dollars increased compared to the same period in the prior year due to higher volumes sold, in particular certain specialty products that carry higher per-unit selling prices, as well as increased selling prices on certain products resulting from increased raw material costs.</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$1.9 million, or 6.1%, to $32.7 million for the three months ended December 30, 2018,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$30.9 million for the same period of the prior year. Sales of bulk commodity products in the Water Treatment segment were approximately 16% of sales dollars for the three months ended December 30, 2018 and 17% of sales dollars for the same period in the prior year. A product mix shift and slightly higher overall sales volumes resulted in higher sales dollars in the current period.</w:t>
      </w:r>
    </w:p>
    <w:p>
      <w:pPr>
        <w:spacing w:after="0" w:line="13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Health and Nutrition segment sales decreased $0.5 million, or 1.7%, to $26.4 million for the three months ended December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as compared to $26.9 million the same period of the prior year. Increased sales of distributed specialty products were more than offset by decreased sales of manufactured products as we focus on core products in this area.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Gross profit was $21.0 million, or 16.4% of sales, for the three months ended December 30, 2018, an increase of $2.2 million from $18.8 million, or 16.0% of sales, for the same period of the prior year. As a result of projected year-end raw material cost and on-hand quantity estimates, the LIFO reserve decreased and gross profits increased by $0.5 million during the three months ended December 30, 2018 while the LIFO reserve increased and gross profits decreased by $0.7 million in same period of the prior year.</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increased $1.2 million to $8.3 million, or 12.0% of sales, for the three months ended December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as compared to $7.1 million, or 11.8% of sales, for the same period of the prior year. As a result of projected year-end raw material cost decreases, the LIFO reserve decreased and gross profits increased by $0.4 million during the third quarter of the current year. In the same quarter a year ago, as a result of an estimated increase in year-end on-hand raw material quantities the LIFO reserve increased and gross profits decreased by $0.5 million. Gross profit increased as a result of the $0.9 million year-over-year LIFO impact, as well as higher sales volumes, partially offset by increased freight costs and other operating costs including repair and maintenance costs.</w:t>
      </w:r>
    </w:p>
    <w:p>
      <w:pPr>
        <w:spacing w:after="0" w:line="13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Gross profit for the Water Treatment segment increased $0.2 million to $7.6 million, or 23.3% of sales,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30, 2018, as compared to $7.4 million, or 24.0% of sales, for the same period of the prior year. As a result of projected year-end raw material cost decreases, the LIFO reserve decreased and gross profits increased by $0.1 million in the current quarter. In the same quarter a year ago, as a result of an estimated increase in year-end on-hand raw material quantities, the LIFO reserve increased and gross profits decreased by $0.1 million. Additional increases in profit resulting from higher sales were largely offset by increased operating costs.</w:t>
      </w:r>
    </w:p>
    <w:p>
      <w:pPr>
        <w:spacing w:after="0" w:line="119"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i w:val="1"/>
          <w:iCs w:val="1"/>
          <w:color w:val="auto"/>
        </w:rPr>
        <w:t>Health and Nutrition Segment</w:t>
      </w:r>
      <w:r>
        <w:rPr>
          <w:rFonts w:ascii="Arial" w:cs="Arial" w:eastAsia="Arial" w:hAnsi="Arial"/>
          <w:sz w:val="16"/>
          <w:szCs w:val="16"/>
          <w:color w:val="auto"/>
        </w:rPr>
        <w:t>. Gross profit for our Health and Nutrition segment increased $0.7 million to $5.1 million, or 19.3% of sales,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December 30, 2018, as compared to $4.4 million, or 16.2% of sales, for the same period of the prior year. Although total sales were down compared to a year ago, our focus on core products in the manufacturing portion of this segment resulted in improved gross profit.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Selling, general and administrative (“SG&amp;A”) expenses were $14.3 million, or 11.2% of sales, for the three months ended December 30, 2018, an increase of $0.2 million from $14.1 million, or 12.0% of sales, for the same period of the prior year. Increases in certain variable expenses were largely offset by actions taken by management, combined with a $0.4 million reduction in compensation expense resulting from a change in the non-qualified deferred compensation plan liability. This offsets a loss recorded in other income representing a loss on investments held for our non-qualified deferred compensation plan.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Operating income increased $2.0 million to $6.7 million, or 5.2% of sales, for the three months ended December 30, 2018, as compared to $4.7 million, or 4.0% of sales, for the same period of the prior year due to the combined impact of the factors discussed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Interest expense was $0.8 million for the three months ended December 30, 2018 compared to $0.9 million for the same period of the prior year. The impact of higher interest rates was more than offset by a $27.6 million reduction in average borrowings in the current quarter compared to the same period of the prior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expense was $0.3 million for the three months ended December 30, 2018, an increase of $0.4 million compared to other income of $0.1 million recorded for the third quarter of last fiscal year. Other (expense) income represents gains or losses recorded on investments held for our non-qualified deferred compensation plan. The amount recorded as a gain or loss is offset by a similar reduction or increase to compensation expense recorded within SG&amp;A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effective income tax rate was 26.2% for the three months ended December 30, 2018. Our effective tax rate for the three months ended December 31, 2017 was not meaningful as we recorded a $13.2 million one-time income tax benefit during the period as a result of the U.S. Tax Cuts and Jobs Act of 2017 which was signed into law in December 2017. The effective tax rate is impacted by projected levels of annual taxable income, permanent items, and state taxes.</w:t>
      </w:r>
    </w:p>
    <w:p>
      <w:pPr>
        <w:spacing w:after="0" w:line="187" w:lineRule="exact"/>
        <w:rPr>
          <w:sz w:val="20"/>
          <w:szCs w:val="20"/>
          <w:color w:val="auto"/>
        </w:rPr>
      </w:pPr>
    </w:p>
    <w:p>
      <w:pPr>
        <w:ind w:right="4420"/>
        <w:spacing w:after="0" w:line="438" w:lineRule="auto"/>
        <w:rPr>
          <w:sz w:val="20"/>
          <w:szCs w:val="20"/>
          <w:color w:val="auto"/>
        </w:rPr>
      </w:pPr>
      <w:r>
        <w:rPr>
          <w:rFonts w:ascii="Arial" w:cs="Arial" w:eastAsia="Arial" w:hAnsi="Arial"/>
          <w:sz w:val="18"/>
          <w:szCs w:val="18"/>
          <w:b w:val="1"/>
          <w:bCs w:val="1"/>
          <w:i w:val="1"/>
          <w:iCs w:val="1"/>
          <w:color w:val="auto"/>
        </w:rPr>
        <w:t xml:space="preserve">Nine Months Ended December 30, 2018 Compared to Nine Months Ended December 31, 2017 </w:t>
      </w:r>
      <w:r>
        <w:rPr>
          <w:rFonts w:ascii="Arial" w:cs="Arial" w:eastAsia="Arial" w:hAnsi="Arial"/>
          <w:sz w:val="18"/>
          <w:szCs w:val="18"/>
          <w:i w:val="1"/>
          <w:iCs w:val="1"/>
          <w:color w:val="auto"/>
        </w:rPr>
        <w:t>Sales</w:t>
      </w:r>
    </w:p>
    <w:p>
      <w:pPr>
        <w:spacing w:after="0" w:line="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Sales increased $46.1 million, or 12.2%, to $423.3 million for the nine months ended December 30, 2018, as compared to $377.2 million for the same period of the prior year.</w:t>
      </w:r>
    </w:p>
    <w:p>
      <w:pPr>
        <w:spacing w:after="0" w:line="1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$29.4 million, or 16.1%, to $212.4 million for the nine months ended December 30, 2018,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$183.1 million for the same period of the prior year. Sales of bulk commodity products in the Industrial segment were approximately 22% of sales dollars for the nine months ended December 30, 2018 and for the same period in the prior year. Sales dollars increased compared to the same period in the prior year due to increased volumes, particularly of certain specialty products that carry higher per-unit selling prices, as well as increased selling prices on certain products resulting from increased raw material costs.</w:t>
      </w:r>
    </w:p>
    <w:p>
      <w:pPr>
        <w:spacing w:after="0" w:line="13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Water Treatment segment sales increased $9.0 million, or 8.4%, to $116.3 million for the nine months ended December 30, 2018,</w:t>
      </w:r>
      <w:r>
        <w:rPr>
          <w:rFonts w:ascii="Arial" w:cs="Arial" w:eastAsia="Arial" w:hAnsi="Arial"/>
          <w:sz w:val="17"/>
          <w:szCs w:val="17"/>
          <w:i w:val="1"/>
          <w:iCs w:val="1"/>
          <w:color w:val="auto"/>
        </w:rPr>
        <w:t xml:space="preserve"> </w:t>
      </w:r>
      <w:r>
        <w:rPr>
          <w:rFonts w:ascii="Arial" w:cs="Arial" w:eastAsia="Arial" w:hAnsi="Arial"/>
          <w:sz w:val="17"/>
          <w:szCs w:val="17"/>
          <w:color w:val="auto"/>
        </w:rPr>
        <w:t>as compared to $107.3 million for the same period of the prior year. Sales of bulk commodity products in the Water Treatment segment were approximately 15% of sales dollars for the nine months ended December 30, 2018 and 14% for the same period in the prior year. Sales dollars increased in the current period as a result of increased sales volumes across many product lines as well as a favorable product mix shift.</w:t>
      </w:r>
    </w:p>
    <w:p>
      <w:pPr>
        <w:spacing w:after="0" w:line="11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Health and Nutrition segment sales increased $7.7 million, or 8.9%, to $94.5 million for the nine months ended December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as compared to $86.8 million the same period of the prior year. The increase was a result of increased sales of distributed specialty products compared to a year ago.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Gross profit was $75.3 million, or 17.8% of sales, for the nine months ended December 30, 2018, an increase of $6.3 million from $69.0 million, or 18.3% of sales, for the same period of the prior year. As a result of projected year-end raw material cost and on-hand quantity estimates, the LIFO reserve decreased and gross profits increased nominally for the nine months ended December 30, 2018, compared to an increase in the LIFO reserve and a decrease in gross profit of $1.4 million for the nine months ended December 31, 2017.</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was $27.1 million, or 12.7% of sales, for the nine months ended December 30, 2018,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$24.4 million, or 13.3% of sales, for the same period of the prior year. As a result of projected minimal changes to year-end raw material costs and on-hand quantities, the LIFO reserve decreased and gross profits increased by $0.1 million during the nine months ended December 30, 2018. In the same period of the prior year, projected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7" w:name="page18"/>
    <w:bookmarkEnd w:id="17"/>
    <w:p>
      <w:pPr>
        <w:ind w:right="260"/>
        <w:spacing w:after="0" w:line="259" w:lineRule="auto"/>
        <w:rPr>
          <w:sz w:val="20"/>
          <w:szCs w:val="20"/>
          <w:color w:val="auto"/>
        </w:rPr>
      </w:pPr>
      <w:r>
        <w:rPr>
          <w:rFonts w:ascii="Arial" w:cs="Arial" w:eastAsia="Arial" w:hAnsi="Arial"/>
          <w:sz w:val="18"/>
          <w:szCs w:val="18"/>
          <w:color w:val="auto"/>
        </w:rPr>
        <w:t>year-end raw material cost increases and increased on-hand quantities resulted in an increase in the LIFO reserve and a decrease in gross profit of $1.1 million. In addition to the LIFO impacts, the increase in gross profit dollars was due to a favorable product mix shift to more products with higher per-unit margins as well as improved pricing on certain products, offset somewhat by an increase in operational overhead costs driven largely by repair and maintenance costs, as well as rising fuel costs and increased transportation costs.</w:t>
      </w:r>
    </w:p>
    <w:p>
      <w:pPr>
        <w:spacing w:after="0" w:line="13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Gross profit for the Water Treatment segment increased $1.2 million to $30.8 million, or 26.5% of sales,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30, 2018, as compared to $29.6 million, or 27.6% of sales, for the same period of the prior year. As a result of projected minimal changes to year-end raw material costs and on-hand quantities, the LIFO reserve changed nominally during the nine months ended December 30, 2018. In the same period of the prior year, projected year-end raw material cost increases resulted in an increase in the LIFO reserve and a decrease in gross profit of $0.3 million. In addition to the LIFO impacts, the increase in gross profit was a result of higher sales volumes compared to a year ago, offset in part by an increase in certain variable costs and higher transportation costs, partially due to rising fuel costs.</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Health and Nutrition Segment</w:t>
      </w:r>
      <w:r>
        <w:rPr>
          <w:rFonts w:ascii="Arial" w:cs="Arial" w:eastAsia="Arial" w:hAnsi="Arial"/>
          <w:sz w:val="18"/>
          <w:szCs w:val="18"/>
          <w:color w:val="auto"/>
        </w:rPr>
        <w:t>. Gross profit for our Health and Nutrition segment increased $2.5 million to $17.4 million, or 18.4% of sales,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December 30, 2018, as compared to $15.0 million, or 17.2% of sales, for the same period of the prior year. Gross profit increased as a result of the combined impact of higher sales, including focused sales of core manufactured products, and lower operating costs compared to the same period a year ago.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SG&amp;A expenses were $44.2 million, or 10.4% of sales, for the nine months ended December 30, 2018, a decrease of $0.5 million from $44.7 million, or 11.9% of sales, for the same period of the prior year. The decrease in SG&amp;A expenses resulted from actions taken by management in the prior year, offset somewhat by increases in certain variable expenses. In addition, SG&amp;A expense was favorably impacted by $0.3 million compared to the prior year related to a reduction in compensation expense resulting from a change in the non-qualified deferred compensation plan liability. This offsets a loss recorded in other income representing a loss on investments held for our non-qualified deferred compensation plan.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income increased $6.8 million to $31.0 million, or 7.4% of sales, for the nine months ended December 30, 2018, as compared to $24.2 million, or 6.4% of sales, for the same period of the prior year due to the combined impact of the factors discussed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Interest expense was $2.6 million for the nine months ended December 30, 2018 compared to $2.5 million for the same period of the prior year. The slight increase in interest expense was driven by higher interest rates as compared to a year ago, offset somewhat by lower levels of outstanding debt.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Other expense was $0.2 million for nine months ended December 30, 2018, an increase of $0.3 million from other income of $0.1 million recorded for the nine months ended December 31, 2017. Other (expense) income represents gains or losses recorded on investments held for our non-qualified deferred compensation plan. The amount recorded as a gain or loss is offset by a similar reduction or increase to compensation expense recorded with SG&amp;A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Our effective income tax rate was 26.8% for the nine months ended December 30, 2018. Our effective tax rate for the nine months ended December 31, 2017 was not meaningful as we recorded a $13.2 million one-time income tax benefit during the period as a result of the U.S. Tax Cuts and Jobs Act of 2017 which was signed into law in December 2017. The effective tax rate is impacted by projected levels of annual taxable income, permanent items, and state taxes.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was $7.3 million at December 30, 2018, an increase of $2.3 million as compared with the $5.0 million available as of April 1, 2018.</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Cash provided by operating activities was $31.0 million for the nine months ended December 30, 2018, compared to cash provided by operating activities of $14.6 million for the same period of the prior year. The year-over-year increase in cash provided by operating activities was primarily driven by an increase in operating income over the prior year, as well as a lower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746" w:right="259" w:bottom="1440" w:gutter="0" w:footer="0" w:header="0"/>
        </w:sectPr>
      </w:pPr>
    </w:p>
    <w:bookmarkStart w:id="18" w:name="page19"/>
    <w:bookmarkEnd w:id="18"/>
    <w:p>
      <w:pPr>
        <w:ind w:right="40"/>
        <w:spacing w:after="0" w:line="255" w:lineRule="auto"/>
        <w:rPr>
          <w:sz w:val="20"/>
          <w:szCs w:val="20"/>
          <w:color w:val="auto"/>
        </w:rPr>
      </w:pPr>
      <w:r>
        <w:rPr>
          <w:rFonts w:ascii="Arial" w:cs="Arial" w:eastAsia="Arial" w:hAnsi="Arial"/>
          <w:sz w:val="18"/>
          <w:szCs w:val="18"/>
          <w:color w:val="auto"/>
        </w:rPr>
        <w:t>increase in inventory dollars in the first nine months of fiscal 2019 as compared to a year ago and a decrease in accounts receivable balances compared to a slight increase in the prior year. The large increase in inventory dollars in the first nine months of the prior fiscal year was primarily due to an increase in on-hand inventory, along with an increase in the per-unit cost, of one of our major commodities. Due to the nature of our operations, which includes purchases of large quantities of bulk chemicals, timing of purchases can result in significant changes in working capital investment and the resulting operating cash flow. Typically, our cash requirements increase during the period from April through November as caustic soda inventory levels increase as the majority of barges are received during this period.</w:t>
      </w:r>
    </w:p>
    <w:p>
      <w:pPr>
        <w:spacing w:after="0" w:line="13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Cash used in investing activities was $7.0 million for the nine months ended December 30, 2018, compared to $16.7 million for the same period of the prior year. Capital expenditures were $7.2 million for the nine months ended December 30, 2018, compared to $17.0 million in the same period of the prior year. The decrease in current year capital expenditures was in part related to higher spending in the prior year on non-recurring projects, including the purchase of three of our previously-leased Florida locations. Included in capital expenditures for the first nine months of fiscal 2019 was $4.5 million related to facility improvements, replacement equipment, new and replacement containers and Water Treatment trucks, and $1.3 million related to business expansion, inventory storage, and process improvements.</w:t>
      </w:r>
    </w:p>
    <w:p>
      <w:pPr>
        <w:spacing w:after="0" w:line="13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Cash used in financing activities was $21.7 million for the nine months ended December 30, 2018, compared to cash provided by financing activities of $2.9 million in the same period of the prior year. Included in financing activities in the current year were dividend payments of $9.5 million, share repurchases of $2.4 million, and net repayments on our Credit Facility (as defined below) of $10.0 million discussed in more detail below. In the first nine months of the prior year, we made dividend payments of $9.2 million, debt repayments on our Term Loan Facility of $5.6 million, and net borrowings of $17.0 million on our Revolving Loan Facility to fund working capital requirements.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expect our cash balances and funds available under our credit facility, discussed below, along with cash flows generated from operations, will be sufficient to fund the cash requirements of our ongoing operations for the foreseeable future.</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were party to a credit agreement (the “Prior Credit Agreement”) with U.S. Bank National Association (“U.S. Bank”) as Sole Lead Arranger and Sole Book Runner and other lenders from time to time party thereto (collectively, the “Prior Lenders”), whereby U.S. Bank was also serving as Administrative Agent. The Prior Credit Agreement provided us with senior secured credit facilities totaling $165.0 million, consisting of a $100.0 million senior secured term loan credit facility and a $65.0 million senior secured revolving loan credit facility. The term loan facility required mandatory quarterly repayments, with the balance due at maturity. The revolving loan facility included a letter of credit subfacility in the amount of $5.0 million and a swingline subfacility in the amount of $8.0 million. The Prior Credit Agreement was scheduled to terminate on December 23, 2020 and the underlying credit facility was secured by substantially all of our personal property assets and those of our subsidiaries. Borrowings under the Prior Credit Agreement bore interest at a variable rate per annum equal to one of the following, plus, in both cases, an applicable margin based upon our leverage ratio: (a) LIBOR for an interest period of one, two, three or six months as selected by us, reset at the end of the selected interest period, or (b) a base rate determined by reference to the highest of (1) U.S. Bank’s prime rate, (2) the Federal Funds Effective Rate plus 0.5%, or (3) one-month LIBOR for U.S. dollars plus 1.0%. The LIBOR margin was 1.125%, 1.25% or 1.5%, depending on our leverage ratio. The base rate margin was either 0.125%, 0.25% or 0.5%, depending on our leverage ratio.</w:t>
      </w:r>
    </w:p>
    <w:p>
      <w:pPr>
        <w:spacing w:after="0" w:line="1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November 30, 2018, we entered into an amended and restated credit agreement (the “Credit Agreement”) with U.S. Bank National Association (“U.S. Bank”) as Sole Lead Arranger and Sole Book Runner, and other lenders from time to time party thereto (collectively, the “Lenders”), whereby U.S. Bank is also serving as Administrative Agent. The Credit Agreement refinanced the term and revolving loans under the Prior Credit Agreement and provides us with senior secured revolving credit facilities (the “Revolving Loan Facility”) totaling $150.0 million. The Revolving Loan Facility includes a $5.0 million letter of credit subfacility and $15.0 million swingline subfacility. The Revolving Loan Facility has a five-year maturity date, maturing on November 30, 2023. The Revolving Loan Facility is secured by substantially all of our personal property assets and those of our subsidiaries.</w:t>
      </w:r>
    </w:p>
    <w:p>
      <w:pPr>
        <w:spacing w:after="0" w:line="16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used $91.0 million of the proceeds from the Revolving Loan Facility to refinance the obligations under the Prior Credit Agreement. We may use the remaining amount of the Revolving Loan Facility for working capital, capital expenditures, share repurchases, restricted payments and acquisitions permitted under the Credit Agreement, and other general corporate purposes.</w:t>
      </w:r>
    </w:p>
    <w:p>
      <w:pPr>
        <w:spacing w:after="0" w:line="18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Borrowings under the Revolving Loan Facility bear interest at a rate per annum equal to one of the following, plus, in both cases, an applicable margin based upon our leverage ratio: (a) LIBOR for an interest period of one, two, three or six months as selected by us, reset at the end of the selected interest period, or</w:t>
      </w:r>
    </w:p>
    <w:p>
      <w:pPr>
        <w:ind w:right="20" w:firstLine="8"/>
        <w:spacing w:after="0" w:line="261"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base rate determined by reference to the highest of (1) U. S. Bank’s prime rate, (2) the Federal Funds Effective Rate plus 0.5%, or (3) one-month LIBOR for U.S. dollars plus 1.0%. The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LIBOR margin is between 0.85% - 1.35%, depending on our leverage ratio. The base rate margin is between 0.00% - 0.35%, depending on our leverage ratio.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 December 30, 2018, the effective interest rate on our borrowing was 3.1%.</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addition to paying interest on the outstanding principal under the Revolving Loan Facility, we are required to pay a commitment fee on the unutilized commitments thereunder. The commitment fee is between 0.15% - 0.25%, depending on our leverage ratio.</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Debt issuance costs of $0.2 million paid to the lenders in connection with the Credit Agreement, as well as unamortized debt issuance costs of $0.3 million paid in connection with the Prior Credit Agreement, are reflected as a reduction of debt and will be amortized as interest expense over the term of the Revolving Loan Facility.</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rate management transactions, subject to certain limitations. We are permitted to make distributions, pay dividends and repurchase shares so long as no default or event of default exists or would exist as a result thereof.</w:t>
      </w:r>
    </w:p>
    <w:p>
      <w:pPr>
        <w:spacing w:after="0" w:line="15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Credit Agreement contains customary events of default, including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spacing w:after="0" w:line="16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 were no material changes in our critical accounting estimates since the filing of our Annual Report on Form 10-K for the fiscal year ended April 1,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Annual Report on Form 10-K for the fiscal year ended April 1, 2018.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to our customers. However, there are no assurances that we will be able to pass on the increases in the future.</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are exposed to market risks related to interest rates. Our exposure to changes in interest rates is limited to borrowings under our Credit Facility. A 25 basis point change in interest rates would potentially increase or decrease our annual interest expense by approximately $0.1 million. We have in place an interest rate swap that converts a portion of our variable-rate debt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20" w:name="page21"/>
    <w:bookmarkEnd w:id="20"/>
    <w:p>
      <w:pPr>
        <w:ind w:right="20"/>
        <w:spacing w:after="0" w:line="257" w:lineRule="auto"/>
        <w:rPr>
          <w:sz w:val="20"/>
          <w:szCs w:val="20"/>
          <w:color w:val="auto"/>
        </w:rPr>
      </w:pPr>
      <w:r>
        <w:rPr>
          <w:rFonts w:ascii="Arial" w:cs="Arial" w:eastAsia="Arial" w:hAnsi="Arial"/>
          <w:sz w:val="18"/>
          <w:szCs w:val="18"/>
          <w:color w:val="auto"/>
        </w:rPr>
        <w:t>into a fixed-rate obligation. The swap agreement began September 1, 2017 and will end on December 23, 2020. The notional amount of the swap agreement was $40 million from September 1, 2017 through August 31, 2018 and is $30 million from September 1, 2018 through August 31, 2019 and $20 million from September 1, 2019 through December 23, 2020. We have designated this swap as a cash flow hedge and have determined that it qualifies for hedge accounting treatment. Changes in fair value of the cash flow hedge are recorded in other comprehensive loss (net of tax) until income or loss from the cash flows of the hedged item is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Other types of market risk, such as foreign currency risk, do not arise in the normal course of our business activities.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were effective as of December 30, 2018.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third quarter of fiscal 2019 that has materially affected, or is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84" w:right="2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7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risk factors from those disclosed in our Annual Report on Form 10-K for the fiscal year ended April 1, 2018.</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fiscal 2015, our Board of Directors authorized the repurchase of up to 300,000 shares of our outstanding common stock. The shares may be repurchased on the open market or in privately negotiated transactions subject to applicable securities laws and regulations. The following table sets forth information concerning purchases of our common stock for the three months ended December 30, 2018:</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Total Number of Shares</w:t>
            </w:r>
          </w:p>
        </w:tc>
        <w:tc>
          <w:tcPr>
            <w:tcW w:w="2560" w:type="dxa"/>
            <w:vAlign w:val="bottom"/>
          </w:tcPr>
          <w:p>
            <w:pPr>
              <w:jc w:val="center"/>
              <w:spacing w:after="0"/>
              <w:rPr>
                <w:sz w:val="20"/>
                <w:szCs w:val="20"/>
                <w:color w:val="auto"/>
              </w:rPr>
            </w:pPr>
            <w:r>
              <w:rPr>
                <w:rFonts w:ascii="Arial" w:cs="Arial" w:eastAsia="Arial" w:hAnsi="Arial"/>
                <w:sz w:val="18"/>
                <w:szCs w:val="18"/>
                <w:color w:val="auto"/>
                <w:w w:val="91"/>
              </w:rPr>
              <w:t>Maximum Number of Shares that</w:t>
            </w:r>
          </w:p>
        </w:tc>
      </w:tr>
      <w:tr>
        <w:trPr>
          <w:trHeight w:val="216"/>
        </w:trPr>
        <w:tc>
          <w:tcPr>
            <w:tcW w:w="2260" w:type="dxa"/>
            <w:vAlign w:val="bottom"/>
          </w:tcPr>
          <w:p>
            <w:pPr>
              <w:spacing w:after="0"/>
              <w:rPr>
                <w:sz w:val="18"/>
                <w:szCs w:val="18"/>
                <w:color w:val="auto"/>
              </w:rPr>
            </w:pPr>
          </w:p>
        </w:tc>
        <w:tc>
          <w:tcPr>
            <w:tcW w:w="2200" w:type="dxa"/>
            <w:vAlign w:val="bottom"/>
          </w:tcPr>
          <w:p>
            <w:pPr>
              <w:jc w:val="right"/>
              <w:ind w:right="270"/>
              <w:spacing w:after="0"/>
              <w:rPr>
                <w:sz w:val="20"/>
                <w:szCs w:val="20"/>
                <w:color w:val="auto"/>
              </w:rPr>
            </w:pPr>
            <w:r>
              <w:rPr>
                <w:rFonts w:ascii="Arial" w:cs="Arial" w:eastAsia="Arial" w:hAnsi="Arial"/>
                <w:sz w:val="18"/>
                <w:szCs w:val="18"/>
                <w:color w:val="auto"/>
                <w:w w:val="95"/>
              </w:rPr>
              <w:t>Total Number of Shares</w:t>
            </w:r>
          </w:p>
        </w:tc>
        <w:tc>
          <w:tcPr>
            <w:tcW w:w="1820" w:type="dxa"/>
            <w:vAlign w:val="bottom"/>
          </w:tcPr>
          <w:p>
            <w:pPr>
              <w:jc w:val="right"/>
              <w:ind w:right="70"/>
              <w:spacing w:after="0"/>
              <w:rPr>
                <w:sz w:val="20"/>
                <w:szCs w:val="20"/>
                <w:color w:val="auto"/>
              </w:rPr>
            </w:pPr>
            <w:r>
              <w:rPr>
                <w:rFonts w:ascii="Arial" w:cs="Arial" w:eastAsia="Arial" w:hAnsi="Arial"/>
                <w:sz w:val="18"/>
                <w:szCs w:val="18"/>
                <w:color w:val="auto"/>
                <w:w w:val="87"/>
              </w:rPr>
              <w:t>Average Price Paid Per</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Purchased as Part of a Publicly</w:t>
            </w:r>
          </w:p>
        </w:tc>
        <w:tc>
          <w:tcPr>
            <w:tcW w:w="2560" w:type="dxa"/>
            <w:vAlign w:val="bottom"/>
          </w:tcPr>
          <w:p>
            <w:pPr>
              <w:jc w:val="center"/>
              <w:spacing w:after="0"/>
              <w:rPr>
                <w:sz w:val="20"/>
                <w:szCs w:val="20"/>
                <w:color w:val="auto"/>
              </w:rPr>
            </w:pPr>
            <w:r>
              <w:rPr>
                <w:rFonts w:ascii="Arial" w:cs="Arial" w:eastAsia="Arial" w:hAnsi="Arial"/>
                <w:sz w:val="18"/>
                <w:szCs w:val="18"/>
                <w:color w:val="auto"/>
                <w:w w:val="88"/>
              </w:rPr>
              <w:t>May Yet be Purchased under Plans</w:t>
            </w: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Period</w:t>
            </w:r>
          </w:p>
        </w:tc>
        <w:tc>
          <w:tcPr>
            <w:tcW w:w="2200" w:type="dxa"/>
            <w:vAlign w:val="bottom"/>
          </w:tcPr>
          <w:p>
            <w:pPr>
              <w:jc w:val="right"/>
              <w:ind w:right="770"/>
              <w:spacing w:after="0"/>
              <w:rPr>
                <w:sz w:val="20"/>
                <w:szCs w:val="20"/>
                <w:color w:val="auto"/>
              </w:rPr>
            </w:pPr>
            <w:r>
              <w:rPr>
                <w:rFonts w:ascii="Arial" w:cs="Arial" w:eastAsia="Arial" w:hAnsi="Arial"/>
                <w:sz w:val="18"/>
                <w:szCs w:val="18"/>
                <w:color w:val="auto"/>
              </w:rPr>
              <w:t>Purchased</w:t>
            </w:r>
          </w:p>
        </w:tc>
        <w:tc>
          <w:tcPr>
            <w:tcW w:w="1820" w:type="dxa"/>
            <w:vAlign w:val="bottom"/>
          </w:tcPr>
          <w:p>
            <w:pPr>
              <w:jc w:val="right"/>
              <w:ind w:right="690"/>
              <w:spacing w:after="0"/>
              <w:rPr>
                <w:sz w:val="20"/>
                <w:szCs w:val="20"/>
                <w:color w:val="auto"/>
              </w:rPr>
            </w:pPr>
            <w:r>
              <w:rPr>
                <w:rFonts w:ascii="Arial" w:cs="Arial" w:eastAsia="Arial" w:hAnsi="Arial"/>
                <w:sz w:val="18"/>
                <w:szCs w:val="18"/>
                <w:color w:val="auto"/>
              </w:rPr>
              <w:t>Share</w:t>
            </w: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Announced Plan or Program</w:t>
            </w:r>
          </w:p>
        </w:tc>
        <w:tc>
          <w:tcPr>
            <w:tcW w:w="2560" w:type="dxa"/>
            <w:vAlign w:val="bottom"/>
          </w:tcPr>
          <w:p>
            <w:pPr>
              <w:jc w:val="center"/>
              <w:spacing w:after="0"/>
              <w:rPr>
                <w:sz w:val="20"/>
                <w:szCs w:val="20"/>
                <w:color w:val="auto"/>
              </w:rPr>
            </w:pPr>
            <w:r>
              <w:rPr>
                <w:rFonts w:ascii="Arial" w:cs="Arial" w:eastAsia="Arial" w:hAnsi="Arial"/>
                <w:sz w:val="18"/>
                <w:szCs w:val="18"/>
                <w:color w:val="auto"/>
                <w:w w:val="88"/>
              </w:rPr>
              <w:t>or Programs</w:t>
            </w:r>
          </w:p>
        </w:tc>
      </w:tr>
      <w:tr>
        <w:trPr>
          <w:trHeight w:val="270"/>
        </w:trPr>
        <w:tc>
          <w:tcPr>
            <w:tcW w:w="2260" w:type="dxa"/>
            <w:vAlign w:val="bottom"/>
          </w:tcPr>
          <w:p>
            <w:pPr>
              <w:spacing w:after="0"/>
              <w:rPr>
                <w:sz w:val="20"/>
                <w:szCs w:val="20"/>
                <w:color w:val="auto"/>
              </w:rPr>
            </w:pPr>
            <w:r>
              <w:rPr>
                <w:rFonts w:ascii="Arial" w:cs="Arial" w:eastAsia="Arial" w:hAnsi="Arial"/>
                <w:sz w:val="18"/>
                <w:szCs w:val="18"/>
                <w:color w:val="auto"/>
              </w:rPr>
              <w:t>10/1/2018-10/29/2018</w:t>
            </w:r>
          </w:p>
        </w:tc>
        <w:tc>
          <w:tcPr>
            <w:tcW w:w="2200" w:type="dxa"/>
            <w:vAlign w:val="bottom"/>
          </w:tcPr>
          <w:p>
            <w:pPr>
              <w:jc w:val="right"/>
              <w:spacing w:after="0"/>
              <w:rPr>
                <w:sz w:val="20"/>
                <w:szCs w:val="20"/>
                <w:color w:val="auto"/>
              </w:rPr>
            </w:pPr>
            <w:r>
              <w:rPr>
                <w:rFonts w:ascii="Arial" w:cs="Arial" w:eastAsia="Arial" w:hAnsi="Arial"/>
                <w:sz w:val="18"/>
                <w:szCs w:val="18"/>
                <w:color w:val="auto"/>
              </w:rPr>
              <w:t>—   $</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560" w:type="dxa"/>
            <w:vAlign w:val="bottom"/>
          </w:tcPr>
          <w:p>
            <w:pPr>
              <w:jc w:val="right"/>
              <w:spacing w:after="0"/>
              <w:rPr>
                <w:sz w:val="20"/>
                <w:szCs w:val="20"/>
                <w:color w:val="auto"/>
              </w:rPr>
            </w:pPr>
            <w:r>
              <w:rPr>
                <w:rFonts w:ascii="Arial" w:cs="Arial" w:eastAsia="Arial" w:hAnsi="Arial"/>
                <w:sz w:val="18"/>
                <w:szCs w:val="18"/>
                <w:color w:val="auto"/>
              </w:rPr>
              <w:t>112,546</w:t>
            </w:r>
          </w:p>
        </w:tc>
      </w:tr>
      <w:tr>
        <w:trPr>
          <w:trHeight w:val="270"/>
        </w:trPr>
        <w:tc>
          <w:tcPr>
            <w:tcW w:w="2260" w:type="dxa"/>
            <w:vAlign w:val="bottom"/>
          </w:tcPr>
          <w:p>
            <w:pPr>
              <w:spacing w:after="0"/>
              <w:rPr>
                <w:sz w:val="20"/>
                <w:szCs w:val="20"/>
                <w:color w:val="auto"/>
              </w:rPr>
            </w:pPr>
            <w:r>
              <w:rPr>
                <w:rFonts w:ascii="Arial" w:cs="Arial" w:eastAsia="Arial" w:hAnsi="Arial"/>
                <w:sz w:val="18"/>
                <w:szCs w:val="18"/>
                <w:color w:val="auto"/>
              </w:rPr>
              <w:t>10/29/2018-11/25/2018</w:t>
            </w:r>
          </w:p>
        </w:tc>
        <w:tc>
          <w:tcPr>
            <w:tcW w:w="2200" w:type="dxa"/>
            <w:vAlign w:val="bottom"/>
          </w:tcPr>
          <w:p>
            <w:pPr>
              <w:jc w:val="right"/>
              <w:ind w:right="290"/>
              <w:spacing w:after="0"/>
              <w:rPr>
                <w:sz w:val="20"/>
                <w:szCs w:val="20"/>
                <w:color w:val="auto"/>
              </w:rPr>
            </w:pPr>
            <w:r>
              <w:rPr>
                <w:rFonts w:ascii="Arial" w:cs="Arial" w:eastAsia="Arial" w:hAnsi="Arial"/>
                <w:sz w:val="18"/>
                <w:szCs w:val="18"/>
                <w:color w:val="auto"/>
              </w:rPr>
              <w:t>29,995</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39.24</w:t>
            </w: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29,995</w:t>
            </w:r>
          </w:p>
        </w:tc>
        <w:tc>
          <w:tcPr>
            <w:tcW w:w="2560" w:type="dxa"/>
            <w:vAlign w:val="bottom"/>
          </w:tcPr>
          <w:p>
            <w:pPr>
              <w:jc w:val="right"/>
              <w:spacing w:after="0"/>
              <w:rPr>
                <w:sz w:val="20"/>
                <w:szCs w:val="20"/>
                <w:color w:val="auto"/>
              </w:rPr>
            </w:pPr>
            <w:r>
              <w:rPr>
                <w:rFonts w:ascii="Arial" w:cs="Arial" w:eastAsia="Arial" w:hAnsi="Arial"/>
                <w:sz w:val="18"/>
                <w:szCs w:val="18"/>
                <w:color w:val="auto"/>
              </w:rPr>
              <w:t>82,551</w:t>
            </w:r>
          </w:p>
        </w:tc>
      </w:tr>
      <w:tr>
        <w:trPr>
          <w:trHeight w:val="270"/>
        </w:trPr>
        <w:tc>
          <w:tcPr>
            <w:tcW w:w="2260" w:type="dxa"/>
            <w:vAlign w:val="bottom"/>
          </w:tcPr>
          <w:p>
            <w:pPr>
              <w:spacing w:after="0"/>
              <w:rPr>
                <w:sz w:val="20"/>
                <w:szCs w:val="20"/>
                <w:color w:val="auto"/>
              </w:rPr>
            </w:pPr>
            <w:r>
              <w:rPr>
                <w:rFonts w:ascii="Arial" w:cs="Arial" w:eastAsia="Arial" w:hAnsi="Arial"/>
                <w:sz w:val="18"/>
                <w:szCs w:val="18"/>
                <w:color w:val="auto"/>
              </w:rPr>
              <w:t>11/26/2018-12/30/2018</w:t>
            </w:r>
          </w:p>
        </w:tc>
        <w:tc>
          <w:tcPr>
            <w:tcW w:w="2200" w:type="dxa"/>
            <w:vAlign w:val="bottom"/>
          </w:tcPr>
          <w:p>
            <w:pPr>
              <w:jc w:val="right"/>
              <w:ind w:right="290"/>
              <w:spacing w:after="0"/>
              <w:rPr>
                <w:sz w:val="20"/>
                <w:szCs w:val="20"/>
                <w:color w:val="auto"/>
              </w:rPr>
            </w:pPr>
            <w:r>
              <w:rPr>
                <w:rFonts w:ascii="Arial" w:cs="Arial" w:eastAsia="Arial" w:hAnsi="Arial"/>
                <w:sz w:val="18"/>
                <w:szCs w:val="18"/>
                <w:color w:val="auto"/>
              </w:rPr>
              <w:t>29,793</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40.57</w:t>
            </w: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29,793</w:t>
            </w:r>
          </w:p>
        </w:tc>
        <w:tc>
          <w:tcPr>
            <w:tcW w:w="2560" w:type="dxa"/>
            <w:vAlign w:val="bottom"/>
          </w:tcPr>
          <w:p>
            <w:pPr>
              <w:jc w:val="right"/>
              <w:spacing w:after="0"/>
              <w:rPr>
                <w:sz w:val="20"/>
                <w:szCs w:val="20"/>
                <w:color w:val="auto"/>
              </w:rPr>
            </w:pPr>
            <w:r>
              <w:rPr>
                <w:rFonts w:ascii="Arial" w:cs="Arial" w:eastAsia="Arial" w:hAnsi="Arial"/>
                <w:sz w:val="18"/>
                <w:szCs w:val="18"/>
                <w:color w:val="auto"/>
              </w:rPr>
              <w:t>52,758</w:t>
            </w:r>
          </w:p>
        </w:tc>
      </w:tr>
      <w:tr>
        <w:trPr>
          <w:trHeight w:val="27"/>
        </w:trPr>
        <w:tc>
          <w:tcPr>
            <w:tcW w:w="226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560" w:type="dxa"/>
            <w:vAlign w:val="bottom"/>
          </w:tcPr>
          <w:p>
            <w:pPr>
              <w:spacing w:after="0"/>
              <w:rPr>
                <w:sz w:val="2"/>
                <w:szCs w:val="2"/>
                <w:color w:val="auto"/>
              </w:rPr>
            </w:pPr>
          </w:p>
        </w:tc>
      </w:tr>
      <w:tr>
        <w:trPr>
          <w:trHeight w:val="237"/>
        </w:trPr>
        <w:tc>
          <w:tcPr>
            <w:tcW w:w="2260" w:type="dxa"/>
            <w:vAlign w:val="bottom"/>
          </w:tcPr>
          <w:p>
            <w:pPr>
              <w:ind w:left="420"/>
              <w:spacing w:after="0"/>
              <w:rPr>
                <w:sz w:val="20"/>
                <w:szCs w:val="20"/>
                <w:color w:val="auto"/>
              </w:rPr>
            </w:pPr>
            <w:r>
              <w:rPr>
                <w:rFonts w:ascii="Arial" w:cs="Arial" w:eastAsia="Arial" w:hAnsi="Arial"/>
                <w:sz w:val="18"/>
                <w:szCs w:val="18"/>
                <w:color w:val="auto"/>
              </w:rPr>
              <w:t>Total</w:t>
            </w:r>
          </w:p>
        </w:tc>
        <w:tc>
          <w:tcPr>
            <w:tcW w:w="2200" w:type="dxa"/>
            <w:vAlign w:val="bottom"/>
          </w:tcPr>
          <w:p>
            <w:pPr>
              <w:jc w:val="right"/>
              <w:ind w:right="290"/>
              <w:spacing w:after="0"/>
              <w:rPr>
                <w:sz w:val="20"/>
                <w:szCs w:val="20"/>
                <w:color w:val="auto"/>
              </w:rPr>
            </w:pPr>
            <w:r>
              <w:rPr>
                <w:rFonts w:ascii="Arial" w:cs="Arial" w:eastAsia="Arial" w:hAnsi="Arial"/>
                <w:sz w:val="18"/>
                <w:szCs w:val="18"/>
                <w:color w:val="auto"/>
              </w:rPr>
              <w:t>59,788</w:t>
            </w:r>
          </w:p>
        </w:tc>
        <w:tc>
          <w:tcPr>
            <w:tcW w:w="1820" w:type="dxa"/>
            <w:vAlign w:val="bottom"/>
          </w:tcPr>
          <w:p>
            <w:pPr>
              <w:spacing w:after="0"/>
              <w:rPr>
                <w:sz w:val="20"/>
                <w:szCs w:val="20"/>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59,788</w:t>
            </w:r>
          </w:p>
        </w:tc>
        <w:tc>
          <w:tcPr>
            <w:tcW w:w="2560" w:type="dxa"/>
            <w:vAlign w:val="bottom"/>
          </w:tcPr>
          <w:p>
            <w:pPr>
              <w:spacing w:after="0"/>
              <w:rPr>
                <w:sz w:val="20"/>
                <w:szCs w:val="20"/>
                <w:color w:val="auto"/>
              </w:rPr>
            </w:pPr>
          </w:p>
        </w:tc>
      </w:tr>
    </w:tbl>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860" w:type="dxa"/>
            <w:vAlign w:val="bottom"/>
          </w:tcPr>
          <w:p>
            <w:pPr>
              <w:jc w:val="right"/>
              <w:ind w:right="152"/>
              <w:spacing w:after="0"/>
              <w:rPr>
                <w:sz w:val="20"/>
                <w:szCs w:val="20"/>
                <w:color w:val="auto"/>
              </w:rPr>
            </w:pPr>
            <w:r>
              <w:rPr>
                <w:rFonts w:ascii="Arial" w:cs="Arial" w:eastAsia="Arial" w:hAnsi="Arial"/>
                <w:sz w:val="18"/>
                <w:szCs w:val="18"/>
                <w:color w:val="auto"/>
                <w:w w:val="95"/>
              </w:rPr>
              <w:t>ITEM 6.</w:t>
            </w:r>
          </w:p>
        </w:tc>
        <w:tc>
          <w:tcPr>
            <w:tcW w:w="960" w:type="dxa"/>
            <w:vAlign w:val="bottom"/>
          </w:tcPr>
          <w:p>
            <w:pPr>
              <w:ind w:left="120"/>
              <w:spacing w:after="0"/>
              <w:rPr>
                <w:sz w:val="20"/>
                <w:szCs w:val="20"/>
                <w:color w:val="auto"/>
              </w:rPr>
            </w:pPr>
            <w:r>
              <w:rPr>
                <w:rFonts w:ascii="Arial" w:cs="Arial" w:eastAsia="Arial" w:hAnsi="Arial"/>
                <w:sz w:val="18"/>
                <w:szCs w:val="18"/>
                <w:color w:val="auto"/>
                <w:w w:val="99"/>
              </w:rPr>
              <w:t>EXHIBITS</w:t>
            </w: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581"/>
        </w:trPr>
        <w:tc>
          <w:tcPr>
            <w:tcW w:w="860" w:type="dxa"/>
            <w:vAlign w:val="bottom"/>
          </w:tcPr>
          <w:p>
            <w:pPr>
              <w:jc w:val="right"/>
              <w:ind w:right="192"/>
              <w:spacing w:after="0"/>
              <w:rPr>
                <w:sz w:val="20"/>
                <w:szCs w:val="20"/>
                <w:color w:val="auto"/>
              </w:rPr>
            </w:pPr>
            <w:r>
              <w:rPr>
                <w:rFonts w:ascii="Arial" w:cs="Arial" w:eastAsia="Arial" w:hAnsi="Arial"/>
                <w:sz w:val="14"/>
                <w:szCs w:val="14"/>
                <w:color w:val="auto"/>
              </w:rPr>
              <w:t>Exhibit</w:t>
            </w: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4"/>
          </w:tcPr>
          <w:p>
            <w:pPr>
              <w:spacing w:after="0"/>
              <w:rPr>
                <w:sz w:val="20"/>
                <w:szCs w:val="20"/>
                <w:color w:val="auto"/>
              </w:rPr>
            </w:pPr>
            <w:r>
              <w:rPr>
                <w:rFonts w:ascii="Arial" w:cs="Arial" w:eastAsia="Arial" w:hAnsi="Arial"/>
                <w:sz w:val="14"/>
                <w:szCs w:val="14"/>
                <w:color w:val="auto"/>
                <w:w w:val="94"/>
              </w:rPr>
              <w:t>Description</w:t>
            </w:r>
          </w:p>
        </w:tc>
        <w:tc>
          <w:tcPr>
            <w:tcW w:w="3800" w:type="dxa"/>
            <w:vAlign w:val="bottom"/>
            <w:gridSpan w:val="4"/>
          </w:tcPr>
          <w:p>
            <w:pPr>
              <w:spacing w:after="0"/>
              <w:rPr>
                <w:sz w:val="24"/>
                <w:szCs w:val="24"/>
                <w:color w:val="auto"/>
              </w:rPr>
            </w:pPr>
          </w:p>
        </w:tc>
        <w:tc>
          <w:tcPr>
            <w:tcW w:w="2180" w:type="dxa"/>
            <w:vAlign w:val="bottom"/>
            <w:gridSpan w:val="3"/>
          </w:tcPr>
          <w:p>
            <w:pPr>
              <w:jc w:val="center"/>
              <w:ind w:left="152"/>
              <w:spacing w:after="0"/>
              <w:rPr>
                <w:sz w:val="20"/>
                <w:szCs w:val="20"/>
                <w:color w:val="auto"/>
              </w:rPr>
            </w:pPr>
            <w:r>
              <w:rPr>
                <w:rFonts w:ascii="Arial" w:cs="Arial" w:eastAsia="Arial" w:hAnsi="Arial"/>
                <w:sz w:val="14"/>
                <w:szCs w:val="14"/>
                <w:color w:val="auto"/>
                <w:w w:val="98"/>
              </w:rPr>
              <w:t>Method of Filing</w:t>
            </w:r>
          </w:p>
        </w:tc>
      </w:tr>
      <w:tr>
        <w:trPr>
          <w:trHeight w:val="20"/>
        </w:trPr>
        <w:tc>
          <w:tcPr>
            <w:tcW w:w="8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3.1</w:t>
            </w:r>
          </w:p>
        </w:tc>
        <w:tc>
          <w:tcPr>
            <w:tcW w:w="8100" w:type="dxa"/>
            <w:vAlign w:val="bottom"/>
            <w:gridSpan w:val="13"/>
          </w:tcPr>
          <w:p>
            <w:pPr>
              <w:spacing w:after="0"/>
              <w:rPr>
                <w:rFonts w:ascii="Arial" w:cs="Arial" w:eastAsia="Arial" w:hAnsi="Arial"/>
                <w:sz w:val="18"/>
                <w:szCs w:val="18"/>
                <w:color w:val="0000FF"/>
              </w:rPr>
            </w:pPr>
            <w:hyperlink r:id="rId18">
              <w:r>
                <w:rPr>
                  <w:rFonts w:ascii="Arial" w:cs="Arial" w:eastAsia="Arial" w:hAnsi="Arial"/>
                  <w:sz w:val="18"/>
                  <w:szCs w:val="18"/>
                  <w:color w:val="0000FF"/>
                </w:rPr>
                <w:t xml:space="preserve">Amended and Restated Articles of Incorporation. </w:t>
              </w:r>
            </w:hyperlink>
            <w:r>
              <w:rPr>
                <w:rFonts w:ascii="Arial" w:cs="Arial" w:eastAsia="Arial" w:hAnsi="Arial"/>
                <w:sz w:val="18"/>
                <w:szCs w:val="18"/>
                <w:color w:val="000000"/>
              </w:rPr>
              <w:t>(1)</w:t>
            </w:r>
          </w:p>
        </w:tc>
        <w:tc>
          <w:tcPr>
            <w:tcW w:w="2180" w:type="dxa"/>
            <w:vAlign w:val="bottom"/>
            <w:gridSpan w:val="3"/>
          </w:tcPr>
          <w:p>
            <w:pPr>
              <w:jc w:val="center"/>
              <w:ind w:left="172"/>
              <w:spacing w:after="0"/>
              <w:rPr>
                <w:sz w:val="20"/>
                <w:szCs w:val="20"/>
                <w:color w:val="auto"/>
              </w:rPr>
            </w:pPr>
            <w:r>
              <w:rPr>
                <w:rFonts w:ascii="Arial" w:cs="Arial" w:eastAsia="Arial" w:hAnsi="Arial"/>
                <w:sz w:val="18"/>
                <w:szCs w:val="18"/>
                <w:color w:val="auto"/>
                <w:w w:val="90"/>
              </w:rPr>
              <w:t>Incorporated by Reference</w:t>
            </w: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3.2</w:t>
            </w:r>
          </w:p>
        </w:tc>
        <w:tc>
          <w:tcPr>
            <w:tcW w:w="3540" w:type="dxa"/>
            <w:vAlign w:val="bottom"/>
            <w:tcBorders>
              <w:top w:val="single" w:sz="8" w:color="0000FF"/>
            </w:tcBorders>
            <w:gridSpan w:val="4"/>
          </w:tcPr>
          <w:p>
            <w:pPr>
              <w:spacing w:after="0"/>
              <w:rPr>
                <w:rFonts w:ascii="Arial" w:cs="Arial" w:eastAsia="Arial" w:hAnsi="Arial"/>
                <w:sz w:val="18"/>
                <w:szCs w:val="18"/>
                <w:color w:val="0000FF"/>
              </w:rPr>
            </w:pPr>
            <w:hyperlink r:id="rId19">
              <w:r>
                <w:rPr>
                  <w:rFonts w:ascii="Arial" w:cs="Arial" w:eastAsia="Arial" w:hAnsi="Arial"/>
                  <w:sz w:val="18"/>
                  <w:szCs w:val="18"/>
                  <w:color w:val="0000FF"/>
                </w:rPr>
                <w:t xml:space="preserve">Amended and Restated By-Laws. </w:t>
              </w:r>
            </w:hyperlink>
            <w:r>
              <w:rPr>
                <w:rFonts w:ascii="Arial" w:cs="Arial" w:eastAsia="Arial" w:hAnsi="Arial"/>
                <w:sz w:val="18"/>
                <w:szCs w:val="18"/>
                <w:color w:val="000000"/>
              </w:rPr>
              <w:t>(2)</w:t>
            </w:r>
          </w:p>
        </w:tc>
        <w:tc>
          <w:tcPr>
            <w:tcW w:w="4560" w:type="dxa"/>
            <w:vAlign w:val="bottom"/>
            <w:gridSpan w:val="9"/>
          </w:tcPr>
          <w:p>
            <w:pPr>
              <w:spacing w:after="0"/>
              <w:rPr>
                <w:sz w:val="21"/>
                <w:szCs w:val="21"/>
                <w:color w:val="auto"/>
              </w:rPr>
            </w:pPr>
          </w:p>
        </w:tc>
        <w:tc>
          <w:tcPr>
            <w:tcW w:w="2180" w:type="dxa"/>
            <w:vAlign w:val="bottom"/>
            <w:gridSpan w:val="3"/>
          </w:tcPr>
          <w:p>
            <w:pPr>
              <w:jc w:val="center"/>
              <w:ind w:left="172"/>
              <w:spacing w:after="0"/>
              <w:rPr>
                <w:sz w:val="20"/>
                <w:szCs w:val="20"/>
                <w:color w:val="auto"/>
              </w:rPr>
            </w:pPr>
            <w:r>
              <w:rPr>
                <w:rFonts w:ascii="Arial" w:cs="Arial" w:eastAsia="Arial" w:hAnsi="Arial"/>
                <w:sz w:val="18"/>
                <w:szCs w:val="18"/>
                <w:color w:val="auto"/>
                <w:w w:val="90"/>
              </w:rPr>
              <w:t>Incorporated by Reference</w:t>
            </w:r>
          </w:p>
        </w:tc>
      </w:tr>
      <w:tr>
        <w:trPr>
          <w:trHeight w:val="20"/>
        </w:trPr>
        <w:tc>
          <w:tcPr>
            <w:tcW w:w="860" w:type="dxa"/>
            <w:vAlign w:val="bottom"/>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10.1</w:t>
            </w:r>
          </w:p>
        </w:tc>
        <w:tc>
          <w:tcPr>
            <w:tcW w:w="3480" w:type="dxa"/>
            <w:vAlign w:val="bottom"/>
            <w:tcBorders>
              <w:bottom w:val="single" w:sz="8" w:color="0000FF"/>
            </w:tcBorders>
            <w:gridSpan w:val="3"/>
          </w:tcPr>
          <w:p>
            <w:pPr>
              <w:spacing w:after="0"/>
              <w:rPr>
                <w:rFonts w:ascii="Arial" w:cs="Arial" w:eastAsia="Arial" w:hAnsi="Arial"/>
                <w:sz w:val="18"/>
                <w:szCs w:val="18"/>
                <w:color w:val="0000FF"/>
                <w:w w:val="87"/>
              </w:rPr>
            </w:pPr>
            <w:hyperlink r:id="rId20">
              <w:r>
                <w:rPr>
                  <w:rFonts w:ascii="Arial" w:cs="Arial" w:eastAsia="Arial" w:hAnsi="Arial"/>
                  <w:sz w:val="18"/>
                  <w:szCs w:val="18"/>
                  <w:color w:val="0000FF"/>
                  <w:w w:val="87"/>
                </w:rPr>
                <w:t>Employee Stock Purchase Plan, as amended. (3)</w:t>
              </w:r>
            </w:hyperlink>
          </w:p>
        </w:tc>
        <w:tc>
          <w:tcPr>
            <w:tcW w:w="4620" w:type="dxa"/>
            <w:vAlign w:val="bottom"/>
            <w:gridSpan w:val="10"/>
          </w:tcPr>
          <w:p>
            <w:pPr>
              <w:spacing w:after="0"/>
              <w:rPr>
                <w:sz w:val="21"/>
                <w:szCs w:val="21"/>
                <w:color w:val="auto"/>
              </w:rPr>
            </w:pPr>
          </w:p>
        </w:tc>
        <w:tc>
          <w:tcPr>
            <w:tcW w:w="2180" w:type="dxa"/>
            <w:vAlign w:val="bottom"/>
            <w:gridSpan w:val="3"/>
          </w:tcPr>
          <w:p>
            <w:pPr>
              <w:jc w:val="center"/>
              <w:ind w:left="172"/>
              <w:spacing w:after="0"/>
              <w:rPr>
                <w:sz w:val="20"/>
                <w:szCs w:val="20"/>
                <w:color w:val="auto"/>
              </w:rPr>
            </w:pPr>
            <w:r>
              <w:rPr>
                <w:rFonts w:ascii="Arial" w:cs="Arial" w:eastAsia="Arial" w:hAnsi="Arial"/>
                <w:sz w:val="18"/>
                <w:szCs w:val="18"/>
                <w:color w:val="auto"/>
                <w:w w:val="90"/>
              </w:rPr>
              <w:t>Incorporated by Reference</w:t>
            </w: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10.2</w:t>
            </w:r>
          </w:p>
        </w:tc>
        <w:tc>
          <w:tcPr>
            <w:tcW w:w="7780" w:type="dxa"/>
            <w:vAlign w:val="bottom"/>
            <w:tcBorders>
              <w:bottom w:val="single" w:sz="8" w:color="0000FF"/>
            </w:tcBorders>
            <w:gridSpan w:val="12"/>
          </w:tcPr>
          <w:p>
            <w:pPr>
              <w:spacing w:after="0"/>
              <w:rPr>
                <w:rFonts w:ascii="Arial" w:cs="Arial" w:eastAsia="Arial" w:hAnsi="Arial"/>
                <w:sz w:val="18"/>
                <w:szCs w:val="18"/>
                <w:color w:val="0000FF"/>
                <w:w w:val="89"/>
              </w:rPr>
            </w:pPr>
            <w:hyperlink r:id="rId21">
              <w:r>
                <w:rPr>
                  <w:rFonts w:ascii="Arial" w:cs="Arial" w:eastAsia="Arial" w:hAnsi="Arial"/>
                  <w:sz w:val="18"/>
                  <w:szCs w:val="18"/>
                  <w:color w:val="0000FF"/>
                  <w:w w:val="89"/>
                </w:rPr>
                <w:t>Amended and Restated Credit Agreement, dated as of November 30, 2018, among the Company, U.S. Bank</w:t>
              </w:r>
            </w:hyperlink>
          </w:p>
        </w:tc>
        <w:tc>
          <w:tcPr>
            <w:tcW w:w="320" w:type="dxa"/>
            <w:vAlign w:val="bottom"/>
          </w:tcPr>
          <w:p>
            <w:pPr>
              <w:spacing w:after="0"/>
              <w:rPr>
                <w:sz w:val="21"/>
                <w:szCs w:val="21"/>
                <w:color w:val="auto"/>
              </w:rPr>
            </w:pPr>
          </w:p>
        </w:tc>
        <w:tc>
          <w:tcPr>
            <w:tcW w:w="2180" w:type="dxa"/>
            <w:vAlign w:val="bottom"/>
            <w:gridSpan w:val="3"/>
          </w:tcPr>
          <w:p>
            <w:pPr>
              <w:jc w:val="center"/>
              <w:ind w:left="172"/>
              <w:spacing w:after="0"/>
              <w:rPr>
                <w:sz w:val="20"/>
                <w:szCs w:val="20"/>
                <w:color w:val="auto"/>
              </w:rPr>
            </w:pPr>
            <w:r>
              <w:rPr>
                <w:rFonts w:ascii="Arial" w:cs="Arial" w:eastAsia="Arial" w:hAnsi="Arial"/>
                <w:sz w:val="18"/>
                <w:szCs w:val="18"/>
                <w:color w:val="auto"/>
                <w:w w:val="90"/>
              </w:rPr>
              <w:t>Incorporated by Reference</w:t>
            </w:r>
          </w:p>
        </w:tc>
      </w:tr>
      <w:tr>
        <w:trPr>
          <w:trHeight w:val="196"/>
        </w:trPr>
        <w:tc>
          <w:tcPr>
            <w:tcW w:w="860" w:type="dxa"/>
            <w:vAlign w:val="bottom"/>
          </w:tcPr>
          <w:p>
            <w:pPr>
              <w:spacing w:after="0"/>
              <w:rPr>
                <w:sz w:val="17"/>
                <w:szCs w:val="17"/>
                <w:color w:val="auto"/>
              </w:rPr>
            </w:pPr>
          </w:p>
        </w:tc>
        <w:tc>
          <w:tcPr>
            <w:tcW w:w="422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21">
              <w:r>
                <w:rPr>
                  <w:rFonts w:ascii="Arial" w:cs="Arial" w:eastAsia="Arial" w:hAnsi="Arial"/>
                  <w:sz w:val="18"/>
                  <w:szCs w:val="18"/>
                  <w:color w:val="0000FF"/>
                  <w:w w:val="92"/>
                </w:rPr>
                <w:t>National Association, and certain financial institutions. (4)</w:t>
              </w:r>
            </w:hyperlink>
          </w:p>
        </w:tc>
        <w:tc>
          <w:tcPr>
            <w:tcW w:w="388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31.1</w:t>
            </w:r>
          </w:p>
        </w:tc>
        <w:tc>
          <w:tcPr>
            <w:tcW w:w="8100" w:type="dxa"/>
            <w:vAlign w:val="bottom"/>
            <w:gridSpan w:val="13"/>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Certification by Chief Executive Officer pursuant to Rule 13a-14(a) of the Exchange Act.</w:t>
              </w:r>
            </w:hyperlink>
          </w:p>
        </w:tc>
        <w:tc>
          <w:tcPr>
            <w:tcW w:w="2180" w:type="dxa"/>
            <w:vAlign w:val="bottom"/>
            <w:gridSpan w:val="3"/>
          </w:tcPr>
          <w:p>
            <w:pPr>
              <w:jc w:val="center"/>
              <w:ind w:left="152"/>
              <w:spacing w:after="0"/>
              <w:rPr>
                <w:sz w:val="20"/>
                <w:szCs w:val="20"/>
                <w:color w:val="auto"/>
              </w:rPr>
            </w:pPr>
            <w:r>
              <w:rPr>
                <w:rFonts w:ascii="Arial" w:cs="Arial" w:eastAsia="Arial" w:hAnsi="Arial"/>
                <w:sz w:val="18"/>
                <w:szCs w:val="18"/>
                <w:color w:val="auto"/>
                <w:w w:val="94"/>
              </w:rPr>
              <w:t>Filed Electronically</w:t>
            </w: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31.2</w:t>
            </w:r>
          </w:p>
        </w:tc>
        <w:tc>
          <w:tcPr>
            <w:tcW w:w="640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2"/>
              </w:rPr>
            </w:pPr>
            <w:hyperlink w:anchor="page26">
              <w:r>
                <w:rPr>
                  <w:rFonts w:ascii="Arial" w:cs="Arial" w:eastAsia="Arial" w:hAnsi="Arial"/>
                  <w:sz w:val="18"/>
                  <w:szCs w:val="18"/>
                  <w:color w:val="0000FF"/>
                  <w:w w:val="92"/>
                </w:rPr>
                <w:t>Certification by Chief Financial Officer pursuant to Rule 13a-14(a) of the Exchange Act.</w:t>
              </w:r>
            </w:hyperlink>
          </w:p>
        </w:tc>
        <w:tc>
          <w:tcPr>
            <w:tcW w:w="40" w:type="dxa"/>
            <w:vAlign w:val="bottom"/>
            <w:tcBorders>
              <w:top w:val="single" w:sz="8" w:color="0000FF"/>
            </w:tcBorders>
          </w:tcPr>
          <w:p>
            <w:pPr>
              <w:spacing w:after="0"/>
              <w:rPr>
                <w:sz w:val="21"/>
                <w:szCs w:val="21"/>
                <w:color w:val="auto"/>
              </w:rPr>
            </w:pPr>
          </w:p>
        </w:tc>
        <w:tc>
          <w:tcPr>
            <w:tcW w:w="1660" w:type="dxa"/>
            <w:vAlign w:val="bottom"/>
            <w:gridSpan w:val="2"/>
          </w:tcPr>
          <w:p>
            <w:pPr>
              <w:spacing w:after="0"/>
              <w:rPr>
                <w:sz w:val="21"/>
                <w:szCs w:val="21"/>
                <w:color w:val="auto"/>
              </w:rPr>
            </w:pPr>
          </w:p>
        </w:tc>
        <w:tc>
          <w:tcPr>
            <w:tcW w:w="2180" w:type="dxa"/>
            <w:vAlign w:val="bottom"/>
            <w:gridSpan w:val="3"/>
          </w:tcPr>
          <w:p>
            <w:pPr>
              <w:jc w:val="center"/>
              <w:ind w:left="152"/>
              <w:spacing w:after="0"/>
              <w:rPr>
                <w:sz w:val="20"/>
                <w:szCs w:val="20"/>
                <w:color w:val="auto"/>
              </w:rPr>
            </w:pPr>
            <w:r>
              <w:rPr>
                <w:rFonts w:ascii="Arial" w:cs="Arial" w:eastAsia="Arial" w:hAnsi="Arial"/>
                <w:sz w:val="18"/>
                <w:szCs w:val="18"/>
                <w:color w:val="auto"/>
                <w:w w:val="94"/>
              </w:rPr>
              <w:t>Filed Electronically</w:t>
            </w: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32.1</w:t>
            </w:r>
          </w:p>
        </w:tc>
        <w:tc>
          <w:tcPr>
            <w:tcW w:w="960" w:type="dxa"/>
            <w:vAlign w:val="bottom"/>
          </w:tcPr>
          <w:p>
            <w:pPr>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Section 1350</w:t>
              </w:r>
            </w:hyperlink>
          </w:p>
        </w:tc>
        <w:tc>
          <w:tcPr>
            <w:tcW w:w="7140" w:type="dxa"/>
            <w:vAlign w:val="bottom"/>
            <w:gridSpan w:val="12"/>
          </w:tcPr>
          <w:p>
            <w:pPr>
              <w:ind w:left="20"/>
              <w:spacing w:after="0"/>
              <w:rPr>
                <w:rFonts w:ascii="Arial" w:cs="Arial" w:eastAsia="Arial" w:hAnsi="Arial"/>
                <w:sz w:val="18"/>
                <w:szCs w:val="18"/>
                <w:color w:val="0000FF"/>
              </w:rPr>
            </w:pPr>
            <w:hyperlink w:anchor="page27">
              <w:r>
                <w:rPr>
                  <w:rFonts w:ascii="Arial" w:cs="Arial" w:eastAsia="Arial" w:hAnsi="Arial"/>
                  <w:sz w:val="18"/>
                  <w:szCs w:val="18"/>
                  <w:color w:val="0000FF"/>
                </w:rPr>
                <w:t>Certification by Chief Executive Officer.</w:t>
              </w:r>
            </w:hyperlink>
          </w:p>
        </w:tc>
        <w:tc>
          <w:tcPr>
            <w:tcW w:w="2180" w:type="dxa"/>
            <w:vAlign w:val="bottom"/>
            <w:gridSpan w:val="3"/>
          </w:tcPr>
          <w:p>
            <w:pPr>
              <w:jc w:val="center"/>
              <w:ind w:left="152"/>
              <w:spacing w:after="0"/>
              <w:rPr>
                <w:sz w:val="20"/>
                <w:szCs w:val="20"/>
                <w:color w:val="auto"/>
              </w:rPr>
            </w:pPr>
            <w:r>
              <w:rPr>
                <w:rFonts w:ascii="Arial" w:cs="Arial" w:eastAsia="Arial" w:hAnsi="Arial"/>
                <w:sz w:val="18"/>
                <w:szCs w:val="18"/>
                <w:color w:val="auto"/>
                <w:w w:val="94"/>
              </w:rPr>
              <w:t>Filed Electronically</w:t>
            </w: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32.2</w:t>
            </w:r>
          </w:p>
        </w:tc>
        <w:tc>
          <w:tcPr>
            <w:tcW w:w="96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Section 1350</w:t>
              </w:r>
            </w:hyperlink>
          </w:p>
        </w:tc>
        <w:tc>
          <w:tcPr>
            <w:tcW w:w="2920" w:type="dxa"/>
            <w:vAlign w:val="bottom"/>
            <w:tcBorders>
              <w:top w:val="single" w:sz="8" w:color="0000FF"/>
              <w:bottom w:val="single" w:sz="8" w:color="0000FF"/>
            </w:tcBorders>
            <w:gridSpan w:val="5"/>
          </w:tcPr>
          <w:p>
            <w:pPr>
              <w:ind w:left="20"/>
              <w:spacing w:after="0"/>
              <w:rPr>
                <w:rFonts w:ascii="Arial" w:cs="Arial" w:eastAsia="Arial" w:hAnsi="Arial"/>
                <w:sz w:val="18"/>
                <w:szCs w:val="18"/>
                <w:color w:val="0000FF"/>
                <w:w w:val="94"/>
              </w:rPr>
            </w:pPr>
            <w:hyperlink w:anchor="page28">
              <w:r>
                <w:rPr>
                  <w:rFonts w:ascii="Arial" w:cs="Arial" w:eastAsia="Arial" w:hAnsi="Arial"/>
                  <w:sz w:val="18"/>
                  <w:szCs w:val="18"/>
                  <w:color w:val="0000FF"/>
                  <w:w w:val="94"/>
                </w:rPr>
                <w:t>Certification by Chief Financial Officer.</w:t>
              </w:r>
            </w:hyperlink>
          </w:p>
        </w:tc>
        <w:tc>
          <w:tcPr>
            <w:tcW w:w="40" w:type="dxa"/>
            <w:vAlign w:val="bottom"/>
            <w:tcBorders>
              <w:top w:val="single" w:sz="8" w:color="0000FF"/>
            </w:tcBorders>
          </w:tcPr>
          <w:p>
            <w:pPr>
              <w:spacing w:after="0"/>
              <w:rPr>
                <w:sz w:val="21"/>
                <w:szCs w:val="21"/>
                <w:color w:val="auto"/>
              </w:rPr>
            </w:pPr>
          </w:p>
        </w:tc>
        <w:tc>
          <w:tcPr>
            <w:tcW w:w="4180" w:type="dxa"/>
            <w:vAlign w:val="bottom"/>
            <w:gridSpan w:val="6"/>
          </w:tcPr>
          <w:p>
            <w:pPr>
              <w:spacing w:after="0"/>
              <w:rPr>
                <w:sz w:val="21"/>
                <w:szCs w:val="21"/>
                <w:color w:val="auto"/>
              </w:rPr>
            </w:pPr>
          </w:p>
        </w:tc>
        <w:tc>
          <w:tcPr>
            <w:tcW w:w="2180" w:type="dxa"/>
            <w:vAlign w:val="bottom"/>
            <w:gridSpan w:val="3"/>
          </w:tcPr>
          <w:p>
            <w:pPr>
              <w:jc w:val="center"/>
              <w:ind w:left="152"/>
              <w:spacing w:after="0"/>
              <w:rPr>
                <w:sz w:val="20"/>
                <w:szCs w:val="20"/>
                <w:color w:val="auto"/>
              </w:rPr>
            </w:pPr>
            <w:r>
              <w:rPr>
                <w:rFonts w:ascii="Arial" w:cs="Arial" w:eastAsia="Arial" w:hAnsi="Arial"/>
                <w:sz w:val="18"/>
                <w:szCs w:val="18"/>
                <w:color w:val="auto"/>
                <w:w w:val="94"/>
              </w:rPr>
              <w:t>Filed Electronically</w:t>
            </w:r>
          </w:p>
        </w:tc>
      </w:tr>
      <w:tr>
        <w:trPr>
          <w:trHeight w:val="276"/>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101</w:t>
            </w:r>
          </w:p>
        </w:tc>
        <w:tc>
          <w:tcPr>
            <w:tcW w:w="8100" w:type="dxa"/>
            <w:vAlign w:val="bottom"/>
            <w:gridSpan w:val="13"/>
          </w:tcPr>
          <w:p>
            <w:pPr>
              <w:spacing w:after="0"/>
              <w:rPr>
                <w:sz w:val="20"/>
                <w:szCs w:val="20"/>
                <w:color w:val="auto"/>
              </w:rPr>
            </w:pPr>
            <w:r>
              <w:rPr>
                <w:rFonts w:ascii="Arial" w:cs="Arial" w:eastAsia="Arial" w:hAnsi="Arial"/>
                <w:sz w:val="18"/>
                <w:szCs w:val="18"/>
                <w:color w:val="auto"/>
              </w:rPr>
              <w:t>Financial statements from the Quarterly Report on Form 10-Q of Hawkins, Inc. for the period ended</w:t>
            </w:r>
          </w:p>
        </w:tc>
        <w:tc>
          <w:tcPr>
            <w:tcW w:w="2180" w:type="dxa"/>
            <w:vAlign w:val="bottom"/>
            <w:gridSpan w:val="3"/>
          </w:tcPr>
          <w:p>
            <w:pPr>
              <w:jc w:val="center"/>
              <w:ind w:left="152"/>
              <w:spacing w:after="0"/>
              <w:rPr>
                <w:sz w:val="20"/>
                <w:szCs w:val="20"/>
                <w:color w:val="auto"/>
              </w:rPr>
            </w:pPr>
            <w:r>
              <w:rPr>
                <w:rFonts w:ascii="Arial" w:cs="Arial" w:eastAsia="Arial" w:hAnsi="Arial"/>
                <w:sz w:val="18"/>
                <w:szCs w:val="18"/>
                <w:color w:val="auto"/>
                <w:w w:val="94"/>
              </w:rPr>
              <w:t>Filed Electronically</w:t>
            </w:r>
          </w:p>
        </w:tc>
      </w:tr>
      <w:tr>
        <w:trPr>
          <w:trHeight w:val="216"/>
        </w:trPr>
        <w:tc>
          <w:tcPr>
            <w:tcW w:w="860" w:type="dxa"/>
            <w:vAlign w:val="bottom"/>
          </w:tcPr>
          <w:p>
            <w:pPr>
              <w:spacing w:after="0"/>
              <w:rPr>
                <w:sz w:val="18"/>
                <w:szCs w:val="18"/>
                <w:color w:val="auto"/>
              </w:rPr>
            </w:pPr>
          </w:p>
        </w:tc>
        <w:tc>
          <w:tcPr>
            <w:tcW w:w="8100" w:type="dxa"/>
            <w:vAlign w:val="bottom"/>
            <w:gridSpan w:val="13"/>
          </w:tcPr>
          <w:p>
            <w:pPr>
              <w:spacing w:after="0"/>
              <w:rPr>
                <w:sz w:val="20"/>
                <w:szCs w:val="20"/>
                <w:color w:val="auto"/>
              </w:rPr>
            </w:pPr>
            <w:r>
              <w:rPr>
                <w:rFonts w:ascii="Arial" w:cs="Arial" w:eastAsia="Arial" w:hAnsi="Arial"/>
                <w:sz w:val="18"/>
                <w:szCs w:val="18"/>
                <w:color w:val="auto"/>
                <w:w w:val="98"/>
              </w:rPr>
              <w:t>December 30, 2018 filed with the SEC on February 6, 2019 formatted in Extensible Business Reporting</w:t>
            </w: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8100" w:type="dxa"/>
            <w:vAlign w:val="bottom"/>
            <w:gridSpan w:val="13"/>
          </w:tcPr>
          <w:p>
            <w:pPr>
              <w:spacing w:after="0"/>
              <w:rPr>
                <w:sz w:val="20"/>
                <w:szCs w:val="20"/>
                <w:color w:val="auto"/>
              </w:rPr>
            </w:pPr>
            <w:r>
              <w:rPr>
                <w:rFonts w:ascii="Arial" w:cs="Arial" w:eastAsia="Arial" w:hAnsi="Arial"/>
                <w:sz w:val="18"/>
                <w:szCs w:val="18"/>
                <w:color w:val="auto"/>
                <w:w w:val="93"/>
              </w:rPr>
              <w:t>Language (XBRL); (i) the Condensed Consolidated Balance Sheets at December 30, 2018 and April 1, 2018,</w:t>
            </w: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ind w:left="1120" w:hanging="261"/>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Condensed Consolidated Statements of Income for the three and nine months ended December 30,</w:t>
      </w:r>
    </w:p>
    <w:p>
      <w:pPr>
        <w:spacing w:after="0" w:line="9" w:lineRule="exact"/>
        <w:rPr>
          <w:rFonts w:ascii="Arial" w:cs="Arial" w:eastAsia="Arial" w:hAnsi="Arial"/>
          <w:sz w:val="18"/>
          <w:szCs w:val="18"/>
          <w:color w:val="auto"/>
        </w:rPr>
      </w:pPr>
    </w:p>
    <w:p>
      <w:pPr>
        <w:ind w:left="860" w:right="2560"/>
        <w:spacing w:after="0" w:line="254" w:lineRule="auto"/>
        <w:rPr>
          <w:rFonts w:ascii="Arial" w:cs="Arial" w:eastAsia="Arial" w:hAnsi="Arial"/>
          <w:sz w:val="18"/>
          <w:szCs w:val="18"/>
          <w:color w:val="auto"/>
        </w:rPr>
      </w:pPr>
      <w:r>
        <w:rPr>
          <w:rFonts w:ascii="Arial" w:cs="Arial" w:eastAsia="Arial" w:hAnsi="Arial"/>
          <w:sz w:val="18"/>
          <w:szCs w:val="18"/>
          <w:color w:val="auto"/>
        </w:rPr>
        <w:t>2018 and December 31, 2017, (iii) the Condensed Consolidated Statements of Comprehensive Income for the three and nine months ended December 30, 2018 and December 31, 2017, (iv) the Condensed Consolidated Statements of Cash Flows for the nine months ended December 30, 2018 and December 31, 2017, and (v) Notes to Condensed Consolidated Financial Statements.</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40" w:hanging="316"/>
        <w:spacing w:after="0" w:line="258"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Quarterly Report on Form 10-Q for the period ended June 30, 2010, filed on July 29, 2010 (File no. 000-07647).</w:t>
      </w:r>
    </w:p>
    <w:p>
      <w:pPr>
        <w:spacing w:after="0" w:line="1"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dated October 28, 2009 and filed November 3, 2009 (File no. 000-07647).</w:t>
      </w:r>
    </w:p>
    <w:p>
      <w:pPr>
        <w:ind w:left="540" w:hanging="316"/>
        <w:spacing w:after="0"/>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Incorporated by reference to Exhibit 99.1 to the Company’s Registration Statement on Form S-8 filed November 2, 2018 (File no. 333-228128).</w:t>
      </w:r>
    </w:p>
    <w:p>
      <w:pPr>
        <w:spacing w:after="0" w:line="20" w:lineRule="exact"/>
        <w:rPr>
          <w:rFonts w:ascii="Arial" w:cs="Arial" w:eastAsia="Arial" w:hAnsi="Arial"/>
          <w:sz w:val="17"/>
          <w:szCs w:val="17"/>
          <w:color w:val="auto"/>
        </w:rPr>
      </w:pPr>
    </w:p>
    <w:p>
      <w:pPr>
        <w:ind w:left="540" w:hanging="316"/>
        <w:spacing w:after="0"/>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Registration Statement on Form 8-K filed December 3, 2018 (File no. 000-07647).</w:t>
      </w: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584" w:right="339" w:bottom="1440" w:gutter="0" w:footer="0" w:header="0"/>
        </w:sectPr>
      </w:pPr>
    </w:p>
    <w:bookmarkStart w:id="23" w:name="page24"/>
    <w:bookmarkEnd w:id="23"/>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6420"/>
        <w:spacing w:after="0"/>
        <w:tabs>
          <w:tab w:leader="none" w:pos="8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31750</wp:posOffset>
            </wp:positionV>
            <wp:extent cx="26930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Vice President, Chief Financial Officer, and Treasurer</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 behalf of the registrant and as principal financial and</w:t>
      </w:r>
    </w:p>
    <w:p>
      <w:pPr>
        <w:spacing w:after="0" w:line="23"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accounting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6, 2019</w:t>
      </w:r>
    </w:p>
    <w:p>
      <w:pPr>
        <w:sectPr>
          <w:pgSz w:w="11900" w:h="16838" w:orient="portrait"/>
          <w:cols w:equalWidth="0" w:num="1">
            <w:col w:w="11260"/>
          </w:cols>
          <w:pgMar w:left="240" w:top="580" w:right="39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0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6"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320"/>
        <w:spacing w:after="0" w:line="334"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680" w:hanging="320"/>
        <w:spacing w:after="0" w:line="334"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2019</w:t>
      </w:r>
    </w:p>
    <w:p>
      <w:pPr>
        <w:spacing w:after="0" w:line="360"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580"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Jeffrey P. Oldenkamp, certify that:</w:t>
      </w:r>
    </w:p>
    <w:p>
      <w:pPr>
        <w:spacing w:after="0" w:line="30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9"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00" w:hanging="644"/>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644"/>
        <w:spacing w:after="0" w:line="317"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644"/>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80" w:hanging="644"/>
        <w:spacing w:after="0" w:line="317"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60" w:hanging="644"/>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2019</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/s/ Jeffrey P. Oldenkamp</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580"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30, 2018,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6, 2019</w:t>
      </w:r>
    </w:p>
    <w:p>
      <w:pPr>
        <w:sectPr>
          <w:pgSz w:w="11900" w:h="16838" w:orient="portrait"/>
          <w:cols w:equalWidth="0" w:num="1">
            <w:col w:w="11420"/>
          </w:cols>
          <w:pgMar w:left="240" w:top="580"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30, 2018, as filed with the Securities and Exchange Commission on the date hereof (the Report), I, Jeffrey P. Oldenkamp, Chief Financial Officer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Jeffrey P. Oldenkamp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6,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decimal"/>
      <w:start w:val="1"/>
    </w:lvl>
    <w:lvl w:ilvl="1">
      <w:lvlJc w:val="left"/>
      <w:lvlText w:val="(%2)"/>
      <w:numFmt w:val="lowerRoman"/>
      <w:start w:val="2"/>
    </w:lvl>
  </w:abstractNum>
  <w:abstractNum w:abstractNumId="4">
    <w:nsid w:val="507ED7AB"/>
    <w:multiLevelType w:val="hybridMultilevel"/>
    <w:lvl w:ilvl="0">
      <w:lvlJc w:val="left"/>
      <w:lvlText w:val="(%1)"/>
      <w:numFmt w:val="decimal"/>
      <w:start w:val="1"/>
    </w:lvl>
    <w:lvl w:ilvl="1">
      <w:lvlJc w:val="left"/>
      <w:lvlText w:val="%2"/>
      <w:numFmt w:val="lowerRoman"/>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2" Type="http://schemas.openxmlformats.org/officeDocument/2006/relationships/image" Target="media/image11.png"/><Relationship Id="rId18" Type="http://schemas.openxmlformats.org/officeDocument/2006/relationships/hyperlink" Target="http://www.sec.gov/Archives/edgar/data/46250/000089710110001532/hawkins103608_ex3-1.htm" TargetMode="External"/><Relationship Id="rId19" Type="http://schemas.openxmlformats.org/officeDocument/2006/relationships/hyperlink" Target="http://www.sec.gov/Archives/edgar/data/46250/000089710109002205/hawkins095018_ex3-1.htm" TargetMode="External"/><Relationship Id="rId20" Type="http://schemas.openxmlformats.org/officeDocument/2006/relationships/hyperlink" Target="http://www.sec.gov/Archives/edgar/data/46250/000119312518316437/d643918dex991.htm" TargetMode="External"/><Relationship Id="rId21" Type="http://schemas.openxmlformats.org/officeDocument/2006/relationships/hyperlink" Target="http://www.sec.gov/Archives/edgar/data/46250/000119312518341125/d65677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2019-12-28T16:50:39Z</dcterms:created>
  <dcterms:modified xsi:type="dcterms:W3CDTF">2019-12-28T16:50:39Z</dcterms:modified>
</cp:coreProperties>
</file>