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3" w:lineRule="exact"/>
        <w:rPr>
          <w:sz w:val="24"/>
          <w:szCs w:val="24"/>
          <w:color w:val="auto"/>
        </w:rPr>
      </w:pPr>
    </w:p>
    <w:p>
      <w:pPr>
        <w:ind w:left="600" w:right="340" w:hanging="592"/>
        <w:spacing w:after="0" w:line="256" w:lineRule="auto"/>
        <w:tabs>
          <w:tab w:leader="none" w:pos="6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2001</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00" w:right="320" w:hanging="592"/>
        <w:spacing w:after="0" w:line="256" w:lineRule="auto"/>
        <w:tabs>
          <w:tab w:leader="none" w:pos="6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40"/>
          </w:cols>
          <w:pgMar w:left="240" w:top="949" w:right="219" w:bottom="19" w:gutter="0" w:footer="0" w:header="0"/>
        </w:sectPr>
      </w:pPr>
    </w:p>
    <w:p>
      <w:pPr>
        <w:spacing w:after="0" w:line="199" w:lineRule="exact"/>
        <w:rPr>
          <w:sz w:val="24"/>
          <w:szCs w:val="24"/>
          <w:color w:val="auto"/>
        </w:rPr>
      </w:pPr>
    </w:p>
    <w:p>
      <w:pPr>
        <w:ind w:left="2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4"/>
          <w:szCs w:val="14"/>
          <w:b w:val="1"/>
          <w:bCs w:val="1"/>
          <w:color w:val="FFFFFF"/>
        </w:rPr>
        <w:t>.</w:t>
      </w:r>
    </w:p>
    <w:p>
      <w:pPr>
        <w:spacing w:after="0" w:line="222" w:lineRule="exact"/>
        <w:rPr>
          <w:sz w:val="24"/>
          <w:szCs w:val="24"/>
          <w:color w:val="auto"/>
        </w:rPr>
      </w:pPr>
    </w:p>
    <w:p>
      <w:pPr>
        <w:sectPr>
          <w:pgSz w:w="11900" w:h="16838" w:orient="portrait"/>
          <w:cols w:equalWidth="0" w:num="3">
            <w:col w:w="6220" w:space="720"/>
            <w:col w:w="1140" w:space="720"/>
            <w:col w:w="2640"/>
          </w:cols>
          <w:pgMar w:left="240" w:top="949" w:right="219" w:bottom="19"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0-7647</w:t>
      </w:r>
    </w:p>
    <w:p>
      <w:pPr>
        <w:sectPr>
          <w:pgSz w:w="11900" w:h="16838" w:orient="portrait"/>
          <w:cols w:equalWidth="0" w:num="1">
            <w:col w:w="11440"/>
          </w:cols>
          <w:pgMar w:left="240" w:top="949" w:right="219" w:bottom="19"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40"/>
          </w:cols>
          <w:pgMar w:left="240" w:top="949" w:right="219" w:bottom="19" w:gutter="0" w:footer="0" w:header="0"/>
          <w:type w:val="continuous"/>
        </w:sectPr>
      </w:pPr>
    </w:p>
    <w:p>
      <w:pPr>
        <w:spacing w:after="0" w:line="228" w:lineRule="exact"/>
        <w:rPr>
          <w:sz w:val="24"/>
          <w:szCs w:val="24"/>
          <w:color w:val="auto"/>
        </w:rPr>
      </w:pPr>
    </w:p>
    <w:p>
      <w:pPr>
        <w:ind w:left="224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incorporation of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20" w:space="720"/>
            <w:col w:w="4100"/>
          </w:cols>
          <w:pgMar w:left="240" w:top="949" w:right="219" w:bottom="19"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Zip Code</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(612) 331-6910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4"/>
          <w:szCs w:val="24"/>
          <w:color w:val="auto"/>
        </w:rPr>
      </w:pPr>
    </w:p>
    <w:p>
      <w:pPr>
        <w:ind w:right="50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2" w:lineRule="exact"/>
        <w:rPr>
          <w:sz w:val="24"/>
          <w:szCs w:val="24"/>
          <w:color w:val="auto"/>
        </w:rPr>
      </w:pPr>
    </w:p>
    <w:p>
      <w:pPr>
        <w:ind w:left="4800"/>
        <w:spacing w:after="0" w:line="207" w:lineRule="exact"/>
        <w:tabs>
          <w:tab w:leader="none" w:pos="5380" w:val="left"/>
          <w:tab w:leader="none" w:pos="5960" w:val="left"/>
          <w:tab w:leader="none" w:pos="652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o</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CLASS</w:t>
            </w:r>
          </w:p>
        </w:tc>
        <w:tc>
          <w:tcPr>
            <w:tcW w:w="5560" w:type="dxa"/>
            <w:vAlign w:val="bottom"/>
          </w:tcPr>
          <w:p>
            <w:pPr>
              <w:jc w:val="center"/>
              <w:spacing w:after="0"/>
              <w:rPr>
                <w:sz w:val="20"/>
                <w:szCs w:val="20"/>
                <w:color w:val="auto"/>
              </w:rPr>
            </w:pPr>
            <w:r>
              <w:rPr>
                <w:rFonts w:ascii="Arial" w:cs="Arial" w:eastAsia="Arial" w:hAnsi="Arial"/>
                <w:sz w:val="14"/>
                <w:szCs w:val="14"/>
                <w:b w:val="1"/>
                <w:bCs w:val="1"/>
                <w:color w:val="auto"/>
                <w:w w:val="99"/>
              </w:rPr>
              <w:t>OUTSTANDING AT February 8, 2002</w:t>
            </w:r>
          </w:p>
        </w:tc>
        <w:tc>
          <w:tcPr>
            <w:tcW w:w="20" w:type="dxa"/>
            <w:vAlign w:val="bottom"/>
          </w:tcPr>
          <w:p>
            <w:pPr>
              <w:spacing w:after="0"/>
              <w:rPr>
                <w:sz w:val="14"/>
                <w:szCs w:val="14"/>
                <w:color w:val="auto"/>
              </w:rPr>
            </w:pPr>
          </w:p>
        </w:tc>
      </w:tr>
      <w:tr>
        <w:trPr>
          <w:trHeight w:val="224"/>
        </w:trPr>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$.05 per share</w:t>
            </w:r>
          </w:p>
        </w:tc>
        <w:tc>
          <w:tcPr>
            <w:tcW w:w="300" w:type="dxa"/>
            <w:vAlign w:val="bottom"/>
          </w:tcPr>
          <w:p>
            <w:pPr>
              <w:spacing w:after="0"/>
              <w:rPr>
                <w:sz w:val="19"/>
                <w:szCs w:val="19"/>
                <w:color w:val="auto"/>
              </w:rPr>
            </w:pPr>
          </w:p>
        </w:tc>
        <w:tc>
          <w:tcPr>
            <w:tcW w:w="5560" w:type="dxa"/>
            <w:vAlign w:val="bottom"/>
            <w:tcBorders>
              <w:top w:val="single" w:sz="8" w:color="auto"/>
            </w:tcBorders>
          </w:tcPr>
          <w:p>
            <w:pPr>
              <w:jc w:val="right"/>
              <w:ind w:right="2299"/>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9"/>
                <w:szCs w:val="19"/>
                <w:color w:val="auto"/>
              </w:rPr>
            </w:pPr>
          </w:p>
        </w:tc>
      </w:tr>
      <w:tr>
        <w:trPr>
          <w:trHeight w:val="600"/>
        </w:trPr>
        <w:tc>
          <w:tcPr>
            <w:tcW w:w="5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55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86"/>
        </w:trPr>
        <w:tc>
          <w:tcPr>
            <w:tcW w:w="556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55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200" w:lineRule="exact"/>
        <w:rPr>
          <w:sz w:val="24"/>
          <w:szCs w:val="24"/>
          <w:color w:val="auto"/>
        </w:rPr>
      </w:pPr>
    </w:p>
    <w:p>
      <w:pPr>
        <w:spacing w:after="0" w:line="372" w:lineRule="exact"/>
        <w:rPr>
          <w:sz w:val="24"/>
          <w:szCs w:val="24"/>
          <w:color w:val="auto"/>
        </w:rPr>
      </w:pPr>
    </w:p>
    <w:p>
      <w:pPr>
        <w:ind w:left="20"/>
        <w:spacing w:after="0"/>
        <w:tabs>
          <w:tab w:leader="none" w:pos="1240" w:val="left"/>
        </w:tabs>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2">
        <w:r>
          <w:rPr>
            <w:rFonts w:ascii="Arial" w:cs="Arial" w:eastAsia="Arial" w:hAnsi="Arial"/>
            <w:sz w:val="18"/>
            <w:szCs w:val="18"/>
            <w:b w:val="1"/>
            <w:bCs w:val="1"/>
            <w:u w:val="single" w:color="auto"/>
            <w:color w:val="0000EE"/>
          </w:rPr>
          <w:t>FINANCIAL INFORMATION</w:t>
        </w:r>
      </w:hyperlink>
    </w:p>
    <w:p>
      <w:pPr>
        <w:spacing w:after="0" w:line="256" w:lineRule="exact"/>
        <w:rPr>
          <w:sz w:val="20"/>
          <w:szCs w:val="20"/>
          <w:color w:val="auto"/>
        </w:rPr>
      </w:pPr>
    </w:p>
    <w:p>
      <w:pPr>
        <w:ind w:left="20"/>
        <w:spacing w:after="0"/>
        <w:tabs>
          <w:tab w:leader="none" w:pos="124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Statements:</w:t>
        </w:r>
      </w:hyperlink>
    </w:p>
    <w:p>
      <w:pPr>
        <w:spacing w:after="0" w:line="252" w:lineRule="exact"/>
        <w:rPr>
          <w:sz w:val="20"/>
          <w:szCs w:val="20"/>
          <w:color w:val="auto"/>
        </w:rPr>
      </w:pPr>
    </w:p>
    <w:p>
      <w:pPr>
        <w:ind w:left="1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Balance Sheets — December 31, 2001 and September 30, 2001</w:t>
        </w:r>
      </w:hyperlink>
    </w:p>
    <w:p>
      <w:pPr>
        <w:spacing w:after="0" w:line="252" w:lineRule="exact"/>
        <w:rPr>
          <w:sz w:val="20"/>
          <w:szCs w:val="20"/>
          <w:color w:val="auto"/>
        </w:rPr>
      </w:pPr>
    </w:p>
    <w:p>
      <w:pPr>
        <w:ind w:left="12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Statements of Income — Three Months Ended December 31, 2001 and 2000</w:t>
        </w:r>
      </w:hyperlink>
    </w:p>
    <w:p>
      <w:pPr>
        <w:spacing w:after="0" w:line="252" w:lineRule="exact"/>
        <w:rPr>
          <w:sz w:val="20"/>
          <w:szCs w:val="20"/>
          <w:color w:val="auto"/>
        </w:rPr>
      </w:pPr>
    </w:p>
    <w:p>
      <w:pPr>
        <w:ind w:left="12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Statements of Cash Flows — Three Months Ended December 31, 2001 and 2000</w:t>
        </w:r>
      </w:hyperlink>
    </w:p>
    <w:p>
      <w:pPr>
        <w:sectPr>
          <w:pgSz w:w="11900" w:h="16838" w:orient="portrait"/>
          <w:cols w:equalWidth="0" w:num="1">
            <w:col w:w="11440"/>
          </w:cols>
          <w:pgMar w:left="240" w:top="949" w:right="219" w:bottom="1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18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Condensed Financial Statements</w:t>
              </w:r>
            </w:hyperlink>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4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2</w:t>
              </w:r>
            </w:hyperlink>
          </w:p>
        </w:tc>
        <w:tc>
          <w:tcPr>
            <w:tcW w:w="10180" w:type="dxa"/>
            <w:vAlign w:val="bottom"/>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Management’s Discussion and Analysis of Financial Condition and Results of Operations</w:t>
              </w:r>
            </w:hyperlink>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960" w:type="dxa"/>
            <w:vAlign w:val="bottom"/>
            <w:gridSpan w:val="2"/>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PART II</w:t>
              </w:r>
            </w:hyperlink>
          </w:p>
        </w:tc>
        <w:tc>
          <w:tcPr>
            <w:tcW w:w="640" w:type="dxa"/>
            <w:vAlign w:val="bottom"/>
          </w:tcPr>
          <w:p>
            <w:pPr>
              <w:spacing w:after="0"/>
              <w:rPr>
                <w:sz w:val="24"/>
                <w:szCs w:val="24"/>
                <w:color w:val="auto"/>
              </w:rPr>
            </w:pPr>
          </w:p>
        </w:tc>
        <w:tc>
          <w:tcPr>
            <w:tcW w:w="1018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OTHER INFORMATION</w:t>
              </w:r>
            </w:hyperlink>
          </w:p>
        </w:tc>
      </w:tr>
      <w:tr>
        <w:trPr>
          <w:trHeight w:val="439"/>
        </w:trPr>
        <w:tc>
          <w:tcPr>
            <w:tcW w:w="20" w:type="dxa"/>
            <w:vAlign w:val="bottom"/>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Item 1</w:t>
              </w:r>
            </w:hyperlink>
          </w:p>
        </w:tc>
        <w:tc>
          <w:tcPr>
            <w:tcW w:w="640" w:type="dxa"/>
            <w:vAlign w:val="bottom"/>
            <w:tcBorders>
              <w:bottom w:val="single" w:sz="8" w:color="0000EE"/>
            </w:tcBorders>
          </w:tcPr>
          <w:p>
            <w:pPr>
              <w:spacing w:after="0"/>
              <w:rPr>
                <w:sz w:val="24"/>
                <w:szCs w:val="24"/>
                <w:color w:val="auto"/>
              </w:rPr>
            </w:pPr>
          </w:p>
        </w:tc>
        <w:tc>
          <w:tcPr>
            <w:tcW w:w="134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Legal Proceedings</w:t>
              </w:r>
            </w:hyperlink>
          </w:p>
        </w:tc>
        <w:tc>
          <w:tcPr>
            <w:tcW w:w="540" w:type="dxa"/>
            <w:vAlign w:val="bottom"/>
            <w:tcBorders>
              <w:top w:val="single" w:sz="8" w:color="0000EE"/>
            </w:tcBorders>
          </w:tcPr>
          <w:p>
            <w:pPr>
              <w:spacing w:after="0"/>
              <w:rPr>
                <w:sz w:val="24"/>
                <w:szCs w:val="24"/>
                <w:color w:val="auto"/>
              </w:rPr>
            </w:pPr>
          </w:p>
        </w:tc>
        <w:tc>
          <w:tcPr>
            <w:tcW w:w="8300" w:type="dxa"/>
            <w:vAlign w:val="bottom"/>
            <w:gridSpan w:val="4"/>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240" w:type="dxa"/>
            <w:vAlign w:val="bottom"/>
            <w:gridSpan w:val="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Item 6</w:t>
              </w:r>
            </w:hyperlink>
          </w:p>
        </w:tc>
        <w:tc>
          <w:tcPr>
            <w:tcW w:w="1018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Exhibits and Reports on Form 8-K</w:t>
              </w:r>
            </w:hyperlink>
          </w:p>
        </w:tc>
      </w:tr>
      <w:tr>
        <w:trPr>
          <w:trHeight w:val="412"/>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00" w:type="dxa"/>
            <w:vAlign w:val="bottom"/>
            <w:tcBorders>
              <w:top w:val="single" w:sz="8" w:color="0000EE"/>
            </w:tcBorders>
            <w:gridSpan w:val="3"/>
          </w:tcPr>
          <w:p>
            <w:pPr>
              <w:spacing w:after="0"/>
              <w:rPr>
                <w:sz w:val="24"/>
                <w:szCs w:val="24"/>
                <w:color w:val="auto"/>
              </w:rPr>
            </w:pPr>
          </w:p>
        </w:tc>
        <w:tc>
          <w:tcPr>
            <w:tcW w:w="3960" w:type="dxa"/>
            <w:vAlign w:val="bottom"/>
            <w:gridSpan w:val="2"/>
          </w:tcPr>
          <w:p>
            <w:pPr>
              <w:jc w:val="right"/>
              <w:ind w:right="1960"/>
              <w:spacing w:after="0"/>
              <w:rPr>
                <w:sz w:val="20"/>
                <w:szCs w:val="20"/>
                <w:color w:val="auto"/>
              </w:rPr>
            </w:pPr>
            <w:r>
              <w:rPr>
                <w:rFonts w:ascii="Arial" w:cs="Arial" w:eastAsia="Arial" w:hAnsi="Arial"/>
                <w:sz w:val="18"/>
                <w:szCs w:val="18"/>
                <w:color w:val="auto"/>
              </w:rPr>
              <w:t>2</w:t>
            </w:r>
          </w:p>
        </w:tc>
        <w:tc>
          <w:tcPr>
            <w:tcW w:w="3720" w:type="dxa"/>
            <w:vAlign w:val="bottom"/>
          </w:tcPr>
          <w:p>
            <w:pPr>
              <w:spacing w:after="0"/>
              <w:rPr>
                <w:sz w:val="24"/>
                <w:szCs w:val="24"/>
                <w:color w:val="auto"/>
              </w:rPr>
            </w:pPr>
          </w:p>
        </w:tc>
      </w:tr>
      <w:tr>
        <w:trPr>
          <w:trHeight w:val="186"/>
        </w:trPr>
        <w:tc>
          <w:tcPr>
            <w:tcW w:w="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13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3460" w:type="dxa"/>
            <w:vAlign w:val="bottom"/>
            <w:tcBorders>
              <w:bottom w:val="single" w:sz="8" w:color="808080"/>
            </w:tcBorders>
          </w:tcPr>
          <w:p>
            <w:pPr>
              <w:spacing w:after="0"/>
              <w:rPr>
                <w:sz w:val="16"/>
                <w:szCs w:val="16"/>
                <w:color w:val="auto"/>
              </w:rPr>
            </w:pPr>
          </w:p>
        </w:tc>
        <w:tc>
          <w:tcPr>
            <w:tcW w:w="37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BALANCE SHEETS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8"/>
              </w:rPr>
              <w:t>DECEMBER 31, 2001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SEPTEMBER 30, 2001</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(DERIVED FROM AUDITED</w:t>
            </w: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2160" w:type="dxa"/>
            <w:vAlign w:val="bottom"/>
            <w:gridSpan w:val="4"/>
          </w:tcPr>
          <w:p>
            <w:pPr>
              <w:ind w:left="40"/>
              <w:spacing w:after="0"/>
              <w:rPr>
                <w:sz w:val="20"/>
                <w:szCs w:val="20"/>
                <w:color w:val="auto"/>
              </w:rPr>
            </w:pPr>
            <w:r>
              <w:rPr>
                <w:rFonts w:ascii="Arial" w:cs="Arial" w:eastAsia="Arial" w:hAnsi="Arial"/>
                <w:sz w:val="14"/>
                <w:szCs w:val="14"/>
                <w:b w:val="1"/>
                <w:bCs w:val="1"/>
                <w:color w:val="auto"/>
              </w:rPr>
              <w:t>FINANCIAL STATEMENTS)</w:t>
            </w:r>
          </w:p>
        </w:tc>
        <w:tc>
          <w:tcPr>
            <w:tcW w:w="0" w:type="dxa"/>
            <w:vAlign w:val="bottom"/>
          </w:tcPr>
          <w:p>
            <w:pPr>
              <w:spacing w:after="0"/>
              <w:rPr>
                <w:sz w:val="1"/>
                <w:szCs w:val="1"/>
                <w:color w:val="auto"/>
              </w:rPr>
            </w:pPr>
          </w:p>
        </w:tc>
      </w:tr>
      <w:tr>
        <w:trPr>
          <w:trHeight w:val="196"/>
        </w:trPr>
        <w:tc>
          <w:tcPr>
            <w:tcW w:w="65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1,465,820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1,118,856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available-for-sale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8,127,862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11,482,015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0"/>
              <w:spacing w:after="0"/>
              <w:rPr>
                <w:sz w:val="20"/>
                <w:szCs w:val="20"/>
                <w:color w:val="auto"/>
              </w:rPr>
            </w:pPr>
            <w:r>
              <w:rPr>
                <w:rFonts w:ascii="Arial" w:cs="Arial" w:eastAsia="Arial" w:hAnsi="Arial"/>
                <w:sz w:val="18"/>
                <w:szCs w:val="18"/>
                <w:color w:val="auto"/>
              </w:rPr>
              <w:t>Trade receivables-net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10,078,541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12,212,402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12,026,444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12,584,723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1,995,258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1,268,522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33,693,925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38,666,518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PROPERTY, PLANT AND EQUIPMENT-net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28,146,184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28,170,117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INTANGIBLE ASSETS-net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3,416,019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3,486,890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4,475,326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4,544,596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69,731,454</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74,868,121</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LIABILITIES AND SHAREHOLDERS’ EQUITY</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3,856,341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7,294,730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1,537,805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3,899,064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5,576,280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7,872,228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14,517,995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737,184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80" w:type="dxa"/>
            <w:vAlign w:val="bottom"/>
          </w:tcPr>
          <w:p>
            <w:pPr>
              <w:ind w:left="200"/>
              <w:spacing w:after="0" w:line="201" w:lineRule="exact"/>
              <w:rPr>
                <w:sz w:val="20"/>
                <w:szCs w:val="20"/>
                <w:color w:val="auto"/>
              </w:rPr>
            </w:pPr>
            <w:r>
              <w:rPr>
                <w:rFonts w:ascii="Arial" w:cs="Arial" w:eastAsia="Arial" w:hAnsi="Arial"/>
                <w:sz w:val="18"/>
                <w:szCs w:val="18"/>
                <w:color w:val="auto"/>
                <w:w w:val="97"/>
              </w:rPr>
              <w:t>Common stock, par value $.05 per share; issued and outstanding, 10,216,688 and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80"/>
              <w:spacing w:after="0"/>
              <w:rPr>
                <w:sz w:val="20"/>
                <w:szCs w:val="20"/>
                <w:color w:val="auto"/>
              </w:rPr>
            </w:pPr>
            <w:r>
              <w:rPr>
                <w:rFonts w:ascii="Arial" w:cs="Arial" w:eastAsia="Arial" w:hAnsi="Arial"/>
                <w:sz w:val="18"/>
                <w:szCs w:val="18"/>
                <w:color w:val="auto"/>
              </w:rPr>
              <w:t>10,248,788 shares, respectively</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510,834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512,439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37,747,492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37,866,092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3"/>
          </w:tcPr>
          <w:p>
            <w:pPr>
              <w:jc w:val="right"/>
              <w:ind w:right="180"/>
              <w:spacing w:after="0"/>
              <w:rPr>
                <w:sz w:val="20"/>
                <w:szCs w:val="20"/>
                <w:color w:val="auto"/>
              </w:rPr>
            </w:pPr>
            <w:r>
              <w:rPr>
                <w:rFonts w:ascii="Arial" w:cs="Arial" w:eastAsia="Arial" w:hAnsi="Arial"/>
                <w:sz w:val="18"/>
                <w:szCs w:val="18"/>
                <w:color w:val="auto"/>
              </w:rPr>
              <w:t>(142,182 )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(192,258 )</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22,387,160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20,898,141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60,503,304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59,084,414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69,731,454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74,868,121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6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1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08" w:right="219" w:bottom="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DECEMBER 31</w:t>
            </w:r>
          </w:p>
        </w:tc>
        <w:tc>
          <w:tcPr>
            <w:tcW w:w="20" w:type="dxa"/>
            <w:vAlign w:val="bottom"/>
          </w:tcPr>
          <w:p>
            <w:pPr>
              <w:spacing w:after="0"/>
              <w:rPr>
                <w:sz w:val="14"/>
                <w:szCs w:val="14"/>
                <w:color w:val="auto"/>
              </w:rPr>
            </w:pPr>
          </w:p>
        </w:tc>
      </w:tr>
      <w:tr>
        <w:trPr>
          <w:trHeight w:val="142"/>
        </w:trPr>
        <w:tc>
          <w:tcPr>
            <w:tcW w:w="49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674"/>
              <w:spacing w:after="0" w:line="142" w:lineRule="exact"/>
              <w:rPr>
                <w:sz w:val="20"/>
                <w:szCs w:val="20"/>
                <w:color w:val="auto"/>
              </w:rPr>
            </w:pPr>
            <w:r>
              <w:rPr>
                <w:rFonts w:ascii="Arial" w:cs="Arial" w:eastAsia="Arial" w:hAnsi="Arial"/>
                <w:sz w:val="14"/>
                <w:szCs w:val="14"/>
                <w:b w:val="1"/>
                <w:bCs w:val="1"/>
                <w:color w:val="auto"/>
              </w:rPr>
              <w:t>2001</w:t>
            </w: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71"/>
              <w:spacing w:after="0" w:line="142" w:lineRule="exact"/>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rPr>
              <w:t>(UNAUDITED)</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25,210,631</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24,256,916</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49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4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19,251,256</w:t>
            </w: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19,181,880</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9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5,959,375</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5,075,036</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49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3,510,094</w:t>
            </w: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3,120,902</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9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2,449,281</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1,954,134</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49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255,968</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49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(3,877 )</w:t>
            </w:r>
          </w:p>
        </w:tc>
        <w:tc>
          <w:tcPr>
            <w:tcW w:w="5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(5,724 )</w:t>
            </w:r>
          </w:p>
        </w:tc>
        <w:tc>
          <w:tcPr>
            <w:tcW w:w="20" w:type="dxa"/>
            <w:vAlign w:val="bottom"/>
          </w:tcPr>
          <w:p>
            <w:pPr>
              <w:spacing w:after="0"/>
              <w:rPr>
                <w:sz w:val="18"/>
                <w:szCs w:val="18"/>
                <w:color w:val="auto"/>
              </w:rPr>
            </w:pPr>
          </w:p>
        </w:tc>
      </w:tr>
      <w:tr>
        <w:trPr>
          <w:trHeight w:val="237"/>
        </w:trPr>
        <w:tc>
          <w:tcPr>
            <w:tcW w:w="49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2,572,604</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2,204,378</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49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952,000</w:t>
            </w: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864,000</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9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1,620,604</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1,340,378</w:t>
            </w: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980" w:type="dxa"/>
            <w:vAlign w:val="bottom"/>
            <w:tcBorders>
              <w:top w:val="single" w:sz="8" w:color="CCEEFF"/>
            </w:tcBorders>
          </w:tcPr>
          <w:p>
            <w:pPr>
              <w:spacing w:after="0"/>
              <w:rPr>
                <w:sz w:val="21"/>
                <w:szCs w:val="21"/>
                <w:color w:val="auto"/>
              </w:rPr>
            </w:pPr>
          </w:p>
        </w:tc>
        <w:tc>
          <w:tcPr>
            <w:tcW w:w="244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98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number of shares outstanding</w:t>
            </w:r>
          </w:p>
        </w:tc>
        <w:tc>
          <w:tcPr>
            <w:tcW w:w="2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10,222,145</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10,408,095</w:t>
            </w:r>
          </w:p>
        </w:tc>
        <w:tc>
          <w:tcPr>
            <w:tcW w:w="18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98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9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basic and diluted</w:t>
            </w:r>
          </w:p>
        </w:tc>
        <w:tc>
          <w:tcPr>
            <w:tcW w:w="2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595"/>
        </w:trPr>
        <w:tc>
          <w:tcPr>
            <w:tcW w:w="4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24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797"/>
        </w:trPr>
        <w:tc>
          <w:tcPr>
            <w:tcW w:w="4980" w:type="dxa"/>
            <w:vAlign w:val="bottom"/>
          </w:tcPr>
          <w:p>
            <w:pPr>
              <w:spacing w:after="0"/>
              <w:rPr>
                <w:sz w:val="24"/>
                <w:szCs w:val="24"/>
                <w:color w:val="auto"/>
              </w:rPr>
            </w:pPr>
          </w:p>
        </w:tc>
        <w:tc>
          <w:tcPr>
            <w:tcW w:w="2440" w:type="dxa"/>
            <w:vAlign w:val="bottom"/>
          </w:tcPr>
          <w:p>
            <w:pPr>
              <w:jc w:val="right"/>
              <w:ind w:right="157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4980" w:type="dxa"/>
            <w:vAlign w:val="bottom"/>
            <w:tcBorders>
              <w:bottom w:val="single" w:sz="8" w:color="808080"/>
            </w:tcBorders>
          </w:tcPr>
          <w:p>
            <w:pPr>
              <w:spacing w:after="0"/>
              <w:rPr>
                <w:sz w:val="16"/>
                <w:szCs w:val="16"/>
                <w:color w:val="auto"/>
              </w:rPr>
            </w:pPr>
          </w:p>
        </w:tc>
        <w:tc>
          <w:tcPr>
            <w:tcW w:w="244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150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12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THREE MONTHS ENDED DECEMBER 31</w:t>
            </w:r>
          </w:p>
        </w:tc>
      </w:tr>
      <w:tr>
        <w:trPr>
          <w:trHeight w:val="142"/>
        </w:trPr>
        <w:tc>
          <w:tcPr>
            <w:tcW w:w="74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653"/>
              <w:spacing w:after="0" w:line="142" w:lineRule="exact"/>
              <w:rPr>
                <w:sz w:val="20"/>
                <w:szCs w:val="20"/>
                <w:color w:val="auto"/>
              </w:rPr>
            </w:pPr>
            <w:r>
              <w:rPr>
                <w:rFonts w:ascii="Arial" w:cs="Arial" w:eastAsia="Arial" w:hAnsi="Arial"/>
                <w:sz w:val="14"/>
                <w:szCs w:val="14"/>
                <w:b w:val="1"/>
                <w:bCs w:val="1"/>
                <w:color w:val="auto"/>
              </w:rPr>
              <w:t>2001</w:t>
            </w: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2"/>
                <w:szCs w:val="12"/>
                <w:color w:val="auto"/>
              </w:rPr>
            </w:pPr>
          </w:p>
        </w:tc>
      </w:tr>
      <w:tr>
        <w:trPr>
          <w:trHeight w:val="142"/>
        </w:trPr>
        <w:tc>
          <w:tcPr>
            <w:tcW w:w="7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40" w:type="dxa"/>
            <w:vAlign w:val="bottom"/>
            <w:gridSpan w:val="3"/>
          </w:tcPr>
          <w:p>
            <w:pPr>
              <w:jc w:val="center"/>
              <w:ind w:left="833"/>
              <w:spacing w:after="0" w:line="142" w:lineRule="exact"/>
              <w:rPr>
                <w:sz w:val="20"/>
                <w:szCs w:val="20"/>
                <w:color w:val="auto"/>
              </w:rPr>
            </w:pPr>
            <w:r>
              <w:rPr>
                <w:rFonts w:ascii="Arial" w:cs="Arial" w:eastAsia="Arial" w:hAnsi="Arial"/>
                <w:sz w:val="14"/>
                <w:szCs w:val="14"/>
                <w:b w:val="1"/>
                <w:bCs w:val="1"/>
                <w:color w:val="auto"/>
              </w:rPr>
              <w:t>(UNAUDITED)</w:t>
            </w: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1,620,604</w:t>
            </w:r>
          </w:p>
        </w:tc>
        <w:tc>
          <w:tcPr>
            <w:tcW w:w="2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1,340,378</w:t>
            </w:r>
          </w:p>
        </w:tc>
        <w:tc>
          <w:tcPr>
            <w:tcW w:w="200" w:type="dxa"/>
            <w:vAlign w:val="bottom"/>
          </w:tcPr>
          <w:p>
            <w:pPr>
              <w:spacing w:after="0"/>
              <w:rPr>
                <w:sz w:val="18"/>
                <w:szCs w:val="18"/>
                <w:color w:val="auto"/>
              </w:rPr>
            </w:pPr>
          </w:p>
        </w:tc>
      </w:tr>
      <w:tr>
        <w:trPr>
          <w:trHeight w:val="216"/>
        </w:trPr>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726,529</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588,893</w:t>
            </w:r>
          </w:p>
        </w:tc>
        <w:tc>
          <w:tcPr>
            <w:tcW w:w="200" w:type="dxa"/>
            <w:vAlign w:val="bottom"/>
            <w:shd w:val="clear" w:color="auto" w:fill="CCEEFF"/>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191,648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tcPr>
          <w:p>
            <w:pPr>
              <w:spacing w:after="0"/>
              <w:rPr>
                <w:sz w:val="18"/>
                <w:szCs w:val="18"/>
                <w:color w:val="auto"/>
              </w:rPr>
            </w:pPr>
          </w:p>
        </w:tc>
      </w:tr>
      <w:tr>
        <w:trPr>
          <w:trHeight w:val="216"/>
        </w:trPr>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receivables</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2,133,861</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200" w:type="dxa"/>
            <w:vAlign w:val="bottom"/>
            <w:shd w:val="clear" w:color="auto" w:fill="CCEEFF"/>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558,279</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126,659</w:t>
            </w:r>
          </w:p>
        </w:tc>
        <w:tc>
          <w:tcPr>
            <w:tcW w:w="200" w:type="dxa"/>
            <w:vAlign w:val="bottom"/>
          </w:tcPr>
          <w:p>
            <w:pPr>
              <w:spacing w:after="0"/>
              <w:rPr>
                <w:sz w:val="18"/>
                <w:szCs w:val="18"/>
                <w:color w:val="auto"/>
              </w:rPr>
            </w:pPr>
          </w:p>
        </w:tc>
      </w:tr>
      <w:tr>
        <w:trPr>
          <w:trHeight w:val="216"/>
        </w:trPr>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(3,438,389 )</w:t>
            </w: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631,911</w:t>
            </w:r>
          </w:p>
        </w:tc>
        <w:tc>
          <w:tcPr>
            <w:tcW w:w="200" w:type="dxa"/>
            <w:vAlign w:val="bottom"/>
            <w:shd w:val="clear" w:color="auto" w:fill="CCEEFF"/>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(1,706,499 )</w:t>
            </w:r>
          </w:p>
        </w:tc>
        <w:tc>
          <w:tcPr>
            <w:tcW w:w="5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(1,392,482 )</w:t>
            </w:r>
          </w:p>
        </w:tc>
      </w:tr>
      <w:tr>
        <w:trPr>
          <w:trHeight w:val="216"/>
        </w:trPr>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(746,597 )</w:t>
            </w: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472,534</w:t>
            </w:r>
          </w:p>
        </w:tc>
        <w:tc>
          <w:tcPr>
            <w:tcW w:w="200" w:type="dxa"/>
            <w:vAlign w:val="bottom"/>
            <w:shd w:val="clear" w:color="auto" w:fill="CCEEFF"/>
          </w:tcPr>
          <w:p>
            <w:pPr>
              <w:spacing w:after="0"/>
              <w:rPr>
                <w:sz w:val="18"/>
                <w:szCs w:val="18"/>
                <w:color w:val="auto"/>
              </w:rPr>
            </w:pPr>
          </w:p>
        </w:tc>
      </w:tr>
      <w:tr>
        <w:trPr>
          <w:trHeight w:val="237"/>
        </w:trPr>
        <w:tc>
          <w:tcPr>
            <w:tcW w:w="74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(660,564 )</w:t>
            </w: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1,811,441</w:t>
            </w:r>
          </w:p>
        </w:tc>
        <w:tc>
          <w:tcPr>
            <w:tcW w:w="200" w:type="dxa"/>
            <w:vAlign w:val="bottom"/>
            <w:shd w:val="clear" w:color="auto" w:fill="CCEEFF"/>
          </w:tcPr>
          <w:p>
            <w:pPr>
              <w:spacing w:after="0"/>
              <w:rPr>
                <w:sz w:val="18"/>
                <w:szCs w:val="18"/>
                <w:color w:val="auto"/>
              </w:rPr>
            </w:pPr>
          </w:p>
        </w:tc>
      </w:tr>
      <w:tr>
        <w:trPr>
          <w:trHeight w:val="243"/>
        </w:trPr>
        <w:tc>
          <w:tcPr>
            <w:tcW w:w="7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(631,725 )</w:t>
            </w:r>
          </w:p>
        </w:tc>
        <w:tc>
          <w:tcPr>
            <w:tcW w:w="5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(2,011,065 )</w:t>
            </w:r>
          </w:p>
        </w:tc>
      </w:tr>
      <w:tr>
        <w:trPr>
          <w:trHeight w:val="216"/>
        </w:trPr>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investments</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(51,103 )</w:t>
            </w:r>
          </w:p>
        </w:tc>
        <w:tc>
          <w:tcPr>
            <w:tcW w:w="5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(144,363 )</w:t>
            </w:r>
          </w:p>
        </w:tc>
      </w:tr>
      <w:tr>
        <w:trPr>
          <w:trHeight w:val="216"/>
        </w:trPr>
        <w:tc>
          <w:tcPr>
            <w:tcW w:w="7460" w:type="dxa"/>
            <w:vAlign w:val="bottom"/>
          </w:tcPr>
          <w:p>
            <w:pPr>
              <w:ind w:left="200"/>
              <w:spacing w:after="0"/>
              <w:rPr>
                <w:sz w:val="20"/>
                <w:szCs w:val="20"/>
                <w:color w:val="auto"/>
              </w:rPr>
            </w:pPr>
            <w:r>
              <w:rPr>
                <w:rFonts w:ascii="Arial" w:cs="Arial" w:eastAsia="Arial" w:hAnsi="Arial"/>
                <w:sz w:val="18"/>
                <w:szCs w:val="18"/>
                <w:color w:val="auto"/>
              </w:rPr>
              <w:t>Sale of investments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3,500,000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received on notes receivable</w:t>
            </w:r>
          </w:p>
        </w:tc>
        <w:tc>
          <w:tcPr>
            <w:tcW w:w="3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89,131</w:t>
            </w: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74,954</w:t>
            </w:r>
          </w:p>
        </w:tc>
        <w:tc>
          <w:tcPr>
            <w:tcW w:w="200" w:type="dxa"/>
            <w:vAlign w:val="bottom"/>
            <w:shd w:val="clear" w:color="auto" w:fill="CCEEFF"/>
          </w:tcPr>
          <w:p>
            <w:pPr>
              <w:spacing w:after="0"/>
              <w:rPr>
                <w:sz w:val="18"/>
                <w:szCs w:val="18"/>
                <w:color w:val="auto"/>
              </w:rPr>
            </w:pPr>
          </w:p>
        </w:tc>
      </w:tr>
      <w:tr>
        <w:trPr>
          <w:trHeight w:val="237"/>
        </w:trPr>
        <w:tc>
          <w:tcPr>
            <w:tcW w:w="7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2,906,303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(2,080,474 )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0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Cash dividends paid</w:t>
            </w:r>
          </w:p>
        </w:tc>
        <w:tc>
          <w:tcPr>
            <w:tcW w:w="1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(1,537,805 )</w:t>
            </w:r>
          </w:p>
        </w:tc>
        <w:tc>
          <w:tcPr>
            <w:tcW w:w="5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(1,566,036 )</w:t>
            </w:r>
          </w:p>
        </w:tc>
        <w:tc>
          <w:tcPr>
            <w:tcW w:w="20" w:type="dxa"/>
            <w:vAlign w:val="bottom"/>
          </w:tcPr>
          <w:p>
            <w:pPr>
              <w:spacing w:after="0"/>
              <w:rPr>
                <w:sz w:val="18"/>
                <w:szCs w:val="18"/>
                <w:color w:val="auto"/>
              </w:rPr>
            </w:pPr>
          </w:p>
        </w:tc>
      </w:tr>
      <w:tr>
        <w:trPr>
          <w:trHeight w:val="216"/>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and retirement of stock</w:t>
            </w:r>
          </w:p>
        </w:tc>
        <w:tc>
          <w:tcPr>
            <w:tcW w:w="1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(251,790 )</w:t>
            </w: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(248,651 )</w:t>
            </w:r>
          </w:p>
        </w:tc>
        <w:tc>
          <w:tcPr>
            <w:tcW w:w="20" w:type="dxa"/>
            <w:vAlign w:val="bottom"/>
          </w:tcPr>
          <w:p>
            <w:pPr>
              <w:spacing w:after="0"/>
              <w:rPr>
                <w:sz w:val="18"/>
                <w:szCs w:val="18"/>
                <w:color w:val="auto"/>
              </w:rPr>
            </w:pP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Debt repayment</w:t>
            </w:r>
          </w:p>
        </w:tc>
        <w:tc>
          <w:tcPr>
            <w:tcW w:w="1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(109,180 )</w:t>
            </w:r>
          </w:p>
        </w:tc>
        <w:tc>
          <w:tcPr>
            <w:tcW w:w="5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(102,037 )</w:t>
            </w:r>
          </w:p>
        </w:tc>
        <w:tc>
          <w:tcPr>
            <w:tcW w:w="20" w:type="dxa"/>
            <w:vAlign w:val="bottom"/>
          </w:tcPr>
          <w:p>
            <w:pPr>
              <w:spacing w:after="0"/>
              <w:rPr>
                <w:sz w:val="18"/>
                <w:szCs w:val="18"/>
                <w:color w:val="auto"/>
              </w:rPr>
            </w:pPr>
          </w:p>
        </w:tc>
      </w:tr>
      <w:tr>
        <w:trPr>
          <w:trHeight w:val="237"/>
        </w:trPr>
        <w:tc>
          <w:tcPr>
            <w:tcW w:w="5520" w:type="dxa"/>
            <w:vAlign w:val="bottom"/>
            <w:tcBorders>
              <w:top w:val="single" w:sz="8" w:color="CCEEFF"/>
            </w:tcBorders>
            <w:shd w:val="clear" w:color="auto" w:fill="CCEEFF"/>
          </w:tcPr>
          <w:p>
            <w:pPr>
              <w:spacing w:after="0"/>
              <w:rPr>
                <w:sz w:val="20"/>
                <w:szCs w:val="20"/>
                <w:color w:val="auto"/>
              </w:rPr>
            </w:pPr>
          </w:p>
        </w:tc>
        <w:tc>
          <w:tcPr>
            <w:tcW w:w="194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52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1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(1,898,775 )</w:t>
            </w:r>
          </w:p>
        </w:tc>
        <w:tc>
          <w:tcPr>
            <w:tcW w:w="5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(1,916,724 )</w:t>
            </w:r>
          </w:p>
        </w:tc>
        <w:tc>
          <w:tcPr>
            <w:tcW w:w="20" w:type="dxa"/>
            <w:vAlign w:val="bottom"/>
          </w:tcPr>
          <w:p>
            <w:pPr>
              <w:spacing w:after="0"/>
              <w:rPr>
                <w:sz w:val="18"/>
                <w:szCs w:val="18"/>
                <w:color w:val="auto"/>
              </w:rPr>
            </w:pPr>
          </w:p>
        </w:tc>
      </w:tr>
      <w:tr>
        <w:trPr>
          <w:trHeight w:val="237"/>
        </w:trPr>
        <w:tc>
          <w:tcPr>
            <w:tcW w:w="5520" w:type="dxa"/>
            <w:vAlign w:val="bottom"/>
            <w:tcBorders>
              <w:top w:val="single" w:sz="8" w:color="CCEEFF"/>
            </w:tcBorders>
            <w:shd w:val="clear" w:color="auto" w:fill="CCEEFF"/>
          </w:tcPr>
          <w:p>
            <w:pPr>
              <w:spacing w:after="0"/>
              <w:rPr>
                <w:sz w:val="20"/>
                <w:szCs w:val="20"/>
                <w:color w:val="auto"/>
              </w:rPr>
            </w:pPr>
          </w:p>
        </w:tc>
        <w:tc>
          <w:tcPr>
            <w:tcW w:w="194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1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346,964</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(2,185,757 )</w:t>
            </w:r>
          </w:p>
        </w:tc>
        <w:tc>
          <w:tcPr>
            <w:tcW w:w="20" w:type="dxa"/>
            <w:vAlign w:val="bottom"/>
          </w:tcPr>
          <w:p>
            <w:pPr>
              <w:spacing w:after="0"/>
              <w:rPr>
                <w:sz w:val="18"/>
                <w:szCs w:val="18"/>
                <w:color w:val="auto"/>
              </w:rPr>
            </w:pPr>
          </w:p>
        </w:tc>
      </w:tr>
      <w:tr>
        <w:trPr>
          <w:trHeight w:val="243"/>
        </w:trPr>
        <w:tc>
          <w:tcPr>
            <w:tcW w:w="55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9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1,118,856</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2,185,757</w:t>
            </w:r>
          </w:p>
        </w:tc>
        <w:tc>
          <w:tcPr>
            <w:tcW w:w="2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55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4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1,465,820</w:t>
            </w:r>
          </w:p>
        </w:tc>
        <w:tc>
          <w:tcPr>
            <w:tcW w:w="2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43"/>
        </w:trPr>
        <w:tc>
          <w:tcPr>
            <w:tcW w:w="552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5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SUPPLEMENTAL DISCLOSURES OF CASH FLOW INFORMATION:</w:t>
            </w:r>
          </w:p>
        </w:tc>
        <w:tc>
          <w:tcPr>
            <w:tcW w:w="1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55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2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17,653</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24,729</w:t>
            </w: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520" w:type="dxa"/>
            <w:vAlign w:val="bottom"/>
            <w:tcBorders>
              <w:top w:val="single" w:sz="8" w:color="CCEEFF"/>
            </w:tcBorders>
          </w:tcPr>
          <w:p>
            <w:pPr>
              <w:spacing w:after="0"/>
              <w:rPr>
                <w:sz w:val="21"/>
                <w:szCs w:val="21"/>
                <w:color w:val="auto"/>
              </w:rPr>
            </w:pPr>
          </w:p>
        </w:tc>
        <w:tc>
          <w:tcPr>
            <w:tcW w:w="1940" w:type="dxa"/>
            <w:vAlign w:val="bottom"/>
            <w:tcBorders>
              <w:top w:val="single" w:sz="8" w:color="CCEEFF"/>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2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457,500</w:t>
            </w: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608"/>
        </w:trPr>
        <w:tc>
          <w:tcPr>
            <w:tcW w:w="5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194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783"/>
        </w:trPr>
        <w:tc>
          <w:tcPr>
            <w:tcW w:w="5520" w:type="dxa"/>
            <w:vAlign w:val="bottom"/>
          </w:tcPr>
          <w:p>
            <w:pPr>
              <w:spacing w:after="0"/>
              <w:rPr>
                <w:sz w:val="24"/>
                <w:szCs w:val="24"/>
                <w:color w:val="auto"/>
              </w:rPr>
            </w:pPr>
          </w:p>
        </w:tc>
        <w:tc>
          <w:tcPr>
            <w:tcW w:w="1940" w:type="dxa"/>
            <w:vAlign w:val="bottom"/>
          </w:tcPr>
          <w:p>
            <w:pPr>
              <w:jc w:val="right"/>
              <w:ind w:right="161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5520" w:type="dxa"/>
            <w:vAlign w:val="bottom"/>
            <w:tcBorders>
              <w:bottom w:val="single" w:sz="8" w:color="808080"/>
            </w:tcBorders>
          </w:tcPr>
          <w:p>
            <w:pPr>
              <w:spacing w:after="0"/>
              <w:rPr>
                <w:sz w:val="17"/>
                <w:szCs w:val="17"/>
                <w:color w:val="auto"/>
              </w:rPr>
            </w:pPr>
          </w:p>
        </w:tc>
        <w:tc>
          <w:tcPr>
            <w:tcW w:w="194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12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12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70" w:lineRule="exact"/>
        <w:rPr>
          <w:sz w:val="20"/>
          <w:szCs w:val="20"/>
          <w:color w:val="auto"/>
        </w:rPr>
      </w:pPr>
    </w:p>
    <w:p>
      <w:pPr>
        <w:ind w:left="620" w:right="360" w:hanging="612"/>
        <w:spacing w:after="0" w:line="255"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September 30, 2001, previously filed with the Securities Exchange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200" w:lineRule="exact"/>
        <w:rPr>
          <w:rFonts w:ascii="Arial" w:cs="Arial" w:eastAsia="Arial" w:hAnsi="Arial"/>
          <w:sz w:val="18"/>
          <w:szCs w:val="18"/>
          <w:color w:val="auto"/>
        </w:rPr>
      </w:pPr>
    </w:p>
    <w:p>
      <w:pPr>
        <w:spacing w:after="0" w:line="380" w:lineRule="exact"/>
        <w:rPr>
          <w:rFonts w:ascii="Arial" w:cs="Arial" w:eastAsia="Arial" w:hAnsi="Arial"/>
          <w:sz w:val="18"/>
          <w:szCs w:val="18"/>
          <w:color w:val="auto"/>
        </w:rPr>
      </w:pPr>
    </w:p>
    <w:p>
      <w:pPr>
        <w:ind w:left="620" w:right="340"/>
        <w:spacing w:after="0" w:line="277" w:lineRule="auto"/>
        <w:rPr>
          <w:rFonts w:ascii="Arial" w:cs="Arial" w:eastAsia="Arial" w:hAnsi="Arial"/>
          <w:sz w:val="18"/>
          <w:szCs w:val="18"/>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year ended September 30, 2001 filed with the Commission on December 21, 2001.</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620" w:right="320" w:hanging="612"/>
        <w:spacing w:after="0" w:line="255"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December 2001, the Company’s Board of Directors approved a change in the Company’s fiscal year end to a 52/53-week year ending on the Sunday closest to March 31 from a 52/53-week fiscal year ending on the Sunday closest to September 30. The change in year-end will better match the Company’s annual reporting process to its natural business cycles. As a result of the changing fiscal year end, the Company will report its results of operations and financial condition for its interim quarter ended December 31, 2001 on Form 10-Q and for the six-month interim transitional period ending on March 31, 2002 on Form 10-K. In the future, the Company will report its results of operations and financial condition for the fiscal quarters ending June 30, September 30, and December 31 of each fiscal year, and for its fourth quarter and fiscal year ending on March 31.</w:t>
      </w:r>
    </w:p>
    <w:p>
      <w:pPr>
        <w:spacing w:after="0" w:line="200" w:lineRule="exact"/>
        <w:rPr>
          <w:rFonts w:ascii="Arial" w:cs="Arial" w:eastAsia="Arial" w:hAnsi="Arial"/>
          <w:sz w:val="18"/>
          <w:szCs w:val="18"/>
          <w:color w:val="auto"/>
        </w:rPr>
      </w:pPr>
    </w:p>
    <w:p>
      <w:pPr>
        <w:spacing w:after="0" w:line="380" w:lineRule="exact"/>
        <w:rPr>
          <w:rFonts w:ascii="Arial" w:cs="Arial" w:eastAsia="Arial" w:hAnsi="Arial"/>
          <w:sz w:val="18"/>
          <w:szCs w:val="18"/>
          <w:color w:val="auto"/>
        </w:rPr>
      </w:pPr>
    </w:p>
    <w:p>
      <w:pPr>
        <w:ind w:left="620" w:right="540" w:hanging="612"/>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operations for the period ended December 31, 2001 are not necessarily indicative of the results that may be expected for the six-month interim transitional period ending on March 31, 2002.</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620" w:right="620" w:hanging="612"/>
        <w:spacing w:after="0" w:line="264"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$2,000,000 at December 31, 2001. Inventory consists principally of finished goods. The Company expects that with its change to a March 31 year-end that it will significantly reduce the difference between the LIFO and FIFO inventory valuations.</w:t>
      </w:r>
    </w:p>
    <w:p>
      <w:pPr>
        <w:spacing w:after="0" w:line="200" w:lineRule="exact"/>
        <w:rPr>
          <w:rFonts w:ascii="Arial" w:cs="Arial" w:eastAsia="Arial" w:hAnsi="Arial"/>
          <w:sz w:val="18"/>
          <w:szCs w:val="18"/>
          <w:color w:val="auto"/>
        </w:rPr>
      </w:pPr>
    </w:p>
    <w:p>
      <w:pPr>
        <w:spacing w:after="0" w:line="372" w:lineRule="exact"/>
        <w:rPr>
          <w:rFonts w:ascii="Arial" w:cs="Arial" w:eastAsia="Arial" w:hAnsi="Arial"/>
          <w:sz w:val="18"/>
          <w:szCs w:val="18"/>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three months ended December 31, 2001, the Company acquired and retired 32,100 shares of common stock for $251,790.</w:t>
      </w:r>
    </w:p>
    <w:p>
      <w:pPr>
        <w:sectPr>
          <w:pgSz w:w="11900" w:h="16838" w:orient="portrait"/>
          <w:cols w:equalWidth="0" w:num="1">
            <w:col w:w="11440"/>
          </w:cols>
          <w:pgMar w:left="240" w:top="140"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20" w:hanging="612"/>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October 2, 2000, the Company adopted Statement of Financial Accounting Standard (SFAS) No. 133, “Accounting for Derivative</w:t>
      </w:r>
    </w:p>
    <w:p>
      <w:pPr>
        <w:sectPr>
          <w:pgSz w:w="11900" w:h="16838" w:orient="portrait"/>
          <w:cols w:equalWidth="0" w:num="1">
            <w:col w:w="11440"/>
          </w:cols>
          <w:pgMar w:left="240" w:top="140" w:right="219" w:bottom="0" w:gutter="0" w:footer="0" w:header="0"/>
          <w:type w:val="continuous"/>
        </w:sectPr>
      </w:pPr>
    </w:p>
    <w:bookmarkStart w:id="4" w:name="page5"/>
    <w:bookmarkEnd w:id="4"/>
    <w:p>
      <w:pPr>
        <w:spacing w:after="0" w:line="101" w:lineRule="exact"/>
        <w:rPr>
          <w:sz w:val="20"/>
          <w:szCs w:val="20"/>
          <w:color w:val="auto"/>
        </w:rPr>
      </w:pPr>
    </w:p>
    <w:p>
      <w:pPr>
        <w:ind w:left="620" w:right="360"/>
        <w:spacing w:after="0" w:line="254" w:lineRule="auto"/>
        <w:rPr>
          <w:sz w:val="20"/>
          <w:szCs w:val="20"/>
          <w:color w:val="auto"/>
        </w:rPr>
      </w:pPr>
      <w:r>
        <w:rPr>
          <w:rFonts w:ascii="Arial" w:cs="Arial" w:eastAsia="Arial" w:hAnsi="Arial"/>
          <w:sz w:val="18"/>
          <w:szCs w:val="18"/>
          <w:color w:val="auto"/>
        </w:rPr>
        <w:t>Instruments and Hedging Activities,” as amended by SFAS No. 138, “Accounting for Certain Derivative Instruments and Certain Hedging Activities.” SFAS No. 133 establishes accounting and reporting standards for derivative instruments and for hedging activities. It requires that all derivatives, including those embedded in other contracts, be recognized as either assets or liabilities and that those financial instruments be measured at fair value. The accounting for changes in the fair value of derivatives depends on their intended use and designation. Management has reviewed the requirements of SFAS No. 133 and has determined that they have no free-standing or embedded derivatives. All contracts that contain provisions meeting the definition of a derivative also meet the requirements of, and have been designated as, normal purchases and sales. The Company’s policy is to not use free-standing derivatives and to not enter into contracts with terms that cannot be designated as normal purchases or sales.</w:t>
      </w:r>
    </w:p>
    <w:p>
      <w:pPr>
        <w:spacing w:after="0" w:line="200" w:lineRule="exact"/>
        <w:rPr>
          <w:sz w:val="20"/>
          <w:szCs w:val="20"/>
          <w:color w:val="auto"/>
        </w:rPr>
      </w:pPr>
    </w:p>
    <w:p>
      <w:pPr>
        <w:spacing w:after="0" w:line="384" w:lineRule="exact"/>
        <w:rPr>
          <w:sz w:val="20"/>
          <w:szCs w:val="20"/>
          <w:color w:val="auto"/>
        </w:rPr>
      </w:pPr>
    </w:p>
    <w:p>
      <w:pPr>
        <w:ind w:left="620" w:right="280"/>
        <w:spacing w:after="0" w:line="273" w:lineRule="auto"/>
        <w:rPr>
          <w:sz w:val="20"/>
          <w:szCs w:val="20"/>
          <w:color w:val="auto"/>
        </w:rPr>
      </w:pPr>
      <w:r>
        <w:rPr>
          <w:rFonts w:ascii="Arial" w:cs="Arial" w:eastAsia="Arial" w:hAnsi="Arial"/>
          <w:sz w:val="17"/>
          <w:szCs w:val="17"/>
          <w:color w:val="auto"/>
        </w:rPr>
        <w:t>In July 2001, the Financial Accounting Standards Board (FASB) also issued SFAS No. 142, “Goodwill and Other Intangible Assets.” The Company will adopt the provisions of SFAS No. 142 for other intangibles and goodwill acquired before June 30, 2001 on the first day of fiscal 2003. Under SFAS No. 142, goodwill as well as other intangibles determined to have an infinite life will no longer be amortized; however, these assets will be reviewed for impairment on a periodic basis. The Company does not expect the implementation of SFAS No. 142 to materially impact the Company’s financial statements. As of December 31, 2001 the Company had net intangible assets of $3,416,019 and amortization expense during the three month period ended December 31, 2001 was approximately $71,000.</w:t>
      </w:r>
    </w:p>
    <w:p>
      <w:pPr>
        <w:spacing w:after="0" w:line="205" w:lineRule="exact"/>
        <w:rPr>
          <w:sz w:val="20"/>
          <w:szCs w:val="20"/>
          <w:color w:val="auto"/>
        </w:rPr>
      </w:pPr>
    </w:p>
    <w:p>
      <w:pPr>
        <w:ind w:left="620" w:right="480"/>
        <w:spacing w:after="0" w:line="277" w:lineRule="auto"/>
        <w:rPr>
          <w:sz w:val="20"/>
          <w:szCs w:val="20"/>
          <w:color w:val="auto"/>
        </w:rPr>
      </w:pPr>
      <w:r>
        <w:rPr>
          <w:rFonts w:ascii="Arial" w:cs="Arial" w:eastAsia="Arial" w:hAnsi="Arial"/>
          <w:sz w:val="18"/>
          <w:szCs w:val="18"/>
          <w:color w:val="auto"/>
        </w:rPr>
        <w:t>In August 2001, the FASB issued SFAS No. 143, “Accounting for Asset Retirement Obligations.” SFAS No. 143 requires entities to record the fair value of a liability for an asset retirement obligation in the period in which it is incurred. When the</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40" w:right="240"/>
        <w:spacing w:after="0" w:line="257" w:lineRule="auto"/>
        <w:rPr>
          <w:sz w:val="20"/>
          <w:szCs w:val="20"/>
          <w:color w:val="auto"/>
        </w:rPr>
      </w:pPr>
      <w:r>
        <w:rPr>
          <w:rFonts w:ascii="Arial" w:cs="Arial" w:eastAsia="Arial" w:hAnsi="Arial"/>
          <w:sz w:val="18"/>
          <w:szCs w:val="18"/>
          <w:color w:val="auto"/>
        </w:rPr>
        <w:t>liability is initially recorded, the entity capitalizes a cost by increasing the carrying amount of the related long-lived asset. Over time, the liability is accreted to its present value each period, and the capitalized cost is depreciated over the useful life of the related asset. Upon settlement of the liability, an entity either settles the obligation for its recorded amount or incurs a gain or loss upon settlement. SFAS No. 143 is effective for fiscal years beginning after June 15, 2002. The Company expects to adopt SFAS No. 143 in fiscal 2004. The Company has not yet determined the impact of SFAS No. 143 on its financial statements.</w:t>
      </w:r>
    </w:p>
    <w:p>
      <w:pPr>
        <w:spacing w:after="0" w:line="215" w:lineRule="exact"/>
        <w:rPr>
          <w:sz w:val="20"/>
          <w:szCs w:val="20"/>
          <w:color w:val="auto"/>
        </w:rPr>
      </w:pPr>
    </w:p>
    <w:p>
      <w:pPr>
        <w:ind w:left="640" w:right="260"/>
        <w:spacing w:after="0" w:line="253" w:lineRule="auto"/>
        <w:rPr>
          <w:sz w:val="20"/>
          <w:szCs w:val="20"/>
          <w:color w:val="auto"/>
        </w:rPr>
      </w:pPr>
      <w:r>
        <w:rPr>
          <w:rFonts w:ascii="Arial" w:cs="Arial" w:eastAsia="Arial" w:hAnsi="Arial"/>
          <w:sz w:val="18"/>
          <w:szCs w:val="18"/>
          <w:color w:val="auto"/>
        </w:rPr>
        <w:t>In September 2001, the FASB issued SFAS No. 144, “Accounting for the Impairment or Disposal of Long-Lived Assets.” SFAS No. 144 replaces SFAS No. 121, “Accounting for the Impairment of Long-Lived Assets and for Long-Lived Assets to Be Disposed Of.” The FASB issued SFAS No. 144 to establish a single accounting model, based on the framework established in SFAS No. 121, as SFAS No. 121 did not address the accounting for a segment of a business accounted for as a discontinued operation under Accounting Principle Board Opinion No. 30, “Reporting the Results of Operations-Reporting the Effects of Disposal of a Segment of a Business, and Extraordinary, Unusual and Infrequent Occurring Events and Transactions.” SFAS No. 144 also resolves significant implementation issues related to SFAS No. 121. The provisions of SFAS No. 144 are effective for financial statements issued for fiscal years beginning after December 15, 2001, and generally, are to be applied prospectively. The Company expects to adopt SFAS No. 144 in fiscal 2003. The Company has not yet determined the impact of SFAS No. 144 on its financial statements.</w:t>
      </w:r>
    </w:p>
    <w:p>
      <w:pPr>
        <w:spacing w:after="0" w:line="224" w:lineRule="exact"/>
        <w:rPr>
          <w:sz w:val="20"/>
          <w:szCs w:val="20"/>
          <w:color w:val="auto"/>
        </w:rPr>
      </w:pPr>
    </w:p>
    <w:p>
      <w:pPr>
        <w:ind w:left="640" w:right="300" w:hanging="632"/>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two reportable segments: Industrial and Water Treatment. Reportable segments are defined by product and type of customer. Segments are responsible for the sales, marketing and development of their products and services. The segments do not have separate accounting, administration, customer service or purchasing functions.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140" w:type="dxa"/>
            <w:vAlign w:val="bottom"/>
          </w:tcPr>
          <w:p>
            <w:pPr>
              <w:spacing w:after="0"/>
              <w:rPr>
                <w:sz w:val="14"/>
                <w:szCs w:val="14"/>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INDUSTRIAL</w:t>
            </w:r>
          </w:p>
        </w:tc>
        <w:tc>
          <w:tcPr>
            <w:tcW w:w="240" w:type="dxa"/>
            <w:vAlign w:val="bottom"/>
          </w:tcPr>
          <w:p>
            <w:pPr>
              <w:spacing w:after="0"/>
              <w:rPr>
                <w:sz w:val="14"/>
                <w:szCs w:val="14"/>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WATER</w:t>
            </w:r>
          </w:p>
        </w:tc>
        <w:tc>
          <w:tcPr>
            <w:tcW w:w="340" w:type="dxa"/>
            <w:vAlign w:val="bottom"/>
          </w:tcPr>
          <w:p>
            <w:pPr>
              <w:spacing w:after="0"/>
              <w:rPr>
                <w:sz w:val="14"/>
                <w:szCs w:val="14"/>
                <w:color w:val="auto"/>
              </w:rPr>
            </w:pPr>
          </w:p>
        </w:tc>
        <w:tc>
          <w:tcPr>
            <w:tcW w:w="16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TREATMENT</w:t>
            </w:r>
          </w:p>
        </w:tc>
        <w:tc>
          <w:tcPr>
            <w:tcW w:w="3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THREE MONTHS ENDED DECEMBER 31, 2001</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200"/>
              <w:spacing w:after="0"/>
              <w:rPr>
                <w:sz w:val="20"/>
                <w:szCs w:val="20"/>
                <w:color w:val="auto"/>
              </w:rPr>
            </w:pPr>
            <w:r>
              <w:rPr>
                <w:rFonts w:ascii="Arial" w:cs="Arial" w:eastAsia="Arial" w:hAnsi="Arial"/>
                <w:sz w:val="18"/>
                <w:szCs w:val="18"/>
                <w:color w:val="auto"/>
              </w:rPr>
              <w:t>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18,133,405</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7,077,226</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25,210,631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3,980,546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1,978,829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5,959,375</w:t>
            </w: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200"/>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1,392,476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1,056,805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2,449,281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THREE MONTHS ENDED DECEMBER 31, 2000</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17,770,403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6,486,513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24,256,916</w:t>
            </w: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200"/>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3,087,399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1,987,637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5,075,036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1,128,009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1,954,134</w:t>
            </w: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3"/>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ind w:right="1352"/>
              <w:spacing w:after="0"/>
              <w:rPr>
                <w:sz w:val="20"/>
                <w:szCs w:val="20"/>
                <w:color w:val="auto"/>
              </w:rPr>
            </w:pPr>
            <w:r>
              <w:rPr>
                <w:rFonts w:ascii="Arial" w:cs="Arial" w:eastAsia="Arial" w:hAnsi="Arial"/>
                <w:sz w:val="18"/>
                <w:szCs w:val="18"/>
                <w:color w:val="auto"/>
                <w:w w:val="99"/>
              </w:rPr>
              <w:t>7</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2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46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1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INFORMATION CONTAINED IN THIS FORM 10-Q INCLUDES FORWARD-LOOKING STATEMENTS AS DEFINED IN SECTION 21E OF THE SECURITIES EXCHANGE ACT OF 1934, AS AMENDED. FORWARD-LOOKING INFORMATION OR STATEMENTS INCLUDE STATEMENTS</w:t>
      </w:r>
    </w:p>
    <w:p>
      <w:pPr>
        <w:sectPr>
          <w:pgSz w:w="11900" w:h="16939" w:orient="portrait"/>
          <w:cols w:equalWidth="0" w:num="1">
            <w:col w:w="11440"/>
          </w:cols>
          <w:pgMar w:left="240" w:top="125" w:right="219" w:bottom="0" w:gutter="0" w:footer="0" w:header="0"/>
        </w:sectPr>
      </w:pPr>
    </w:p>
    <w:bookmarkStart w:id="5" w:name="page6"/>
    <w:bookmarkEnd w:id="5"/>
    <w:p>
      <w:pPr>
        <w:spacing w:after="0" w:line="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ABOUT THE FUTURE OF THE INDUSTRIES REPRESENTED BY OUR OPERATING GROUPS, STATEMENTS ABOUT OUR FUTURE BUSINESS PLANS AND STRATEGIES, THE TIMELINESS OF PRODUCT INTRODUCTIONS AND DELIVERIES, EXPECTATIONS ABOUT INDUSTRY AND MARKET GROWTH DEVELOPMENTS, EXPECTATIONS ABOUT OUR GROWTH AND PROFITABILITY AND OTHER STATEMENTS THAT ARE NOT HISTORICAL IN NATURE. MANY OF THESE STATEMENTS CONTAIN WORDS SUCH AS “MAY”, “WILL”, “BELIEVE”, “INTEND”, “ESTIMATE”, OR “CONTINUE” OR OTHER SIMILAR WORDS.</w:t>
      </w:r>
    </w:p>
    <w:p>
      <w:pPr>
        <w:spacing w:after="0" w:line="148"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THESE FORWARD-LOOKING STATEMENTS INVOLVE A NUMBER OF RISKS AND UNCERTAINTIES, INCLUDING DEMAND FROM MAJOR CUSTOMERS, COMPETITION, CHANGES IN PRODUCT OR CUSTOMER MIX OR REVENUES, CHANGES IN PRODUCT COSTS AND OPERATING EXPENSES AND OTHER FACTORS DISCLOSED THROUGHOUT THIS REPORT.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RESULTS OF OPERATIONS, AND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18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Sales increased $953,715, or 3.9%, in the three months ended December 31, 2001 as compared to the first quarter of fiscal 2001. The Industrial segment had an increase of $363,002 in the three months ended December 31, 2001 compared to the first quarter of fiscal 2001. This increase was mainly attributable to volume increases across several product lines. The Water Treatment segment had a sales increase of $590,713 in the three months ended December 31, 2001 as compared to the first quarter of fiscal 2001. This increase is due primarily to increased sales volumes, and to a lesser extent, selling price increases.</w:t>
      </w:r>
    </w:p>
    <w:p>
      <w:pPr>
        <w:spacing w:after="0" w:line="11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gross margin, as a percentage of sales, for the three months ended December 31, 2001 was 23.6% compared to 20.9% for the same period one year ago. For the Industrial segment, gross margin, as a percentage of sales, was 22.0% for the three months ended December 31, 2001 compared to 17.4% for the first quarter of fiscal 2001. This increase is mainly due to the reduction in the cost and selling price of caustic soda from last year to this year and the Company being on the LIFO method of valuing inventories. During the first quarter of fiscal 2001, caustic soda prices were rising but competitive conditions prevented raising selling prices to the replacement cost of the product. During the three-month period ended December 31, 2001, prices started a downward trend resulting in a positive impact on gross margin. The demand for this product does not fluctuate materially as the cost and selling price increases or decreases. Gross margin, as a percentage of sales, for the Water Treatment segment was 28.0% in the three months ended December 31, 2001 compared to 30.6% for the first quarter of fiscal 2001. The decrease is primarily attributable to additional costs associated with the new Red Rock facility in St. Paul, Minnesota.</w:t>
      </w:r>
    </w:p>
    <w:p>
      <w:pPr>
        <w:spacing w:after="0" w:line="13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Selling, general and administrative expenses, as a percentage of sales, were 13.9% for the three month period ended December 31, 2001 compared to 12.9% for the same period one year ago, representing an increase of $389,192 over the prior period. The increases were mainly due to increased employee compensation and benefits associated with the hiring of personnel within both the Industrial and Water Treatment segments and increased operating costs. Employee compensation and benefits comprise the majority of the selling, general and administrative expenditures. Most of the remaining expenses in this category are fixed in nature and vary only slightly with sales fluctuations.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Income from operations increased by $495,147 in the three month period ended December 31, 2001 compared to the first quarter of fiscal 2001. The increase is mainly due to the aforementioned reductions in caustic soda prices and to sales volume increases, partially offset by increased operating costs in both the cost of sales and the selling, general and administrative areas due to investments in infrastructure necessary to support the Company’s long-term strategic growth plans, including efforts to expand into new markets.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income decreased by $128,768 for the three-month period ended December 31, 2001, compared to the same period one year ago. The decrease is due to the Company having less cash available for investment and to a lower rate of return on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185"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For the three-month period ended December 31, 2001, cash used in operations was $660,564 compared to cash provided by operations of $1,811,441 for the same period one year ago. This decrease was due mainly to changes in certain current asset and liability accounts discussed in the paragraph below. During the three months ended December 31, 2001, the Company invested $631,725 in property and equipment additions, which included approximately $270,000 for miscellaneous projects at the new Red Rock facility in St. Paul, Minnesota, which opened during the first quarter of fiscal 2001.</w:t>
      </w:r>
    </w:p>
    <w:p>
      <w:pPr>
        <w:spacing w:after="0" w:line="11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Accounts payable decreased during the three-month period ended December 31, 2001 by $3,438,389. This trend is typical for the Company as inventories purchased in the prior quarter are paid for in the current quarter. Accounts receivable decreased due to the seasonality of sales. The Company did not issue any securities during the three month period ended December 31, 2001.</w:t>
      </w:r>
    </w:p>
    <w:p>
      <w:pPr>
        <w:spacing w:after="0" w:line="1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Through open market purchases, the Company acquired and retired 32,100 shares of common stock for an aggregate of $251,790 during the three-month period ended December 31, 2001.</w:t>
      </w:r>
    </w:p>
    <w:p>
      <w:pPr>
        <w:spacing w:after="0" w:line="130"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w:t>
      </w:r>
    </w:p>
    <w:p>
      <w:pPr>
        <w:ind w:right="120"/>
        <w:spacing w:after="0" w:line="261" w:lineRule="auto"/>
        <w:rPr>
          <w:sz w:val="20"/>
          <w:szCs w:val="20"/>
          <w:color w:val="auto"/>
        </w:rPr>
      </w:pPr>
      <w:r>
        <w:rPr>
          <w:rFonts w:ascii="Arial" w:cs="Arial" w:eastAsia="Arial" w:hAnsi="Arial"/>
          <w:sz w:val="18"/>
          <w:szCs w:val="18"/>
          <w:color w:val="auto"/>
        </w:rPr>
        <w:t>additional capital does arise, however, management is confident that the Company’s total debt to capital ratio puts it in a position to obtain debt financing on favorable terms.</w:t>
      </w:r>
    </w:p>
    <w:p>
      <w:pPr>
        <w:spacing w:after="0" w:line="14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w:t>
      </w:r>
    </w:p>
    <w:p>
      <w:pPr>
        <w:sectPr>
          <w:pgSz w:w="11900" w:h="16854" w:orient="portrait"/>
          <w:cols w:equalWidth="0" w:num="1">
            <w:col w:w="11400"/>
          </w:cols>
          <w:pgMar w:left="240" w:top="125" w:right="259" w:bottom="0" w:gutter="0" w:footer="0" w:header="0"/>
        </w:sectPr>
      </w:pPr>
    </w:p>
    <w:bookmarkStart w:id="6" w:name="page7"/>
    <w:bookmarkEnd w:id="6"/>
    <w:p>
      <w:pPr>
        <w:ind w:right="160"/>
        <w:spacing w:after="0" w:line="276" w:lineRule="auto"/>
        <w:rPr>
          <w:sz w:val="20"/>
          <w:szCs w:val="20"/>
          <w:color w:val="auto"/>
        </w:rPr>
      </w:pPr>
      <w:r>
        <w:rPr>
          <w:rFonts w:ascii="Arial" w:cs="Arial" w:eastAsia="Arial" w:hAnsi="Arial"/>
          <w:sz w:val="17"/>
          <w:szCs w:val="17"/>
          <w:color w:val="auto"/>
        </w:rPr>
        <w:t>the Company will continue to invest excess cash in conservative investments. Cash equivalents include all liquid debt instruments (primarily cash funds, certificates of deposit and a money market account) purchased with an original maturity of three months or less. Investments classified as available-for-sale securities consist of insurance contracts and variable rate marketable securities (primarily municipal bonds and annuity contracts) and mutual funds that will be held for indefinite periods of time, including securities that may be sold in response to changes in market interest or prepayment rates, needs for liquidity or changes in the availability or yield of alternative investments. These securities are carried at fair value.</w:t>
      </w:r>
    </w:p>
    <w:p>
      <w:pPr>
        <w:spacing w:after="0" w:line="13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Other than as discussed above, management is not aware of any matters that have materially affected the three months ended December 31, 2001, or are expected to materially affect future periods, nor is management aware of other matters not affecting this period that are expected to materially affect future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MARKET RISK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2001, the Company had an investment portfolio of fixed income securities of $1,504,564 and mutual funds of $2,294,156, excluding</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$7,963,155 of those classified as cash and cash equivalents and variable rate securities. The fixed income securities, like all fixed income instruments, are subject to interest rate risks and will decline in value if market interest rates increase. However, while the value of the investment may fluctuate in any given period, the Company intends to hold its fixed income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investments until maturity. Consequently, the Company would not expect to recognize an adverse impact on net income or cash flows or the amount ultimately realized on the investment. The value of the mutual funds, like all mutual funds, may increase or decrease due to market volatility. The Company intends to hold the mutual funds and does not anticipate a need to liquidate its investments and therefore would not expect a material adverse impact on net income or cash flows or the amount ultimately realized on the investment.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STANDARDS</w:t>
      </w:r>
    </w:p>
    <w:p>
      <w:pPr>
        <w:spacing w:after="0" w:line="19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July 2001, the FASB also issued SFAS No. 142, “Goodwill and Other Intangible Assets.” The Company will adopt the provisions of SFAS No. 142 for other intangibles and goodwill acquired before June 30, 2001on the first day of fiscal 2003. Under SFAS No. 142, goodwill as well as other intangibles determined to have an infinite life will no longer be amortized; however, these assets will be reviewed for impairment on a periodic basis. The Company does not expect the implementation of SFAS No. 142 to materially impact the Company’s financial statements. As of December 31, 2001 the Company had net intangible assets of $3,416,019 and amortization expense during the three-month period ended December 31, 2001 was approximately $71,000.</w:t>
      </w:r>
    </w:p>
    <w:p>
      <w:pPr>
        <w:spacing w:after="0" w:line="11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August 2001, the FASB issued SFAS No. 143, “Accounting for Asset Retirement Obligations.” SFAS No. 143 requires entities to record the fair value of a liability for an asset retirement obligation in the period in which it is incurred. When the liability is initially recorded, the entity capitalizes a cost by increasing the carrying amount of the related long-lived asset. Over time, the liability is accreted to its present value each period, and the capitalized cost is depreciated over the useful life of the related asset. Upon settlement of the liability, an entity either settles the obligation for its recorded amount or incurs a gain or loss upon settlement. SFAS No. 143 is effective for fiscal years beginning after June 15, 2002. The Company expects to adopt SFAS No. 143 in fiscal 2004. The Company has not yet determined the impact of SFAS No. 143 on its financial statements.</w:t>
      </w:r>
    </w:p>
    <w:p>
      <w:pPr>
        <w:spacing w:after="0" w:line="1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September 2001, the FASB issued SFAS No. 144, “Accounting for the Impairment or Disposal of Long-Lived Assets.” SFAS No. 144 replaces SFAS No. 121, “Accounting for the Impairment of Long-Lived Assets and for Long-Lived Assets to Be Disposed Of.” The FASB issued SFAS No. 144 to establish a single accounting model, based on the framework established in SFAS No. 121, as SFAS No. 121 did not address the accounting for a segment of a business accounted for as a discontinued operation under Accounting Principle Board Opinion No. 30, “Reporting the Results of Operations-Reporting the Effects of Disposal of a Segment of a Business, and Extraordinary, Unusual and Infrequent Occurring Events and Transactions.” SFAS No. 144 also resolves significant implementation issues related to SFAS No. 121. The provisions of SFAS No. 144 are effective for financial statements issued for fiscal years beginning after December 15, 2001, and generally, are to be applied prospectively. The Company expects to adopt SFAS No. 144 in fiscal 2003. The Company has not yet determined the impact of SFAS No. 144 on its financial statements.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the date of this filing, the Company was not involved in any pending legal proceedings other than ordinary routine litigation incidental to its business, except as follows:</w:t>
      </w:r>
    </w:p>
    <w:p>
      <w:pPr>
        <w:spacing w:after="0" w:line="130" w:lineRule="exact"/>
        <w:rPr>
          <w:sz w:val="20"/>
          <w:szCs w:val="20"/>
          <w:color w:val="auto"/>
        </w:rPr>
      </w:pPr>
    </w:p>
    <w:p>
      <w:pPr>
        <w:ind w:left="540" w:right="140"/>
        <w:spacing w:after="0" w:line="293" w:lineRule="auto"/>
        <w:rPr>
          <w:sz w:val="20"/>
          <w:szCs w:val="20"/>
          <w:color w:val="auto"/>
        </w:rPr>
      </w:pPr>
      <w:r>
        <w:rPr>
          <w:rFonts w:ascii="Arial" w:cs="Arial" w:eastAsia="Arial" w:hAnsi="Arial"/>
          <w:sz w:val="16"/>
          <w:szCs w:val="16"/>
          <w:color w:val="auto"/>
        </w:rPr>
        <w:t>LYNDE COMPANY WAREHOUSE FIRE. The settlement agreement (the “Settlement Agreement”) relating to the class action, DONNA M. COOKSEY, ET AL. V. HAWKINS CHEMICAL, INC. AND THE LYNDE COMPANY (“Cooksey”), brought in March 1995 against the Company and its former subsidiary, for damages alleged to be caused by a fire at an office/warehouse facility used by the former subsidiary, was approved by the court on January 30, 1998. Pursuant to the Settlement Agreement, the Company agreed to pay certain of the plaintiffs’ costs and expenses as well as certain compensation to the class. Three claimants remain who have not yet resolved their claims under the Settlement Agreement. The Company anticipates that the defense and payment of these remaining claims, which are subject to arbitration, will be covered by its umbrella insurer.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 and Reports on Form 8-K</w:t>
      </w:r>
    </w:p>
    <w:p>
      <w:pPr>
        <w:sectPr>
          <w:pgSz w:w="11900" w:h="16838" w:orient="portrait"/>
          <w:cols w:equalWidth="0" w:num="1">
            <w:col w:w="11420"/>
          </w:cols>
          <w:pgMar w:left="240" w:top="125" w:right="239" w:bottom="0" w:gutter="0" w:footer="0" w:header="0"/>
        </w:sectPr>
      </w:pPr>
    </w:p>
    <w:bookmarkStart w:id="7" w:name="page8"/>
    <w:bookmarkEnd w:id="7"/>
    <w:p>
      <w:pPr>
        <w:ind w:left="620" w:hanging="612"/>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184"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198"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185" w:lineRule="exact"/>
        <w:rPr>
          <w:sz w:val="20"/>
          <w:szCs w:val="20"/>
          <w:color w:val="auto"/>
        </w:rPr>
      </w:pPr>
    </w:p>
    <w:p>
      <w:pPr>
        <w:ind w:firstLine="585"/>
        <w:spacing w:after="0" w:line="277" w:lineRule="auto"/>
        <w:rPr>
          <w:sz w:val="20"/>
          <w:szCs w:val="20"/>
          <w:color w:val="auto"/>
        </w:rPr>
      </w:pPr>
      <w:r>
        <w:rPr>
          <w:rFonts w:ascii="Arial" w:cs="Arial" w:eastAsia="Arial" w:hAnsi="Arial"/>
          <w:sz w:val="18"/>
          <w:szCs w:val="18"/>
          <w:color w:val="auto"/>
        </w:rPr>
        <w:t>On January 9, 2002, the Company filed a Form 8-K, dated December 13, 2001, with the Securities and Exchange Commission reporting under Item 8 the Company’s change in fiscal year.</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HAWKINS, INC.</w:t>
      </w:r>
    </w:p>
    <w:p>
      <w:pPr>
        <w:spacing w:after="0" w:line="252" w:lineRule="exact"/>
        <w:rPr>
          <w:sz w:val="20"/>
          <w:szCs w:val="20"/>
          <w:color w:val="auto"/>
        </w:rPr>
      </w:pPr>
    </w:p>
    <w:p>
      <w:pPr>
        <w:jc w:val="center"/>
        <w:ind w:left="4680"/>
        <w:spacing w:after="0"/>
        <w:tabs>
          <w:tab w:leader="none" w:pos="240" w:val="left"/>
        </w:tabs>
        <w:rPr>
          <w:sz w:val="20"/>
          <w:szCs w:val="20"/>
          <w:color w:val="auto"/>
        </w:rPr>
      </w:pPr>
      <w:r>
        <w:rPr>
          <w:rFonts w:ascii="Arial" w:cs="Arial" w:eastAsia="Arial" w:hAnsi="Arial"/>
          <w:sz w:val="18"/>
          <w:szCs w:val="18"/>
          <w:color w:val="auto"/>
        </w:rPr>
        <w:t>By</w:t>
        <w:tab/>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14605</wp:posOffset>
            </wp:positionV>
            <wp:extent cx="39363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Marvin E. Dee, Vice President, Chief</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Financial Officer, Secretary, Treasurer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14, 2002</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6"/>
    </w:lvl>
  </w:abstractNum>
  <w:abstractNum w:abstractNumId="4">
    <w:nsid w:val="3D1B58BA"/>
    <w:multiLevelType w:val="hybridMultilevel"/>
    <w:lvl w:ilvl="0">
      <w:lvlJc w:val="left"/>
      <w:lvlText w:val="%1."/>
      <w:numFmt w:val="decimal"/>
      <w:start w:val="7"/>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2019-12-12T09:17:46Z</dcterms:created>
  <dcterms:modified xsi:type="dcterms:W3CDTF">2019-12-12T09:17:46Z</dcterms:modified>
</cp:coreProperties>
</file>