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-12065</wp:posOffset>
            </wp:positionV>
            <wp:extent cx="34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696888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731888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731888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6.943%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696888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731888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731888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6.943%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 , BD</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Management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582363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582363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7"/>
        </w:numPr>
        <w:rPr>
          <w:rFonts w:ascii="Arial" w:cs="Arial" w:eastAsia="Arial" w:hAnsi="Arial"/>
          <w:sz w:val="32"/>
          <w:szCs w:val="32"/>
          <w:b w:val="1"/>
          <w:bCs w:val="1"/>
          <w:color w:val="auto"/>
        </w:rPr>
      </w:pPr>
      <w:r>
        <w:rPr>
          <w:rFonts w:ascii="Arial" w:cs="Arial" w:eastAsia="Arial" w:hAnsi="Arial"/>
          <w:sz w:val="18"/>
          <w:szCs w:val="18"/>
          <w:color w:val="auto"/>
        </w:rPr>
        <w:t>582363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5.525%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7"/>
          <w:szCs w:val="17"/>
          <w:color w:val="auto"/>
        </w:rPr>
        <w:t>BD</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Equity Funds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451873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451873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451873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4.287%</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IV</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HAWKINS INC</w:t>
      </w:r>
    </w:p>
    <w:p>
      <w:pPr>
        <w:spacing w:after="0" w:line="237" w:lineRule="exact"/>
        <w:rPr>
          <w:rFonts w:ascii="Arial" w:cs="Arial" w:eastAsia="Arial" w:hAnsi="Arial"/>
          <w:sz w:val="18"/>
          <w:szCs w:val="18"/>
          <w:color w:val="auto"/>
        </w:rPr>
      </w:pPr>
    </w:p>
    <w:p>
      <w:pPr>
        <w:ind w:left="1300" w:right="648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 HENNEPIN AVE MINNEAPOLIS 55413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160" w:hanging="644"/>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Person Filing Neuberger Berman Group LLC Neuberger Berman LLC Neuberger Berman Management LLC Neuberger Berman Equity Funds</w:t>
      </w:r>
    </w:p>
    <w:p>
      <w:pPr>
        <w:spacing w:after="0" w:line="215"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605 Third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10158</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731,888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6.943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696,888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731,888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9"/>
          <w:szCs w:val="19"/>
          <w:color w:val="auto"/>
        </w:rPr>
        <w:t>Neuberger Berman Group LLC may be deemed to be a beneficial owner of securities for purposes of Rule 13d-3 because certain affiliated persons have shared power to retain or dispose of the securities of many unrelated clients. Neuberger Berman Group LLC or its affiliated persons do not, however, have any economic interest in the securities of those clients. The clients are the actual owners of the securities and have the sole right to receive and the power to direct the receipt of dividends from or proceeds from the sale of such securities. No one client has an interest of more than 5% of the issuer.</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With regard to the shares set forth under item 4(c)(ii), Neuberger Berman Group LLC may be deemed to be the beneficial owner for purposes of Rule 13d-3 because certain affiliated persons have shared power to retain, dispose of and vote the securities. Each of Neuberger Berman LLC and Neuberger Berman Management LLC serve as a sub-adviser and investment manager, respectively, of Neuberger Berman Group LLC’s various registered mutual funds which hold such shares in the ordinary course of their business and not with the purpose nor with the effect of changing or influencing the control of the issuer. The holdings of Neuberger Berman Trust Co N.A., Neuberger Berman Trust Co of Delaware N.A., NB Alternative Fund Management LLC, NB Alternatives Advisers LLC and Neuberger Berman Fixed Income LLC, affiliates of Neuberger Berman LLC, are also aggregated to comprise the holdings referenced herein.</w:t>
      </w:r>
    </w:p>
    <w:p>
      <w:pPr>
        <w:spacing w:after="0" w:line="208"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It should be further noted the share calculation under item 4(c)(iv) is derived from a total combination of the shares set forth under Item 4(c)(ii) plus any remaining balance of shares from individual client accounts over which Neuberger Berman LLC has shared power to dispose but does not have voting power over these shares. The holdings of Neuberger Berman Trust Co N.A., Neuberger Berman Trust Co of Delaware N.A., NB Alternative Fund Management LLC, NB Alternatives Advisers LLC and Neuberger Berman Fixed Income LLC, affiliates of Neuberger Berman LLC, are also aggregated to comprise the holdings referenced herein.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7" w:name="page8"/>
    <w:bookmarkEnd w:id="7"/>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16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420"/>
          </w:cols>
          <w:pgMar w:left="240" w:top="756"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700"/>
          </w:cols>
          <w:pgMar w:left="240" w:top="7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LLC</w:t>
      </w:r>
    </w:p>
    <w:p>
      <w:pPr>
        <w:sectPr>
          <w:pgSz w:w="11900" w:h="16838" w:orient="portrait"/>
          <w:cols w:equalWidth="0" w:num="1">
            <w:col w:w="11420"/>
          </w:cols>
          <w:pgMar w:left="240" w:top="756"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700"/>
          </w:cols>
          <w:pgMar w:left="240" w:top="7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Management LLC</w:t>
      </w:r>
    </w:p>
    <w:p>
      <w:pPr>
        <w:sectPr>
          <w:pgSz w:w="11900" w:h="16838" w:orient="portrait"/>
          <w:cols w:equalWidth="0" w:num="1">
            <w:col w:w="11420"/>
          </w:cols>
          <w:pgMar w:left="240" w:top="756"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Robert Conti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3">
            <w:col w:w="5000" w:space="720"/>
            <w:col w:w="260" w:space="100"/>
            <w:col w:w="5340"/>
          </w:cols>
          <w:pgMar w:left="240" w:top="7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Equity Funds</w:t>
      </w:r>
    </w:p>
    <w:p>
      <w:pPr>
        <w:sectPr>
          <w:pgSz w:w="11900" w:h="16838" w:orient="portrait"/>
          <w:cols w:equalWidth="0" w:num="1">
            <w:col w:w="11420"/>
          </w:cols>
          <w:pgMar w:left="240" w:top="756"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Robert Conti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Chief Executive Officer</w:t>
      </w:r>
    </w:p>
    <w:p>
      <w:pPr>
        <w:spacing w:after="0" w:line="200" w:lineRule="exact"/>
        <w:rPr>
          <w:sz w:val="20"/>
          <w:szCs w:val="20"/>
          <w:color w:val="auto"/>
        </w:rPr>
      </w:pPr>
    </w:p>
    <w:p>
      <w:pPr>
        <w:sectPr>
          <w:pgSz w:w="11900" w:h="16838" w:orient="portrait"/>
          <w:cols w:equalWidth="0" w:num="3">
            <w:col w:w="5000" w:space="720"/>
            <w:col w:w="260" w:space="100"/>
            <w:col w:w="5340"/>
          </w:cols>
          <w:pgMar w:left="240" w:top="756" w:right="239" w:bottom="1440" w:gutter="0" w:footer="0" w:header="0"/>
          <w:type w:val="continuous"/>
        </w:sectPr>
      </w:pPr>
    </w:p>
    <w:p>
      <w:pPr>
        <w:spacing w:after="0" w:line="273" w:lineRule="exact"/>
        <w:rPr>
          <w:sz w:val="20"/>
          <w:szCs w:val="20"/>
          <w:color w:val="auto"/>
        </w:rPr>
      </w:pPr>
    </w:p>
    <w:p>
      <w:pPr>
        <w:ind w:left="860" w:right="260" w:hanging="850"/>
        <w:spacing w:after="0" w:line="266" w:lineRule="auto"/>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 Neuberger Berman Group LLC, Neuberger Berman LLC, Neuberger Berman Management LLC and certain affiliated persons own</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no shares. As investment advisers, certain affiliated persons that are controlled by Neuberger Berman Group LLC have investment and voting powers with respect to the shares held.</w:t>
      </w:r>
    </w:p>
    <w:p>
      <w:pPr>
        <w:spacing w:after="0" w:line="180" w:lineRule="exact"/>
        <w:rPr>
          <w:sz w:val="20"/>
          <w:szCs w:val="20"/>
          <w:color w:val="auto"/>
        </w:rPr>
      </w:pPr>
    </w:p>
    <w:p>
      <w:pPr>
        <w:ind w:left="860"/>
        <w:spacing w:after="0" w:line="276" w:lineRule="auto"/>
        <w:rPr>
          <w:sz w:val="20"/>
          <w:szCs w:val="20"/>
          <w:color w:val="auto"/>
        </w:rPr>
      </w:pPr>
      <w:r>
        <w:rPr>
          <w:rFonts w:ascii="Arial" w:cs="Arial" w:eastAsia="Arial" w:hAnsi="Arial"/>
          <w:sz w:val="17"/>
          <w:szCs w:val="17"/>
          <w:color w:val="auto"/>
        </w:rPr>
        <w:t>Neuberger Berman Group LLC, through its direct and indirect subsidiary Neuberger Berman Holdings LLC, controls Neuberger Berman LLC and certain affiliated persons. By reason of the provisions of Rule 13d-3 of the Securities Exchange Act of 1934, as amended, each of Neuberger Berman Group LLC, Neuberger Berman LLC and Neuberger Berman Management LLC may be deemed to beneficially own the number of shares indicated above. Each of Neuberger Berman Group LLC, Neuberger Berman LLC, Neuberger Berman Management LLC and certain affiliated persons disclaim beneficial ownership of any of the securities covered by this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420"/>
      </w:cols>
      <w:pgMar w:left="240" w:top="75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x"/>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2019-12-05T10:59:56Z</dcterms:created>
  <dcterms:modified xsi:type="dcterms:W3CDTF">2019-12-05T10:59:56Z</dcterms:modified>
</cp:coreProperties>
</file>