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3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tcPr>
          <w:p>
            <w:pPr>
              <w:jc w:val="center"/>
              <w:ind w:left="634"/>
              <w:spacing w:after="0"/>
              <w:rPr>
                <w:sz w:val="20"/>
                <w:szCs w:val="20"/>
                <w:color w:val="auto"/>
              </w:rPr>
            </w:pPr>
            <w:r>
              <w:rPr>
                <w:rFonts w:ascii="Arial" w:cs="Arial" w:eastAsia="Arial" w:hAnsi="Arial"/>
                <w:sz w:val="29"/>
                <w:szCs w:val="29"/>
                <w:b w:val="1"/>
                <w:bCs w:val="1"/>
                <w:color w:val="auto"/>
                <w:w w:val="97"/>
              </w:rPr>
              <w:t>UNITED STATES</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60" w:type="dxa"/>
            <w:vAlign w:val="bottom"/>
            <w:gridSpan w:val="4"/>
          </w:tcPr>
          <w:p>
            <w:pPr>
              <w:jc w:val="center"/>
              <w:ind w:right="1140"/>
              <w:spacing w:after="0"/>
              <w:rPr>
                <w:sz w:val="20"/>
                <w:szCs w:val="20"/>
                <w:color w:val="auto"/>
              </w:rPr>
            </w:pPr>
            <w:r>
              <w:rPr>
                <w:rFonts w:ascii="Arial" w:cs="Arial" w:eastAsia="Arial" w:hAnsi="Arial"/>
                <w:sz w:val="29"/>
                <w:szCs w:val="29"/>
                <w:b w:val="1"/>
                <w:bCs w:val="1"/>
                <w:color w:val="auto"/>
                <w:w w:val="99"/>
              </w:rPr>
              <w:t>SECURITIES AND EXCHANGE COMMISSION</w:t>
            </w:r>
          </w:p>
        </w:tc>
      </w:tr>
      <w:tr>
        <w:trPr>
          <w:trHeight w:val="239"/>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00" w:type="dxa"/>
            <w:vAlign w:val="bottom"/>
          </w:tcPr>
          <w:p>
            <w:pPr>
              <w:jc w:val="center"/>
              <w:ind w:left="634"/>
              <w:spacing w:after="0"/>
              <w:rPr>
                <w:sz w:val="20"/>
                <w:szCs w:val="20"/>
                <w:color w:val="auto"/>
              </w:rPr>
            </w:pPr>
            <w:r>
              <w:rPr>
                <w:rFonts w:ascii="Arial" w:cs="Arial" w:eastAsia="Arial" w:hAnsi="Arial"/>
                <w:sz w:val="18"/>
                <w:szCs w:val="18"/>
                <w:b w:val="1"/>
                <w:bCs w:val="1"/>
                <w:color w:val="auto"/>
                <w:w w:val="99"/>
              </w:rPr>
              <w:t>WASHINGTON, D.C. 20549</w:t>
            </w:r>
          </w:p>
        </w:tc>
        <w:tc>
          <w:tcPr>
            <w:tcW w:w="7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r>
      <w:tr>
        <w:trPr>
          <w:trHeight w:val="331"/>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tcBorders>
              <w:bottom w:val="single" w:sz="8" w:color="auto"/>
            </w:tcBorders>
          </w:tcPr>
          <w:p>
            <w:pPr>
              <w:jc w:val="center"/>
              <w:ind w:left="634"/>
              <w:spacing w:after="0" w:line="331" w:lineRule="exact"/>
              <w:rPr>
                <w:sz w:val="20"/>
                <w:szCs w:val="20"/>
                <w:color w:val="auto"/>
              </w:rPr>
            </w:pPr>
            <w:r>
              <w:rPr>
                <w:rFonts w:ascii="Arial" w:cs="Arial" w:eastAsia="Arial" w:hAnsi="Arial"/>
                <w:sz w:val="29"/>
                <w:szCs w:val="29"/>
                <w:b w:val="1"/>
                <w:bCs w:val="1"/>
                <w:color w:val="auto"/>
                <w:w w:val="98"/>
              </w:rPr>
              <w:t>FORM 10-Q</w:t>
            </w:r>
          </w:p>
        </w:tc>
        <w:tc>
          <w:tcPr>
            <w:tcW w:w="760" w:type="dxa"/>
            <w:vAlign w:val="bottom"/>
            <w:tcBorders>
              <w:bottom w:val="single" w:sz="8" w:color="auto"/>
            </w:tcBorders>
          </w:tcPr>
          <w:p>
            <w:pPr>
              <w:spacing w:after="0"/>
              <w:rPr>
                <w:sz w:val="24"/>
                <w:szCs w:val="24"/>
                <w:color w:val="auto"/>
              </w:rPr>
            </w:pPr>
          </w:p>
        </w:tc>
        <w:tc>
          <w:tcPr>
            <w:tcW w:w="2860" w:type="dxa"/>
            <w:vAlign w:val="bottom"/>
          </w:tcPr>
          <w:p>
            <w:pPr>
              <w:spacing w:after="0"/>
              <w:rPr>
                <w:sz w:val="24"/>
                <w:szCs w:val="24"/>
                <w:color w:val="auto"/>
              </w:rPr>
            </w:pPr>
          </w:p>
        </w:tc>
      </w:tr>
      <w:tr>
        <w:trPr>
          <w:trHeight w:val="527"/>
        </w:trPr>
        <w:tc>
          <w:tcPr>
            <w:tcW w:w="20" w:type="dxa"/>
            <w:vAlign w:val="bottom"/>
          </w:tcPr>
          <w:p>
            <w:pPr>
              <w:spacing w:after="0"/>
              <w:rPr>
                <w:sz w:val="24"/>
                <w:szCs w:val="24"/>
                <w:color w:val="auto"/>
              </w:rPr>
            </w:pPr>
          </w:p>
        </w:tc>
        <w:tc>
          <w:tcPr>
            <w:tcW w:w="1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QUARTERLY REPORT PURSUANT TO SECTION 13 OR 15(d) OF THE</w:t>
            </w:r>
          </w:p>
        </w:tc>
      </w:tr>
      <w:tr>
        <w:trPr>
          <w:trHeight w:val="268"/>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38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32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w w:val="99"/>
              </w:rPr>
              <w:t>For the quarterly period ended September 27, 2020</w:t>
            </w:r>
          </w:p>
        </w:tc>
      </w:tr>
      <w:tr>
        <w:trPr>
          <w:trHeight w:val="398"/>
        </w:trPr>
        <w:tc>
          <w:tcPr>
            <w:tcW w:w="20" w:type="dxa"/>
            <w:vAlign w:val="bottom"/>
          </w:tcPr>
          <w:p>
            <w:pPr>
              <w:spacing w:after="0"/>
              <w:rPr>
                <w:sz w:val="24"/>
                <w:szCs w:val="24"/>
                <w:color w:val="auto"/>
              </w:rPr>
            </w:pPr>
          </w:p>
        </w:tc>
        <w:tc>
          <w:tcPr>
            <w:tcW w:w="11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0060" w:type="dxa"/>
            <w:vAlign w:val="bottom"/>
            <w:gridSpan w:val="4"/>
          </w:tcPr>
          <w:p>
            <w:pPr>
              <w:jc w:val="center"/>
              <w:ind w:right="220"/>
              <w:spacing w:after="0"/>
              <w:rPr>
                <w:sz w:val="20"/>
                <w:szCs w:val="20"/>
                <w:color w:val="auto"/>
              </w:rPr>
            </w:pPr>
            <w:r>
              <w:rPr>
                <w:rFonts w:ascii="Arial" w:cs="Arial" w:eastAsia="Arial" w:hAnsi="Arial"/>
                <w:sz w:val="20"/>
                <w:szCs w:val="20"/>
                <w:b w:val="1"/>
                <w:bCs w:val="1"/>
                <w:color w:val="auto"/>
                <w:w w:val="98"/>
              </w:rPr>
              <w:t>TRANSITION REPORT PURSUANT TO SECTION 13 OR 15(d) OF THE</w:t>
            </w:r>
          </w:p>
        </w:tc>
      </w:tr>
      <w:tr>
        <w:trPr>
          <w:trHeight w:val="254"/>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320" w:type="dxa"/>
            <w:vAlign w:val="bottom"/>
            <w:gridSpan w:val="3"/>
          </w:tcPr>
          <w:p>
            <w:pPr>
              <w:jc w:val="center"/>
              <w:ind w:right="1960"/>
              <w:spacing w:after="0"/>
              <w:rPr>
                <w:sz w:val="20"/>
                <w:szCs w:val="20"/>
                <w:color w:val="auto"/>
              </w:rPr>
            </w:pPr>
            <w:r>
              <w:rPr>
                <w:rFonts w:ascii="Arial" w:cs="Arial" w:eastAsia="Arial" w:hAnsi="Arial"/>
                <w:sz w:val="20"/>
                <w:szCs w:val="20"/>
                <w:b w:val="1"/>
                <w:bCs w:val="1"/>
                <w:color w:val="auto"/>
                <w:w w:val="98"/>
              </w:rPr>
              <w:t>SECURITIES EXCHANGE ACT OF 1934</w:t>
            </w:r>
          </w:p>
        </w:tc>
      </w:tr>
      <w:tr>
        <w:trPr>
          <w:trHeight w:val="239"/>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700" w:type="dxa"/>
            <w:vAlign w:val="bottom"/>
          </w:tcPr>
          <w:p>
            <w:pPr>
              <w:jc w:val="center"/>
              <w:ind w:left="634"/>
              <w:spacing w:after="0"/>
              <w:rPr>
                <w:sz w:val="20"/>
                <w:szCs w:val="20"/>
                <w:color w:val="auto"/>
              </w:rPr>
            </w:pPr>
            <w:r>
              <w:rPr>
                <w:rFonts w:ascii="Arial" w:cs="Arial" w:eastAsia="Arial" w:hAnsi="Arial"/>
                <w:sz w:val="18"/>
                <w:szCs w:val="18"/>
                <w:b w:val="1"/>
                <w:bCs w:val="1"/>
                <w:color w:val="auto"/>
              </w:rPr>
              <w:t>Commission file number 0-7647</w:t>
            </w:r>
          </w:p>
        </w:tc>
        <w:tc>
          <w:tcPr>
            <w:tcW w:w="76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44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700" w:type="dxa"/>
            <w:vAlign w:val="bottom"/>
          </w:tcPr>
          <w:p>
            <w:pPr>
              <w:jc w:val="center"/>
              <w:ind w:left="634"/>
              <w:spacing w:after="0"/>
              <w:rPr>
                <w:sz w:val="20"/>
                <w:szCs w:val="20"/>
                <w:color w:val="auto"/>
              </w:rPr>
            </w:pPr>
            <w:r>
              <w:rPr>
                <w:rFonts w:ascii="Arial" w:cs="Arial" w:eastAsia="Arial" w:hAnsi="Arial"/>
                <w:sz w:val="32"/>
                <w:szCs w:val="32"/>
                <w:b w:val="1"/>
                <w:bCs w:val="1"/>
                <w:color w:val="auto"/>
              </w:rPr>
              <w:t>HAWKINS, INC.</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tcPr>
          <w:p>
            <w:pPr>
              <w:jc w:val="center"/>
              <w:ind w:left="614"/>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7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spacing w:after="0"/>
              <w:rPr>
                <w:sz w:val="19"/>
                <w:szCs w:val="19"/>
                <w:color w:val="auto"/>
              </w:rPr>
            </w:pPr>
          </w:p>
        </w:tc>
      </w:tr>
      <w:tr>
        <w:trPr>
          <w:trHeight w:val="519"/>
        </w:trPr>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2"/>
          </w:tcPr>
          <w:p>
            <w:pPr>
              <w:jc w:val="center"/>
              <w:ind w:right="3094"/>
              <w:spacing w:after="0"/>
              <w:rPr>
                <w:sz w:val="20"/>
                <w:szCs w:val="20"/>
                <w:color w:val="auto"/>
              </w:rPr>
            </w:pPr>
            <w:r>
              <w:rPr>
                <w:rFonts w:ascii="Arial" w:cs="Arial" w:eastAsia="Arial" w:hAnsi="Arial"/>
                <w:sz w:val="18"/>
                <w:szCs w:val="18"/>
                <w:b w:val="1"/>
                <w:bCs w:val="1"/>
                <w:color w:val="auto"/>
                <w:w w:val="98"/>
              </w:rPr>
              <w:t>Minnesota</w:t>
            </w:r>
          </w:p>
        </w:tc>
        <w:tc>
          <w:tcPr>
            <w:tcW w:w="3620" w:type="dxa"/>
            <w:vAlign w:val="bottom"/>
            <w:tcBorders>
              <w:bottom w:val="single" w:sz="8" w:color="auto"/>
            </w:tcBorders>
            <w:gridSpan w:val="2"/>
          </w:tcPr>
          <w:p>
            <w:pPr>
              <w:jc w:val="center"/>
              <w:ind w:right="1740"/>
              <w:spacing w:after="0"/>
              <w:rPr>
                <w:sz w:val="20"/>
                <w:szCs w:val="20"/>
                <w:color w:val="auto"/>
              </w:rPr>
            </w:pPr>
            <w:r>
              <w:rPr>
                <w:rFonts w:ascii="Arial" w:cs="Arial" w:eastAsia="Arial" w:hAnsi="Arial"/>
                <w:sz w:val="18"/>
                <w:szCs w:val="18"/>
                <w:b w:val="1"/>
                <w:bCs w:val="1"/>
                <w:color w:val="auto"/>
                <w:w w:val="99"/>
              </w:rPr>
              <w:t>41-0771293</w:t>
            </w: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40" w:type="dxa"/>
            <w:vAlign w:val="bottom"/>
            <w:gridSpan w:val="2"/>
          </w:tcPr>
          <w:p>
            <w:pPr>
              <w:jc w:val="center"/>
              <w:ind w:right="3114"/>
              <w:spacing w:after="0"/>
              <w:rPr>
                <w:sz w:val="20"/>
                <w:szCs w:val="20"/>
                <w:color w:val="auto"/>
              </w:rPr>
            </w:pPr>
            <w:r>
              <w:rPr>
                <w:rFonts w:ascii="Arial" w:cs="Arial" w:eastAsia="Arial" w:hAnsi="Arial"/>
                <w:sz w:val="14"/>
                <w:szCs w:val="14"/>
                <w:b w:val="1"/>
                <w:bCs w:val="1"/>
                <w:color w:val="auto"/>
              </w:rPr>
              <w:t>(State or other jurisdiction of</w:t>
            </w:r>
          </w:p>
        </w:tc>
        <w:tc>
          <w:tcPr>
            <w:tcW w:w="362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40" w:type="dxa"/>
            <w:vAlign w:val="bottom"/>
            <w:gridSpan w:val="2"/>
          </w:tcPr>
          <w:p>
            <w:pPr>
              <w:jc w:val="center"/>
              <w:ind w:right="3114"/>
              <w:spacing w:after="0"/>
              <w:rPr>
                <w:sz w:val="20"/>
                <w:szCs w:val="20"/>
                <w:color w:val="auto"/>
              </w:rPr>
            </w:pPr>
            <w:r>
              <w:rPr>
                <w:rFonts w:ascii="Arial" w:cs="Arial" w:eastAsia="Arial" w:hAnsi="Arial"/>
                <w:sz w:val="14"/>
                <w:szCs w:val="14"/>
                <w:b w:val="1"/>
                <w:bCs w:val="1"/>
                <w:color w:val="auto"/>
              </w:rPr>
              <w:t>incorporation or organization)</w:t>
            </w:r>
          </w:p>
        </w:tc>
        <w:tc>
          <w:tcPr>
            <w:tcW w:w="362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rPr>
              <w:t>Identification No.)</w:t>
            </w:r>
          </w:p>
        </w:tc>
      </w:tr>
      <w:tr>
        <w:trPr>
          <w:trHeight w:val="56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40" w:type="dxa"/>
            <w:vAlign w:val="bottom"/>
            <w:gridSpan w:val="2"/>
          </w:tcPr>
          <w:p>
            <w:pPr>
              <w:jc w:val="center"/>
              <w:ind w:right="1794"/>
              <w:spacing w:after="0"/>
              <w:rPr>
                <w:sz w:val="20"/>
                <w:szCs w:val="20"/>
                <w:color w:val="auto"/>
              </w:rPr>
            </w:pPr>
            <w:r>
              <w:rPr>
                <w:rFonts w:ascii="Arial" w:cs="Arial" w:eastAsia="Arial" w:hAnsi="Arial"/>
                <w:sz w:val="18"/>
                <w:szCs w:val="18"/>
                <w:b w:val="1"/>
                <w:bCs w:val="1"/>
                <w:color w:val="auto"/>
                <w:w w:val="99"/>
              </w:rPr>
              <w:t>2381 Rosegate, Roseville, Minnesota</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55113</w:t>
            </w:r>
          </w:p>
        </w:tc>
        <w:tc>
          <w:tcPr>
            <w:tcW w:w="286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40" w:type="dxa"/>
            <w:vAlign w:val="bottom"/>
            <w:gridSpan w:val="2"/>
          </w:tcPr>
          <w:p>
            <w:pPr>
              <w:jc w:val="center"/>
              <w:ind w:right="1774"/>
              <w:spacing w:after="0"/>
              <w:rPr>
                <w:sz w:val="20"/>
                <w:szCs w:val="20"/>
                <w:color w:val="auto"/>
              </w:rPr>
            </w:pPr>
            <w:r>
              <w:rPr>
                <w:rFonts w:ascii="Arial" w:cs="Arial" w:eastAsia="Arial" w:hAnsi="Arial"/>
                <w:sz w:val="14"/>
                <w:szCs w:val="14"/>
                <w:b w:val="1"/>
                <w:bCs w:val="1"/>
                <w:color w:val="auto"/>
              </w:rPr>
              <w:t>(Address of principal executive offices)</w:t>
            </w:r>
          </w:p>
        </w:tc>
        <w:tc>
          <w:tcPr>
            <w:tcW w:w="3620" w:type="dxa"/>
            <w:vAlign w:val="bottom"/>
            <w:gridSpan w:val="2"/>
          </w:tcPr>
          <w:p>
            <w:pPr>
              <w:jc w:val="center"/>
              <w:ind w:right="2640"/>
              <w:spacing w:after="0"/>
              <w:rPr>
                <w:sz w:val="20"/>
                <w:szCs w:val="20"/>
                <w:color w:val="auto"/>
              </w:rPr>
            </w:pPr>
            <w:r>
              <w:rPr>
                <w:rFonts w:ascii="Arial" w:cs="Arial" w:eastAsia="Arial" w:hAnsi="Arial"/>
                <w:sz w:val="14"/>
                <w:szCs w:val="14"/>
                <w:b w:val="1"/>
                <w:bCs w:val="1"/>
                <w:color w:val="auto"/>
              </w:rPr>
              <w:t>(Zip code)</w:t>
            </w:r>
          </w:p>
        </w:tc>
      </w:tr>
      <w:tr>
        <w:trPr>
          <w:trHeight w:val="57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40" w:type="dxa"/>
            <w:vAlign w:val="bottom"/>
            <w:gridSpan w:val="2"/>
          </w:tcPr>
          <w:p>
            <w:pPr>
              <w:jc w:val="center"/>
              <w:ind w:left="2388"/>
              <w:spacing w:after="0"/>
              <w:rPr>
                <w:sz w:val="20"/>
                <w:szCs w:val="20"/>
                <w:color w:val="auto"/>
              </w:rPr>
            </w:pPr>
            <w:r>
              <w:rPr>
                <w:rFonts w:ascii="Arial" w:cs="Arial" w:eastAsia="Arial" w:hAnsi="Arial"/>
                <w:sz w:val="18"/>
                <w:szCs w:val="18"/>
                <w:b w:val="1"/>
                <w:bCs w:val="1"/>
                <w:color w:val="auto"/>
              </w:rPr>
              <w:t>(612) 331-6910</w:t>
            </w:r>
          </w:p>
        </w:tc>
        <w:tc>
          <w:tcPr>
            <w:tcW w:w="7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700" w:type="dxa"/>
            <w:vAlign w:val="bottom"/>
            <w:tcBorders>
              <w:bottom w:val="single" w:sz="8" w:color="auto"/>
            </w:tcBorders>
          </w:tcPr>
          <w:p>
            <w:pPr>
              <w:jc w:val="center"/>
              <w:ind w:left="634"/>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760" w:type="dxa"/>
            <w:vAlign w:val="bottom"/>
            <w:tcBorders>
              <w:bottom w:val="single" w:sz="8" w:color="auto"/>
            </w:tcBorders>
          </w:tcPr>
          <w:p>
            <w:pPr>
              <w:spacing w:after="0"/>
              <w:rPr>
                <w:sz w:val="17"/>
                <w:szCs w:val="17"/>
                <w:color w:val="auto"/>
              </w:rPr>
            </w:pPr>
          </w:p>
        </w:tc>
        <w:tc>
          <w:tcPr>
            <w:tcW w:w="2860" w:type="dxa"/>
            <w:vAlign w:val="bottom"/>
          </w:tcPr>
          <w:p>
            <w:pPr>
              <w:spacing w:after="0"/>
              <w:rPr>
                <w:sz w:val="17"/>
                <w:szCs w:val="17"/>
                <w:color w:val="auto"/>
              </w:rPr>
            </w:pPr>
          </w:p>
        </w:tc>
      </w:tr>
    </w:tbl>
    <w:p>
      <w:pPr>
        <w:spacing w:after="0" w:line="21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4" w:lineRule="exact"/>
        <w:rPr>
          <w:sz w:val="24"/>
          <w:szCs w:val="24"/>
          <w:color w:val="auto"/>
        </w:rPr>
      </w:pPr>
    </w:p>
    <w:tbl>
      <w:tblPr>
        <w:tblLayout w:type="fixed"/>
        <w:tblInd w:w="520" w:type="dxa"/>
        <w:tblCellMar>
          <w:top w:w="0" w:type="dxa"/>
          <w:left w:w="0" w:type="dxa"/>
          <w:bottom w:w="0" w:type="dxa"/>
          <w:right w:w="0" w:type="dxa"/>
        </w:tblCellMar>
      </w:tblPr>
      <w:tr>
        <w:trPr>
          <w:trHeight w:val="228"/>
        </w:trPr>
        <w:tc>
          <w:tcPr>
            <w:tcW w:w="338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Title of each class</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45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3"/>
        </w:trPr>
        <w:tc>
          <w:tcPr>
            <w:tcW w:w="3380" w:type="dxa"/>
            <w:vAlign w:val="bottom"/>
          </w:tcPr>
          <w:p>
            <w:pPr>
              <w:ind w:left="20"/>
              <w:spacing w:after="0"/>
              <w:rPr>
                <w:sz w:val="20"/>
                <w:szCs w:val="20"/>
                <w:color w:val="auto"/>
              </w:rPr>
            </w:pPr>
            <w:r>
              <w:rPr>
                <w:rFonts w:ascii="Arial" w:cs="Arial" w:eastAsia="Arial" w:hAnsi="Arial"/>
                <w:sz w:val="16"/>
                <w:szCs w:val="16"/>
                <w:color w:val="auto"/>
              </w:rPr>
              <w:t>Common Stock, par value $.05 per share</w:t>
            </w:r>
          </w:p>
        </w:tc>
        <w:tc>
          <w:tcPr>
            <w:tcW w:w="2300" w:type="dxa"/>
            <w:vAlign w:val="bottom"/>
          </w:tcPr>
          <w:p>
            <w:pPr>
              <w:jc w:val="center"/>
              <w:spacing w:after="0"/>
              <w:rPr>
                <w:sz w:val="20"/>
                <w:szCs w:val="20"/>
                <w:color w:val="auto"/>
              </w:rPr>
            </w:pPr>
            <w:r>
              <w:rPr>
                <w:rFonts w:ascii="Arial" w:cs="Arial" w:eastAsia="Arial" w:hAnsi="Arial"/>
                <w:sz w:val="16"/>
                <w:szCs w:val="16"/>
                <w:color w:val="auto"/>
              </w:rPr>
              <w:t>HWKN</w:t>
            </w:r>
          </w:p>
        </w:tc>
        <w:tc>
          <w:tcPr>
            <w:tcW w:w="4520" w:type="dxa"/>
            <w:vAlign w:val="bottom"/>
          </w:tcPr>
          <w:p>
            <w:pPr>
              <w:jc w:val="center"/>
              <w:ind w:right="99"/>
              <w:spacing w:after="0"/>
              <w:rPr>
                <w:sz w:val="20"/>
                <w:szCs w:val="20"/>
                <w:color w:val="auto"/>
              </w:rPr>
            </w:pPr>
            <w:r>
              <w:rPr>
                <w:rFonts w:ascii="Arial" w:cs="Arial" w:eastAsia="Arial" w:hAnsi="Arial"/>
                <w:sz w:val="16"/>
                <w:szCs w:val="16"/>
                <w:color w:val="auto"/>
              </w:rPr>
              <w:t>Nasdaq Stock Market LLC</w:t>
            </w:r>
          </w:p>
        </w:tc>
      </w:tr>
    </w:tbl>
    <w:p>
      <w:pPr>
        <w:spacing w:after="0" w:line="181" w:lineRule="exact"/>
        <w:rPr>
          <w:sz w:val="24"/>
          <w:szCs w:val="24"/>
          <w:color w:val="auto"/>
        </w:rPr>
      </w:pPr>
    </w:p>
    <w:p>
      <w:pPr>
        <w:ind w:right="8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4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26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296"/>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9"/>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6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64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160" w:type="dxa"/>
            <w:vAlign w:val="bottom"/>
          </w:tcPr>
          <w:p>
            <w:pPr>
              <w:ind w:left="264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 w:lineRule="exact"/>
        <w:rPr>
          <w:sz w:val="24"/>
          <w:szCs w:val="24"/>
          <w:color w:val="auto"/>
        </w:rPr>
      </w:pPr>
    </w:p>
    <w:p>
      <w:pPr>
        <w:ind w:right="18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660" w:right="2220" w:hanging="647"/>
        <w:spacing w:after="0" w:line="216"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8" w:lineRule="exact"/>
        <w:rPr>
          <w:sz w:val="24"/>
          <w:szCs w:val="24"/>
          <w:color w:val="auto"/>
        </w:rPr>
      </w:pPr>
    </w:p>
    <w:p>
      <w:pPr>
        <w:ind w:left="2680"/>
        <w:spacing w:after="0"/>
        <w:tabs>
          <w:tab w:leader="none" w:pos="6440" w:val="left"/>
        </w:tabs>
        <w:rPr>
          <w:sz w:val="20"/>
          <w:szCs w:val="20"/>
          <w:color w:val="auto"/>
        </w:rPr>
      </w:pPr>
      <w:r>
        <w:rPr>
          <w:rFonts w:ascii="Arial" w:cs="Arial" w:eastAsia="Arial" w:hAnsi="Arial"/>
          <w:sz w:val="14"/>
          <w:szCs w:val="14"/>
          <w:color w:val="auto"/>
        </w:rPr>
        <w:t>CLASS</w:t>
      </w:r>
      <w:r>
        <w:rPr>
          <w:sz w:val="20"/>
          <w:szCs w:val="20"/>
          <w:color w:val="auto"/>
        </w:rPr>
        <w:tab/>
      </w:r>
      <w:r>
        <w:rPr>
          <w:rFonts w:ascii="Arial" w:cs="Arial" w:eastAsia="Arial" w:hAnsi="Arial"/>
          <w:sz w:val="14"/>
          <w:szCs w:val="14"/>
          <w:color w:val="auto"/>
        </w:rPr>
        <w:t>Shares Outstanding at October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59404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sectPr>
      </w:pPr>
    </w:p>
    <w:p>
      <w:pPr>
        <w:spacing w:after="0" w:line="63" w:lineRule="exact"/>
        <w:rPr>
          <w:sz w:val="24"/>
          <w:szCs w:val="24"/>
          <w:color w:val="auto"/>
        </w:rPr>
      </w:pPr>
    </w:p>
    <w:p>
      <w:pPr>
        <w:ind w:left="1280"/>
        <w:spacing w:after="0"/>
        <w:tabs>
          <w:tab w:leader="none" w:pos="7280" w:val="left"/>
        </w:tabs>
        <w:rPr>
          <w:sz w:val="20"/>
          <w:szCs w:val="20"/>
          <w:color w:val="auto"/>
        </w:rPr>
      </w:pPr>
      <w:r>
        <w:rPr>
          <w:rFonts w:ascii="Arial" w:cs="Arial" w:eastAsia="Arial" w:hAnsi="Arial"/>
          <w:sz w:val="18"/>
          <w:szCs w:val="18"/>
          <w:color w:val="auto"/>
        </w:rPr>
        <w:t>Common Stock, par value $.05 per share</w:t>
      </w:r>
      <w:r>
        <w:rPr>
          <w:sz w:val="20"/>
          <w:szCs w:val="20"/>
          <w:color w:val="auto"/>
        </w:rPr>
        <w:tab/>
      </w:r>
      <w:r>
        <w:rPr>
          <w:rFonts w:ascii="Arial" w:cs="Arial" w:eastAsia="Arial" w:hAnsi="Arial"/>
          <w:sz w:val="17"/>
          <w:szCs w:val="17"/>
          <w:color w:val="auto"/>
        </w:rPr>
        <w:t>10,670,637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017" w:right="35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jc w:val="center"/>
        <w:ind w:left="-879"/>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jc w:val="center"/>
        <w:ind w:left="-879"/>
        <w:spacing w:after="0"/>
        <w:rPr>
          <w:sz w:val="20"/>
          <w:szCs w:val="20"/>
          <w:color w:val="auto"/>
        </w:rPr>
      </w:pPr>
      <w:r>
        <w:rPr>
          <w:rFonts w:ascii="Arial" w:cs="Arial" w:eastAsia="Arial" w:hAnsi="Arial"/>
          <w:sz w:val="18"/>
          <w:szCs w:val="18"/>
          <w:b w:val="1"/>
          <w:bCs w:val="1"/>
          <w:color w:val="auto"/>
        </w:rPr>
        <w:t>INDEX TO FORM 10-Q</w:t>
      </w:r>
    </w:p>
    <w:p>
      <w:pPr>
        <w:spacing w:after="0" w:line="298" w:lineRule="exact"/>
        <w:rPr>
          <w:sz w:val="20"/>
          <w:szCs w:val="20"/>
          <w:color w:val="auto"/>
        </w:rPr>
      </w:pPr>
    </w:p>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FINANCIAL INFORMATION</w:t>
        </w:r>
      </w:hyperlink>
    </w:p>
    <w:p>
      <w:pPr>
        <w:spacing w:after="0" w:line="126" w:lineRule="exact"/>
        <w:rPr>
          <w:sz w:val="20"/>
          <w:szCs w:val="20"/>
          <w:color w:val="auto"/>
        </w:rPr>
      </w:pPr>
    </w:p>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p>
      <w:pPr>
        <w:spacing w:after="0" w:line="104" w:lineRule="exact"/>
        <w:rPr>
          <w:sz w:val="20"/>
          <w:szCs w:val="20"/>
          <w:color w:val="auto"/>
        </w:rPr>
      </w:pPr>
    </w:p>
    <w:p>
      <w:pPr>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Balance Sheets –September 27,</w:t>
        </w:r>
        <w:r>
          <w:rPr>
            <w:rFonts w:ascii="Arial" w:cs="Arial" w:eastAsia="Arial" w:hAnsi="Arial"/>
            <w:sz w:val="18"/>
            <w:szCs w:val="18"/>
            <w:color w:val="0000FF"/>
          </w:rPr>
          <w:t xml:space="preserve"> 2020 </w:t>
        </w:r>
        <w:r>
          <w:rPr>
            <w:rFonts w:ascii="Arial" w:cs="Arial" w:eastAsia="Arial" w:hAnsi="Arial"/>
            <w:sz w:val="18"/>
            <w:szCs w:val="18"/>
            <w:u w:val="single" w:color="auto"/>
            <w:color w:val="0000FF"/>
          </w:rPr>
          <w:t>and March 29, 2020</w:t>
        </w:r>
      </w:hyperlink>
    </w:p>
    <w:p>
      <w:pPr>
        <w:spacing w:after="0" w:line="77" w:lineRule="exact"/>
        <w:rPr>
          <w:sz w:val="20"/>
          <w:szCs w:val="20"/>
          <w:color w:val="auto"/>
        </w:rPr>
      </w:pPr>
    </w:p>
    <w:p>
      <w:pPr>
        <w:ind w:right="820"/>
        <w:spacing w:after="0" w:line="227" w:lineRule="auto"/>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Statements of Income – Three and Six Months Ended September</w:t>
        </w:r>
      </w:hyperlink>
      <w:r>
        <w:rPr>
          <w:rFonts w:ascii="Arial" w:cs="Arial" w:eastAsia="Arial" w:hAnsi="Arial"/>
          <w:sz w:val="18"/>
          <w:szCs w:val="18"/>
          <w:u w:val="single" w:color="auto"/>
          <w:color w:val="0000FF"/>
        </w:rPr>
        <w:t xml:space="preserve"> </w:t>
      </w:r>
      <w:hyperlink w:anchor="page3">
        <w:r>
          <w:rPr>
            <w:rFonts w:ascii="Arial" w:cs="Arial" w:eastAsia="Arial" w:hAnsi="Arial"/>
            <w:sz w:val="18"/>
            <w:szCs w:val="18"/>
            <w:u w:val="single" w:color="auto"/>
            <w:color w:val="0000FF"/>
          </w:rPr>
          <w:t>27</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2020 and September</w:t>
        </w:r>
        <w:r>
          <w:rPr>
            <w:rFonts w:ascii="Arial" w:cs="Arial" w:eastAsia="Arial" w:hAnsi="Arial"/>
            <w:sz w:val="18"/>
            <w:szCs w:val="18"/>
            <w:color w:val="0000FF"/>
          </w:rPr>
          <w:t xml:space="preserve"> 29, </w:t>
        </w:r>
        <w:r>
          <w:rPr>
            <w:rFonts w:ascii="Arial" w:cs="Arial" w:eastAsia="Arial" w:hAnsi="Arial"/>
            <w:sz w:val="18"/>
            <w:szCs w:val="18"/>
            <w:u w:val="single" w:color="auto"/>
            <w:color w:val="0000FF"/>
          </w:rPr>
          <w:t>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1261745</wp:posOffset>
            </wp:positionH>
            <wp:positionV relativeFrom="paragraph">
              <wp:posOffset>-24765</wp:posOffset>
            </wp:positionV>
            <wp:extent cx="158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750" cy="8255"/>
                    </a:xfrm>
                    <a:prstGeom prst="rect">
                      <a:avLst/>
                    </a:prstGeom>
                    <a:noFill/>
                  </pic:spPr>
                </pic:pic>
              </a:graphicData>
            </a:graphic>
          </wp:anchor>
        </w:drawing>
      </w:r>
    </w:p>
    <w:p>
      <w:pPr>
        <w:spacing w:after="0" w:line="47" w:lineRule="exact"/>
        <w:rPr>
          <w:sz w:val="20"/>
          <w:szCs w:val="20"/>
          <w:color w:val="auto"/>
        </w:rPr>
      </w:pPr>
    </w:p>
    <w:p>
      <w:pPr>
        <w:ind w:right="1000"/>
        <w:spacing w:after="0" w:line="227" w:lineRule="auto"/>
        <w:rPr>
          <w:rFonts w:ascii="Arial" w:cs="Arial" w:eastAsia="Arial" w:hAnsi="Arial"/>
          <w:sz w:val="18"/>
          <w:szCs w:val="18"/>
          <w:color w:val="0000FF"/>
        </w:rPr>
      </w:pPr>
      <w:hyperlink w:anchor="page4">
        <w:r>
          <w:rPr>
            <w:rFonts w:ascii="Arial" w:cs="Arial" w:eastAsia="Arial" w:hAnsi="Arial"/>
            <w:sz w:val="18"/>
            <w:szCs w:val="18"/>
            <w:u w:val="single" w:color="auto"/>
            <w:color w:val="0000FF"/>
          </w:rPr>
          <w:t>Condensed Consolidated Statements of Comprehensive Income – Three and Six Months</w:t>
        </w:r>
      </w:hyperlink>
      <w:r>
        <w:rPr>
          <w:rFonts w:ascii="Arial" w:cs="Arial" w:eastAsia="Arial" w:hAnsi="Arial"/>
          <w:sz w:val="18"/>
          <w:szCs w:val="18"/>
          <w:u w:val="single" w:color="auto"/>
          <w:color w:val="0000FF"/>
        </w:rPr>
        <w:t xml:space="preserve"> </w:t>
      </w:r>
      <w:hyperlink w:anchor="page4">
        <w:r>
          <w:rPr>
            <w:rFonts w:ascii="Arial" w:cs="Arial" w:eastAsia="Arial" w:hAnsi="Arial"/>
            <w:sz w:val="18"/>
            <w:szCs w:val="18"/>
            <w:u w:val="single" w:color="auto"/>
            <w:color w:val="0000FF"/>
          </w:rPr>
          <w:t>Ended September</w:t>
        </w:r>
        <w:r>
          <w:rPr>
            <w:rFonts w:ascii="Arial" w:cs="Arial" w:eastAsia="Arial" w:hAnsi="Arial"/>
            <w:sz w:val="18"/>
            <w:szCs w:val="18"/>
            <w:color w:val="0000FF"/>
          </w:rPr>
          <w:t xml:space="preserve"> 27, </w:t>
        </w:r>
        <w:r>
          <w:rPr>
            <w:rFonts w:ascii="Arial" w:cs="Arial" w:eastAsia="Arial" w:hAnsi="Arial"/>
            <w:sz w:val="18"/>
            <w:szCs w:val="18"/>
            <w:u w:val="single" w:color="auto"/>
            <w:color w:val="0000FF"/>
          </w:rPr>
          <w:t>2020 and September</w:t>
        </w:r>
        <w:r>
          <w:rPr>
            <w:rFonts w:ascii="Arial" w:cs="Arial" w:eastAsia="Arial" w:hAnsi="Arial"/>
            <w:sz w:val="18"/>
            <w:szCs w:val="18"/>
            <w:color w:val="0000FF"/>
          </w:rPr>
          <w:t xml:space="preserve"> 29, </w:t>
        </w:r>
        <w:r>
          <w:rPr>
            <w:rFonts w:ascii="Arial" w:cs="Arial" w:eastAsia="Arial" w:hAnsi="Arial"/>
            <w:sz w:val="18"/>
            <w:szCs w:val="18"/>
            <w:u w:val="single" w:color="auto"/>
            <w:color w:val="0000FF"/>
          </w:rPr>
          <w:t>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925195</wp:posOffset>
            </wp:positionH>
            <wp:positionV relativeFrom="paragraph">
              <wp:posOffset>-24765</wp:posOffset>
            </wp:positionV>
            <wp:extent cx="158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750"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-24765</wp:posOffset>
            </wp:positionV>
            <wp:extent cx="1587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750" cy="8255"/>
                    </a:xfrm>
                    <a:prstGeom prst="rect">
                      <a:avLst/>
                    </a:prstGeom>
                    <a:noFill/>
                  </pic:spPr>
                </pic:pic>
              </a:graphicData>
            </a:graphic>
          </wp:anchor>
        </w:drawing>
      </w:r>
    </w:p>
    <w:p>
      <w:pPr>
        <w:spacing w:after="0" w:line="47" w:lineRule="exact"/>
        <w:rPr>
          <w:sz w:val="20"/>
          <w:szCs w:val="20"/>
          <w:color w:val="auto"/>
        </w:rPr>
      </w:pPr>
    </w:p>
    <w:p>
      <w:pPr>
        <w:ind w:right="660"/>
        <w:spacing w:after="0" w:line="227" w:lineRule="auto"/>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Statements of Shareholder’s Equity – Three</w:t>
        </w:r>
        <w:r>
          <w:rPr>
            <w:rFonts w:ascii="Arial" w:cs="Arial" w:eastAsia="Arial" w:hAnsi="Arial"/>
            <w:sz w:val="18"/>
            <w:szCs w:val="18"/>
            <w:color w:val="0000FF"/>
          </w:rPr>
          <w:t xml:space="preserve"> and Six Months Ended</w:t>
        </w:r>
      </w:hyperlink>
      <w:r>
        <w:rPr>
          <w:rFonts w:ascii="Arial" w:cs="Arial" w:eastAsia="Arial" w:hAnsi="Arial"/>
          <w:sz w:val="18"/>
          <w:szCs w:val="18"/>
          <w:color w:val="0000FF"/>
        </w:rPr>
        <w:t xml:space="preserve"> </w:t>
      </w:r>
      <w:hyperlink w:anchor="page5">
        <w:r>
          <w:rPr>
            <w:rFonts w:ascii="Arial" w:cs="Arial" w:eastAsia="Arial" w:hAnsi="Arial"/>
            <w:sz w:val="18"/>
            <w:szCs w:val="18"/>
            <w:u w:val="single" w:color="auto"/>
            <w:color w:val="0000FF"/>
          </w:rPr>
          <w:t>September</w:t>
        </w:r>
        <w:r>
          <w:rPr>
            <w:rFonts w:ascii="Arial" w:cs="Arial" w:eastAsia="Arial" w:hAnsi="Arial"/>
            <w:sz w:val="18"/>
            <w:szCs w:val="18"/>
            <w:color w:val="0000FF"/>
          </w:rPr>
          <w:t xml:space="preserve"> 27, </w:t>
        </w:r>
        <w:r>
          <w:rPr>
            <w:rFonts w:ascii="Arial" w:cs="Arial" w:eastAsia="Arial" w:hAnsi="Arial"/>
            <w:sz w:val="18"/>
            <w:szCs w:val="18"/>
            <w:u w:val="single" w:color="auto"/>
            <w:color w:val="0000FF"/>
          </w:rPr>
          <w:t>2020 and September</w:t>
        </w:r>
        <w:r>
          <w:rPr>
            <w:rFonts w:ascii="Arial" w:cs="Arial" w:eastAsia="Arial" w:hAnsi="Arial"/>
            <w:sz w:val="18"/>
            <w:szCs w:val="18"/>
            <w:color w:val="0000FF"/>
          </w:rPr>
          <w:t xml:space="preserve"> 29, </w:t>
        </w:r>
        <w:r>
          <w:rPr>
            <w:rFonts w:ascii="Arial" w:cs="Arial" w:eastAsia="Arial" w:hAnsi="Arial"/>
            <w:sz w:val="18"/>
            <w:szCs w:val="18"/>
            <w:u w:val="single" w:color="auto"/>
            <w:color w:val="0000FF"/>
          </w:rPr>
          <w:t>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-135890</wp:posOffset>
            </wp:positionV>
            <wp:extent cx="11811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81100" cy="8255"/>
                    </a:xfrm>
                    <a:prstGeom prst="rect">
                      <a:avLst/>
                    </a:prstGeom>
                    <a:noFill/>
                  </pic:spPr>
                </pic:pic>
              </a:graphicData>
            </a:graphic>
          </wp:anchor>
        </w:drawing>
        <w:drawing>
          <wp:anchor simplePos="0" relativeHeight="251657728" behindDoc="1" locked="0" layoutInCell="0" allowOverlap="1">
            <wp:simplePos x="0" y="0"/>
            <wp:positionH relativeFrom="column">
              <wp:posOffset>562610</wp:posOffset>
            </wp:positionH>
            <wp:positionV relativeFrom="paragraph">
              <wp:posOffset>-24765</wp:posOffset>
            </wp:positionV>
            <wp:extent cx="158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750" cy="8255"/>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-24765</wp:posOffset>
            </wp:positionV>
            <wp:extent cx="158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750" cy="8255"/>
                    </a:xfrm>
                    <a:prstGeom prst="rect">
                      <a:avLst/>
                    </a:prstGeom>
                    <a:noFill/>
                  </pic:spPr>
                </pic:pic>
              </a:graphicData>
            </a:graphic>
          </wp:anchor>
        </w:drawing>
      </w:r>
    </w:p>
    <w:p>
      <w:pPr>
        <w:spacing w:after="0" w:line="47" w:lineRule="exact"/>
        <w:rPr>
          <w:sz w:val="20"/>
          <w:szCs w:val="20"/>
          <w:color w:val="auto"/>
        </w:rPr>
      </w:pPr>
    </w:p>
    <w:p>
      <w:pPr>
        <w:ind w:right="580"/>
        <w:spacing w:after="0" w:line="227" w:lineRule="auto"/>
        <w:rPr>
          <w:rFonts w:ascii="Arial" w:cs="Arial" w:eastAsia="Arial" w:hAnsi="Arial"/>
          <w:sz w:val="18"/>
          <w:szCs w:val="18"/>
          <w:color w:val="0000FF"/>
        </w:rPr>
      </w:pPr>
      <w:hyperlink w:anchor="page6">
        <w:r>
          <w:rPr>
            <w:rFonts w:ascii="Arial" w:cs="Arial" w:eastAsia="Arial" w:hAnsi="Arial"/>
            <w:sz w:val="18"/>
            <w:szCs w:val="18"/>
            <w:u w:val="single" w:color="auto"/>
            <w:color w:val="0000FF"/>
          </w:rPr>
          <w:t>Condensed Consolidated Statements of Cash Flows – Six Months Ended September</w:t>
        </w:r>
        <w:r>
          <w:rPr>
            <w:rFonts w:ascii="Arial" w:cs="Arial" w:eastAsia="Arial" w:hAnsi="Arial"/>
            <w:sz w:val="18"/>
            <w:szCs w:val="18"/>
            <w:color w:val="0000FF"/>
          </w:rPr>
          <w:t xml:space="preserve"> 27, 2020</w:t>
        </w:r>
      </w:hyperlink>
      <w:r>
        <w:rPr>
          <w:rFonts w:ascii="Arial" w:cs="Arial" w:eastAsia="Arial" w:hAnsi="Arial"/>
          <w:sz w:val="18"/>
          <w:szCs w:val="18"/>
          <w:color w:val="0000FF"/>
        </w:rPr>
        <w:t xml:space="preserve"> </w:t>
      </w:r>
      <w:hyperlink w:anchor="page6">
        <w:r>
          <w:rPr>
            <w:rFonts w:ascii="Arial" w:cs="Arial" w:eastAsia="Arial" w:hAnsi="Arial"/>
            <w:sz w:val="18"/>
            <w:szCs w:val="18"/>
            <w:u w:val="single" w:color="auto"/>
            <w:color w:val="0000FF"/>
          </w:rPr>
          <w:t>and September</w:t>
        </w:r>
        <w:r>
          <w:rPr>
            <w:rFonts w:ascii="Arial" w:cs="Arial" w:eastAsia="Arial" w:hAnsi="Arial"/>
            <w:sz w:val="18"/>
            <w:szCs w:val="18"/>
            <w:color w:val="0000FF"/>
          </w:rPr>
          <w:t xml:space="preserve"> 29, </w:t>
        </w:r>
        <w:r>
          <w:rPr>
            <w:rFonts w:ascii="Arial" w:cs="Arial" w:eastAsia="Arial" w:hAnsi="Arial"/>
            <w:sz w:val="18"/>
            <w:szCs w:val="18"/>
            <w:u w:val="single" w:color="auto"/>
            <w:color w:val="0000FF"/>
          </w:rPr>
          <w:t>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4297045</wp:posOffset>
            </wp:positionH>
            <wp:positionV relativeFrom="paragraph">
              <wp:posOffset>-135890</wp:posOffset>
            </wp:positionV>
            <wp:extent cx="4762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6250" cy="8890"/>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-24765</wp:posOffset>
            </wp:positionV>
            <wp:extent cx="158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750" cy="8890"/>
                    </a:xfrm>
                    <a:prstGeom prst="rect">
                      <a:avLst/>
                    </a:prstGeom>
                    <a:noFill/>
                  </pic:spPr>
                </pic:pic>
              </a:graphicData>
            </a:graphic>
          </wp:anchor>
        </w:drawing>
      </w:r>
    </w:p>
    <w:p>
      <w:pPr>
        <w:spacing w:after="0" w:line="47" w:lineRule="exact"/>
        <w:rPr>
          <w:sz w:val="20"/>
          <w:szCs w:val="20"/>
          <w:color w:val="auto"/>
        </w:rPr>
      </w:pPr>
    </w:p>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p>
      <w:pPr>
        <w:spacing w:after="0" w:line="77" w:lineRule="exact"/>
        <w:rPr>
          <w:sz w:val="20"/>
          <w:szCs w:val="20"/>
          <w:color w:val="auto"/>
        </w:rPr>
      </w:pPr>
    </w:p>
    <w:p>
      <w:pPr>
        <w:ind w:right="1020"/>
        <w:spacing w:after="0" w:line="351" w:lineRule="auto"/>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Management’s Discussion and Analysis of Financial Condition and Results of Operations</w:t>
        </w:r>
      </w:hyperlink>
      <w:r>
        <w:rPr>
          <w:rFonts w:ascii="Arial" w:cs="Arial" w:eastAsia="Arial" w:hAnsi="Arial"/>
          <w:sz w:val="18"/>
          <w:szCs w:val="18"/>
          <w:u w:val="single" w:color="auto"/>
          <w:color w:val="0000FF"/>
        </w:rPr>
        <w:t xml:space="preserve"> </w:t>
      </w:r>
      <w:hyperlink w:anchor="page20">
        <w:r>
          <w:rPr>
            <w:rFonts w:ascii="Arial" w:cs="Arial" w:eastAsia="Arial" w:hAnsi="Arial"/>
            <w:sz w:val="18"/>
            <w:szCs w:val="18"/>
            <w:u w:val="single" w:color="auto"/>
            <w:color w:val="0000FF"/>
          </w:rPr>
          <w:t>Quantitative and Qualitative Disclosures about Market Risk</w:t>
        </w:r>
      </w:hyperlink>
      <w:r>
        <w:rPr>
          <w:rFonts w:ascii="Arial" w:cs="Arial" w:eastAsia="Arial" w:hAnsi="Arial"/>
          <w:sz w:val="18"/>
          <w:szCs w:val="18"/>
          <w:u w:val="single" w:color="auto"/>
          <w:color w:val="0000FF"/>
        </w:rPr>
        <w:t xml:space="preserve"> </w:t>
      </w:r>
      <w:hyperlink w:anchor="page21">
        <w:r>
          <w:rPr>
            <w:rFonts w:ascii="Arial" w:cs="Arial" w:eastAsia="Arial" w:hAnsi="Arial"/>
            <w:sz w:val="18"/>
            <w:szCs w:val="18"/>
            <w:u w:val="single" w:color="auto"/>
            <w:color w:val="0000FF"/>
          </w:rPr>
          <w:t>Controls and Procedures</w:t>
        </w:r>
      </w:hyperlink>
    </w:p>
    <w:p>
      <w:pPr>
        <w:spacing w:after="0" w:line="1" w:lineRule="exact"/>
        <w:rPr>
          <w:rFonts w:ascii="Arial" w:cs="Arial" w:eastAsia="Arial" w:hAnsi="Arial"/>
          <w:sz w:val="18"/>
          <w:szCs w:val="18"/>
          <w:u w:val="single" w:color="auto"/>
          <w:color w:val="0000FF"/>
        </w:rPr>
      </w:pPr>
    </w:p>
    <w:p>
      <w:pPr>
        <w:spacing w:after="0"/>
        <w:rPr>
          <w:rFonts w:ascii="Arial" w:cs="Arial" w:eastAsia="Arial" w:hAnsi="Arial"/>
          <w:sz w:val="18"/>
          <w:szCs w:val="18"/>
          <w:b w:val="1"/>
          <w:bCs w:val="1"/>
          <w:u w:val="single" w:color="auto"/>
          <w:color w:val="0000FF"/>
        </w:rPr>
      </w:pPr>
      <w:hyperlink w:anchor="page21">
        <w:r>
          <w:rPr>
            <w:rFonts w:ascii="Arial" w:cs="Arial" w:eastAsia="Arial" w:hAnsi="Arial"/>
            <w:sz w:val="18"/>
            <w:szCs w:val="18"/>
            <w:b w:val="1"/>
            <w:bCs w:val="1"/>
            <w:u w:val="single" w:color="auto"/>
            <w:color w:val="0000FF"/>
          </w:rPr>
          <w:t>OTHER INFORMATION</w:t>
        </w:r>
      </w:hyperlink>
    </w:p>
    <w:p>
      <w:pPr>
        <w:spacing w:after="0" w:line="126"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Legal Proceedings</w:t>
        </w:r>
      </w:hyperlink>
    </w:p>
    <w:p>
      <w:pPr>
        <w:spacing w:after="0" w:line="104"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Risk Factors</w:t>
        </w:r>
      </w:hyperlink>
    </w:p>
    <w:p>
      <w:pPr>
        <w:spacing w:after="0" w:line="104"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Unregistered Sales of Equity Securities and Use of Proceeds</w:t>
        </w:r>
      </w:hyperlink>
    </w:p>
    <w:p>
      <w:pPr>
        <w:spacing w:after="0" w:line="131"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Defaults Upon Senior Securities</w:t>
        </w:r>
      </w:hyperlink>
    </w:p>
    <w:p>
      <w:pPr>
        <w:spacing w:after="0" w:line="104"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Mine Safety Disclosures</w:t>
        </w:r>
      </w:hyperlink>
    </w:p>
    <w:p>
      <w:pPr>
        <w:spacing w:after="0" w:line="104"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Other Information</w:t>
        </w:r>
      </w:hyperlink>
    </w:p>
    <w:p>
      <w:pPr>
        <w:spacing w:after="0" w:line="77"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Exhibits</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9" w:lineRule="exact"/>
        <w:rPr>
          <w:rFonts w:ascii="Arial" w:cs="Arial" w:eastAsia="Arial" w:hAnsi="Arial"/>
          <w:sz w:val="18"/>
          <w:szCs w:val="18"/>
          <w:u w:val="single" w:color="auto"/>
          <w:color w:val="0000FF"/>
        </w:rPr>
      </w:pPr>
    </w:p>
    <w:p>
      <w:pPr>
        <w:ind w:left="4460"/>
        <w:spacing w:after="0"/>
        <w:rPr>
          <w:sz w:val="20"/>
          <w:szCs w:val="20"/>
          <w:color w:val="auto"/>
        </w:rPr>
      </w:pPr>
      <w:r>
        <w:rPr>
          <w:rFonts w:ascii="Arial" w:cs="Arial" w:eastAsia="Arial" w:hAnsi="Arial"/>
          <w:sz w:val="18"/>
          <w:szCs w:val="18"/>
          <w:color w:val="auto"/>
        </w:rPr>
        <w:t>i</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7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4"/>
          <w:szCs w:val="14"/>
          <w:b w:val="1"/>
          <w:bCs w:val="1"/>
          <w:color w:val="auto"/>
        </w:rPr>
        <w:t>Page</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29"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77"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p>
      <w:pPr>
        <w:spacing w:after="0" w:line="252"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p>
      <w:pPr>
        <w:spacing w:after="0" w:line="252"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252"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252"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13</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19</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19</w:t>
        </w:r>
      </w:hyperlink>
    </w:p>
    <w:p>
      <w:pPr>
        <w:spacing w:after="0" w:line="200" w:lineRule="exact"/>
        <w:rPr>
          <w:rFonts w:ascii="Arial" w:cs="Arial" w:eastAsia="Arial" w:hAnsi="Arial"/>
          <w:sz w:val="18"/>
          <w:szCs w:val="18"/>
          <w:u w:val="single" w:color="auto"/>
          <w:color w:val="0000FF"/>
        </w:rPr>
      </w:pPr>
    </w:p>
    <w:p>
      <w:pPr>
        <w:spacing w:after="0" w:line="21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20</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20</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20</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20</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20</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20</w:t>
        </w:r>
      </w:hyperlink>
    </w:p>
    <w:p>
      <w:pPr>
        <w:spacing w:after="0" w:line="10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21</w:t>
        </w:r>
      </w:hyperlink>
    </w:p>
    <w:p>
      <w:pPr>
        <w:sectPr>
          <w:pgSz w:w="11900" w:h="16838" w:orient="portrait"/>
          <w:cols w:equalWidth="0" w:num="3">
            <w:col w:w="680" w:space="440"/>
            <w:col w:w="8100" w:space="720"/>
            <w:col w:w="340"/>
          </w:cols>
          <w:pgMar w:left="340" w:top="886" w:right="12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ITEM 1.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data)</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27,</w:t>
            </w:r>
          </w:p>
        </w:tc>
        <w:tc>
          <w:tcPr>
            <w:tcW w:w="240" w:type="dxa"/>
            <w:vAlign w:val="bottom"/>
          </w:tcPr>
          <w:p>
            <w:pPr>
              <w:spacing w:after="0"/>
              <w:rPr>
                <w:sz w:val="16"/>
                <w:szCs w:val="16"/>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29,</w:t>
            </w:r>
          </w:p>
        </w:tc>
        <w:tc>
          <w:tcPr>
            <w:tcW w:w="0" w:type="dxa"/>
            <w:vAlign w:val="bottom"/>
          </w:tcPr>
          <w:p>
            <w:pPr>
              <w:spacing w:after="0"/>
              <w:rPr>
                <w:sz w:val="1"/>
                <w:szCs w:val="1"/>
                <w:color w:val="auto"/>
              </w:rPr>
            </w:pPr>
          </w:p>
        </w:tc>
      </w:tr>
      <w:tr>
        <w:trPr>
          <w:trHeight w:val="228"/>
        </w:trPr>
        <w:tc>
          <w:tcPr>
            <w:tcW w:w="8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0" w:type="dxa"/>
            <w:vAlign w:val="bottom"/>
          </w:tcPr>
          <w:p>
            <w:pPr>
              <w:spacing w:after="0"/>
              <w:rPr>
                <w:sz w:val="1"/>
                <w:szCs w:val="1"/>
                <w:color w:val="auto"/>
              </w:rPr>
            </w:pPr>
          </w:p>
        </w:tc>
      </w:tr>
      <w:tr>
        <w:trPr>
          <w:trHeight w:val="233"/>
        </w:trPr>
        <w:tc>
          <w:tcPr>
            <w:tcW w:w="8160" w:type="dxa"/>
            <w:vAlign w:val="bottom"/>
          </w:tcPr>
          <w:p>
            <w:pPr>
              <w:ind w:left="320"/>
              <w:spacing w:after="0"/>
              <w:rPr>
                <w:sz w:val="20"/>
                <w:szCs w:val="20"/>
                <w:color w:val="auto"/>
              </w:rPr>
            </w:pPr>
            <w:r>
              <w:rPr>
                <w:rFonts w:ascii="Arial" w:cs="Arial" w:eastAsia="Arial" w:hAnsi="Arial"/>
                <w:sz w:val="16"/>
                <w:szCs w:val="16"/>
                <w:color w:val="auto"/>
              </w:rPr>
              <w:t>Trade receivables — less allowance for doubtful accounts: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$552 as of September 27, 2020 and $784 as of March 29, 2020</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67,391</w:t>
            </w:r>
          </w:p>
        </w:tc>
        <w:tc>
          <w:tcPr>
            <w:tcW w:w="0" w:type="dxa"/>
            <w:vAlign w:val="bottom"/>
          </w:tcPr>
          <w:p>
            <w:pPr>
              <w:spacing w:after="0"/>
              <w:rPr>
                <w:sz w:val="1"/>
                <w:szCs w:val="1"/>
                <w:color w:val="auto"/>
              </w:rPr>
            </w:pPr>
          </w:p>
        </w:tc>
      </w:tr>
      <w:tr>
        <w:trPr>
          <w:trHeight w:val="233"/>
        </w:trPr>
        <w:tc>
          <w:tcPr>
            <w:tcW w:w="816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63,194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54,436</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4,927</w:t>
            </w:r>
          </w:p>
        </w:tc>
        <w:tc>
          <w:tcPr>
            <w:tcW w:w="0" w:type="dxa"/>
            <w:vAlign w:val="bottom"/>
          </w:tcPr>
          <w:p>
            <w:pPr>
              <w:spacing w:after="0"/>
              <w:rPr>
                <w:sz w:val="1"/>
                <w:szCs w:val="1"/>
                <w:color w:val="auto"/>
              </w:rPr>
            </w:pPr>
          </w:p>
        </w:tc>
      </w:tr>
      <w:tr>
        <w:trPr>
          <w:trHeight w:val="227"/>
        </w:trPr>
        <w:tc>
          <w:tcPr>
            <w:tcW w:w="8160" w:type="dxa"/>
            <w:vAlign w:val="bottom"/>
          </w:tcPr>
          <w:p>
            <w:pPr>
              <w:ind w:left="78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142,581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131,031</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276,228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267,221</w:t>
            </w: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Less accumulated depreciation</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148,754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140,877</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Net property, plant, and equipment</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126,344</w:t>
            </w: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Right-of-use assets</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9,090</w:t>
            </w:r>
          </w:p>
        </w:tc>
        <w:tc>
          <w:tcPr>
            <w:tcW w:w="0" w:type="dxa"/>
            <w:vAlign w:val="bottom"/>
          </w:tcPr>
          <w:p>
            <w:pPr>
              <w:spacing w:after="0"/>
              <w:rPr>
                <w:sz w:val="1"/>
                <w:szCs w:val="1"/>
                <w:color w:val="auto"/>
              </w:rPr>
            </w:pPr>
          </w:p>
        </w:tc>
      </w:tr>
      <w:tr>
        <w:trPr>
          <w:trHeight w:val="233"/>
        </w:trPr>
        <w:tc>
          <w:tcPr>
            <w:tcW w:w="8160" w:type="dxa"/>
            <w:vAlign w:val="bottom"/>
          </w:tcPr>
          <w:p>
            <w:pPr>
              <w:ind w:left="3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67,692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58,440</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Intangible assets, net of accumulated amortization</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71,247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60,653</w:t>
            </w:r>
          </w:p>
        </w:tc>
        <w:tc>
          <w:tcPr>
            <w:tcW w:w="0" w:type="dxa"/>
            <w:vAlign w:val="bottom"/>
          </w:tcPr>
          <w:p>
            <w:pPr>
              <w:spacing w:after="0"/>
              <w:rPr>
                <w:sz w:val="1"/>
                <w:szCs w:val="1"/>
                <w:color w:val="auto"/>
              </w:rPr>
            </w:pPr>
          </w:p>
        </w:tc>
      </w:tr>
      <w:tr>
        <w:trPr>
          <w:trHeight w:val="237"/>
        </w:trPr>
        <w:tc>
          <w:tcPr>
            <w:tcW w:w="81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w:t>
            </w:r>
          </w:p>
        </w:tc>
        <w:tc>
          <w:tcPr>
            <w:tcW w:w="0" w:type="dxa"/>
            <w:vAlign w:val="bottom"/>
          </w:tcPr>
          <w:p>
            <w:pPr>
              <w:spacing w:after="0"/>
              <w:rPr>
                <w:sz w:val="1"/>
                <w:szCs w:val="1"/>
                <w:color w:val="auto"/>
              </w:rPr>
            </w:pPr>
          </w:p>
        </w:tc>
      </w:tr>
      <w:tr>
        <w:trPr>
          <w:trHeight w:val="237"/>
        </w:trPr>
        <w:tc>
          <w:tcPr>
            <w:tcW w:w="81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other assets</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153,025</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131,953</w:t>
            </w:r>
          </w:p>
        </w:tc>
        <w:tc>
          <w:tcPr>
            <w:tcW w:w="0" w:type="dxa"/>
            <w:vAlign w:val="bottom"/>
          </w:tcPr>
          <w:p>
            <w:pPr>
              <w:spacing w:after="0"/>
              <w:rPr>
                <w:sz w:val="1"/>
                <w:szCs w:val="1"/>
                <w:color w:val="auto"/>
              </w:rPr>
            </w:pPr>
          </w:p>
        </w:tc>
      </w:tr>
      <w:tr>
        <w:trPr>
          <w:trHeight w:val="236"/>
        </w:trPr>
        <w:tc>
          <w:tcPr>
            <w:tcW w:w="8160" w:type="dxa"/>
            <w:vAlign w:val="bottom"/>
          </w:tcPr>
          <w:p>
            <w:pPr>
              <w:ind w:left="7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423,080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389,328</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 — trade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34,129</w:t>
            </w:r>
          </w:p>
        </w:tc>
        <w:tc>
          <w:tcPr>
            <w:tcW w:w="0" w:type="dxa"/>
            <w:vAlign w:val="bottom"/>
          </w:tcPr>
          <w:p>
            <w:pPr>
              <w:spacing w:after="0"/>
              <w:rPr>
                <w:sz w:val="1"/>
                <w:szCs w:val="1"/>
                <w:color w:val="auto"/>
              </w:rPr>
            </w:pPr>
          </w:p>
        </w:tc>
      </w:tr>
      <w:tr>
        <w:trPr>
          <w:trHeight w:val="233"/>
        </w:trPr>
        <w:tc>
          <w:tcPr>
            <w:tcW w:w="8160" w:type="dxa"/>
            <w:vAlign w:val="bottom"/>
          </w:tcPr>
          <w:p>
            <w:pPr>
              <w:ind w:left="320"/>
              <w:spacing w:after="0"/>
              <w:rPr>
                <w:sz w:val="20"/>
                <w:szCs w:val="20"/>
                <w:color w:val="auto"/>
              </w:rPr>
            </w:pPr>
            <w:r>
              <w:rPr>
                <w:rFonts w:ascii="Arial" w:cs="Arial" w:eastAsia="Arial" w:hAnsi="Arial"/>
                <w:sz w:val="16"/>
                <w:szCs w:val="16"/>
                <w:color w:val="auto"/>
              </w:rPr>
              <w:t>Accrued payroll and employee benefits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13,538</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payable</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3"/>
        </w:trPr>
        <w:tc>
          <w:tcPr>
            <w:tcW w:w="8160" w:type="dxa"/>
            <w:vAlign w:val="bottom"/>
          </w:tcPr>
          <w:p>
            <w:pPr>
              <w:ind w:left="32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9,907</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Short-term lease liability</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w:t>
            </w:r>
          </w:p>
        </w:tc>
        <w:tc>
          <w:tcPr>
            <w:tcW w:w="0" w:type="dxa"/>
            <w:vAlign w:val="bottom"/>
          </w:tcPr>
          <w:p>
            <w:pPr>
              <w:spacing w:after="0"/>
              <w:rPr>
                <w:sz w:val="1"/>
                <w:szCs w:val="1"/>
                <w:color w:val="auto"/>
              </w:rPr>
            </w:pPr>
          </w:p>
        </w:tc>
      </w:tr>
      <w:tr>
        <w:trPr>
          <w:trHeight w:val="233"/>
        </w:trPr>
        <w:tc>
          <w:tcPr>
            <w:tcW w:w="8160" w:type="dxa"/>
            <w:vAlign w:val="bottom"/>
          </w:tcPr>
          <w:p>
            <w:pPr>
              <w:ind w:left="320"/>
              <w:spacing w:after="0"/>
              <w:rPr>
                <w:sz w:val="20"/>
                <w:szCs w:val="20"/>
                <w:color w:val="auto"/>
              </w:rPr>
            </w:pPr>
            <w:r>
              <w:rPr>
                <w:rFonts w:ascii="Arial" w:cs="Arial" w:eastAsia="Arial" w:hAnsi="Arial"/>
                <w:sz w:val="16"/>
                <w:szCs w:val="16"/>
                <w:color w:val="auto"/>
              </w:rPr>
              <w:t>Container deposits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current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1,639</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27"/>
        </w:trPr>
        <w:tc>
          <w:tcPr>
            <w:tcW w:w="8160" w:type="dxa"/>
            <w:vAlign w:val="bottom"/>
          </w:tcPr>
          <w:p>
            <w:pPr>
              <w:ind w:left="7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58,758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62,220</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LESS CURRENT PORTION</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65,798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49,751</w:t>
            </w: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7,649</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WITHDRAWAL LIABILITY</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w:t>
            </w: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25,116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25,106</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6,841</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6,140</w:t>
            </w:r>
          </w:p>
        </w:tc>
        <w:tc>
          <w:tcPr>
            <w:tcW w:w="0" w:type="dxa"/>
            <w:vAlign w:val="bottom"/>
          </w:tcPr>
          <w:p>
            <w:pPr>
              <w:spacing w:after="0"/>
              <w:rPr>
                <w:sz w:val="1"/>
                <w:szCs w:val="1"/>
                <w:color w:val="auto"/>
              </w:rPr>
            </w:pPr>
          </w:p>
        </w:tc>
      </w:tr>
      <w:tr>
        <w:trPr>
          <w:trHeight w:val="227"/>
        </w:trPr>
        <w:tc>
          <w:tcPr>
            <w:tcW w:w="8160" w:type="dxa"/>
            <w:vAlign w:val="bottom"/>
          </w:tcPr>
          <w:p>
            <w:pPr>
              <w:ind w:left="78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168,443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155,844</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16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 authorized: 30,000,000 shares of $0.05 par value; 10,545,203 and 10,512,229 shares</w:t>
            </w:r>
          </w:p>
        </w:tc>
        <w:tc>
          <w:tcPr>
            <w:tcW w:w="14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01"/>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issued and outstanding as of September 27, 2020 and March 29, 2020, respectively</w:t>
            </w:r>
          </w:p>
        </w:tc>
        <w:tc>
          <w:tcPr>
            <w:tcW w:w="14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160" w:type="dxa"/>
            <w:vAlign w:val="bottom"/>
          </w:tcPr>
          <w:p>
            <w:pPr>
              <w:ind w:left="3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52,194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50,090</w:t>
            </w:r>
          </w:p>
        </w:tc>
        <w:tc>
          <w:tcPr>
            <w:tcW w:w="0" w:type="dxa"/>
            <w:vAlign w:val="bottom"/>
          </w:tcPr>
          <w:p>
            <w:pPr>
              <w:spacing w:after="0"/>
              <w:rPr>
                <w:sz w:val="1"/>
                <w:szCs w:val="1"/>
                <w:color w:val="auto"/>
              </w:rPr>
            </w:pPr>
          </w:p>
        </w:tc>
      </w:tr>
      <w:tr>
        <w:trPr>
          <w:trHeight w:val="253"/>
        </w:trPr>
        <w:tc>
          <w:tcPr>
            <w:tcW w:w="8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201,966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182,947</w:t>
            </w: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shareholders’ equity</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254,637</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233,484</w:t>
            </w:r>
          </w:p>
        </w:tc>
        <w:tc>
          <w:tcPr>
            <w:tcW w:w="0" w:type="dxa"/>
            <w:vAlign w:val="bottom"/>
          </w:tcPr>
          <w:p>
            <w:pPr>
              <w:spacing w:after="0"/>
              <w:rPr>
                <w:sz w:val="1"/>
                <w:szCs w:val="1"/>
                <w:color w:val="auto"/>
              </w:rPr>
            </w:pPr>
          </w:p>
        </w:tc>
      </w:tr>
      <w:tr>
        <w:trPr>
          <w:trHeight w:val="236"/>
        </w:trPr>
        <w:tc>
          <w:tcPr>
            <w:tcW w:w="8160" w:type="dxa"/>
            <w:vAlign w:val="bottom"/>
          </w:tcPr>
          <w:p>
            <w:pPr>
              <w:ind w:left="780"/>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423,080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389,328</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share and per-share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6"/>
                <w:szCs w:val="16"/>
                <w:b w:val="1"/>
                <w:bCs w:val="1"/>
                <w:color w:val="auto"/>
              </w:rPr>
              <w:t>Six Months Ended</w:t>
            </w:r>
          </w:p>
        </w:tc>
      </w:tr>
      <w:tr>
        <w:trPr>
          <w:trHeight w:val="176"/>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29,</w:t>
            </w:r>
          </w:p>
        </w:tc>
        <w:tc>
          <w:tcPr>
            <w:tcW w:w="14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15"/>
                <w:szCs w:val="15"/>
                <w:color w:val="auto"/>
              </w:rPr>
            </w:pPr>
          </w:p>
        </w:tc>
        <w:tc>
          <w:tcPr>
            <w:tcW w:w="1200" w:type="dxa"/>
            <w:vAlign w:val="bottom"/>
          </w:tcPr>
          <w:p>
            <w:pPr>
              <w:jc w:val="right"/>
              <w:ind w:right="92"/>
              <w:spacing w:after="0"/>
              <w:rPr>
                <w:sz w:val="20"/>
                <w:szCs w:val="20"/>
                <w:color w:val="auto"/>
              </w:rPr>
            </w:pPr>
            <w:r>
              <w:rPr>
                <w:rFonts w:ascii="Arial" w:cs="Arial" w:eastAsia="Arial" w:hAnsi="Arial"/>
                <w:sz w:val="14"/>
                <w:szCs w:val="14"/>
                <w:b w:val="1"/>
                <w:bCs w:val="1"/>
                <w:color w:val="auto"/>
              </w:rPr>
              <w:t>September 29,</w:t>
            </w:r>
          </w:p>
        </w:tc>
      </w:tr>
      <w:tr>
        <w:trPr>
          <w:trHeight w:val="196"/>
        </w:trPr>
        <w:tc>
          <w:tcPr>
            <w:tcW w:w="5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r>
      <w:tr>
        <w:trPr>
          <w:trHeight w:val="256"/>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147,801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287,379</w:t>
            </w:r>
          </w:p>
        </w:tc>
      </w:tr>
      <w:tr>
        <w:trPr>
          <w:trHeight w:val="25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(115,004)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(112,049)</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(230,588)</w:t>
            </w:r>
          </w:p>
        </w:tc>
      </w:tr>
      <w:tr>
        <w:trPr>
          <w:trHeight w:val="25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32,797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56,791</w:t>
            </w:r>
          </w:p>
        </w:tc>
      </w:tr>
      <w:tr>
        <w:trPr>
          <w:trHeight w:val="25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(29,653)</w:t>
            </w:r>
          </w:p>
        </w:tc>
      </w:tr>
      <w:tr>
        <w:trPr>
          <w:trHeight w:val="25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16,576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27,138</w:t>
            </w: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(1,429)</w:t>
            </w:r>
          </w:p>
        </w:tc>
      </w:tr>
      <w:tr>
        <w:trPr>
          <w:trHeight w:val="26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16,564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25,852</w:t>
            </w:r>
          </w:p>
        </w:tc>
      </w:tr>
      <w:tr>
        <w:trPr>
          <w:trHeight w:val="26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(6,795)</w:t>
            </w: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12,190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23,978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19,057</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3"/>
        </w:trPr>
        <w:tc>
          <w:tcPr>
            <w:tcW w:w="5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10,527,891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10,575,538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10,526,511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10,589,922</w:t>
            </w:r>
          </w:p>
        </w:tc>
      </w:tr>
      <w:tr>
        <w:trPr>
          <w:trHeight w:val="26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10,622,881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10,633,117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10,634,281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10,663,864</w:t>
            </w:r>
          </w:p>
        </w:tc>
      </w:tr>
      <w:tr>
        <w:trPr>
          <w:trHeight w:val="270"/>
        </w:trPr>
        <w:tc>
          <w:tcPr>
            <w:tcW w:w="5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r>
      <w:tr>
        <w:trPr>
          <w:trHeight w:val="250"/>
        </w:trPr>
        <w:tc>
          <w:tcPr>
            <w:tcW w:w="55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1.79</w:t>
            </w:r>
          </w:p>
        </w:tc>
      </w:tr>
      <w:tr>
        <w:trPr>
          <w:trHeight w:val="277"/>
        </w:trPr>
        <w:tc>
          <w:tcPr>
            <w:tcW w:w="5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0.2325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0.46</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15"/>
                <w:szCs w:val="15"/>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29,</w:t>
            </w:r>
          </w:p>
        </w:tc>
        <w:tc>
          <w:tcPr>
            <w:tcW w:w="16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27,</w:t>
            </w:r>
          </w:p>
        </w:tc>
        <w:tc>
          <w:tcPr>
            <w:tcW w:w="160" w:type="dxa"/>
            <w:vAlign w:val="bottom"/>
          </w:tcPr>
          <w:p>
            <w:pPr>
              <w:spacing w:after="0"/>
              <w:rPr>
                <w:sz w:val="15"/>
                <w:szCs w:val="15"/>
                <w:color w:val="auto"/>
              </w:rPr>
            </w:pPr>
          </w:p>
        </w:tc>
        <w:tc>
          <w:tcPr>
            <w:tcW w:w="1200" w:type="dxa"/>
            <w:vAlign w:val="bottom"/>
          </w:tcPr>
          <w:p>
            <w:pPr>
              <w:jc w:val="right"/>
              <w:ind w:right="97"/>
              <w:spacing w:after="0"/>
              <w:rPr>
                <w:sz w:val="20"/>
                <w:szCs w:val="20"/>
                <w:color w:val="auto"/>
              </w:rPr>
            </w:pPr>
            <w:r>
              <w:rPr>
                <w:rFonts w:ascii="Arial" w:cs="Arial" w:eastAsia="Arial" w:hAnsi="Arial"/>
                <w:sz w:val="14"/>
                <w:szCs w:val="14"/>
                <w:b w:val="1"/>
                <w:bCs w:val="1"/>
                <w:color w:val="auto"/>
              </w:rPr>
              <w:t>September 29,</w:t>
            </w:r>
          </w:p>
        </w:tc>
      </w:tr>
      <w:tr>
        <w:trPr>
          <w:trHeight w:val="196"/>
        </w:trPr>
        <w:tc>
          <w:tcPr>
            <w:tcW w:w="5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r>
      <w:tr>
        <w:trPr>
          <w:trHeight w:val="25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12,190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9,250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19,057</w:t>
            </w:r>
          </w:p>
        </w:tc>
      </w:tr>
      <w:tr>
        <w:trPr>
          <w:trHeight w:val="250"/>
        </w:trPr>
        <w:tc>
          <w:tcPr>
            <w:tcW w:w="55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5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interest rate swap</w:t>
            </w: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12,229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9,181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18,809</w:t>
            </w:r>
          </w:p>
        </w:tc>
      </w:tr>
      <w:tr>
        <w:trPr>
          <w:trHeight w:val="27"/>
        </w:trPr>
        <w:tc>
          <w:tcPr>
            <w:tcW w:w="5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ind w:right="4740"/>
        <w:spacing w:after="0" w:line="228" w:lineRule="auto"/>
        <w:rPr>
          <w:sz w:val="20"/>
          <w:szCs w:val="20"/>
          <w:color w:val="auto"/>
        </w:rPr>
      </w:pPr>
      <w:r>
        <w:rPr>
          <w:rFonts w:ascii="Arial" w:cs="Arial" w:eastAsia="Arial" w:hAnsi="Arial"/>
          <w:sz w:val="18"/>
          <w:szCs w:val="18"/>
          <w:b w:val="1"/>
          <w:bCs w:val="1"/>
          <w:color w:val="auto"/>
        </w:rPr>
        <w:t xml:space="preserve">CONDENSED CONSOLIDATED STATEMENTS OF SHAREHOLDERS’ EQUITY </w:t>
      </w:r>
      <w:r>
        <w:rPr>
          <w:rFonts w:ascii="Arial" w:cs="Arial" w:eastAsia="Arial" w:hAnsi="Arial"/>
          <w:sz w:val="14"/>
          <w:szCs w:val="14"/>
          <w:b w:val="1"/>
          <w:bCs w:val="1"/>
          <w:color w:val="auto"/>
        </w:rPr>
        <w:t>(In thousands, except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242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08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10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080" w:type="dxa"/>
            <w:vAlign w:val="bottom"/>
          </w:tcPr>
          <w:p>
            <w:pPr>
              <w:jc w:val="center"/>
              <w:ind w:right="40"/>
              <w:spacing w:after="0" w:line="143"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7"/>
                <w:szCs w:val="17"/>
                <w:color w:val="auto"/>
              </w:rPr>
            </w:pPr>
          </w:p>
        </w:tc>
        <w:tc>
          <w:tcPr>
            <w:tcW w:w="1080" w:type="dxa"/>
            <w:vAlign w:val="bottom"/>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1"/>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29, 2020</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10,512,229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50,090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182,947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233,484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6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53"/>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33"/>
        </w:trPr>
        <w:tc>
          <w:tcPr>
            <w:tcW w:w="3680" w:type="dxa"/>
            <w:vAlign w:val="bottom"/>
          </w:tcPr>
          <w:p>
            <w:pPr>
              <w:ind w:left="34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5,263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 surrendered for payroll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3"/>
        </w:trPr>
        <w:tc>
          <w:tcPr>
            <w:tcW w:w="3680" w:type="dxa"/>
            <w:vAlign w:val="bottom"/>
          </w:tcPr>
          <w:p>
            <w:pPr>
              <w:ind w:left="340"/>
              <w:spacing w:after="0"/>
              <w:rPr>
                <w:sz w:val="20"/>
                <w:szCs w:val="20"/>
                <w:color w:val="auto"/>
              </w:rPr>
            </w:pPr>
            <w:r>
              <w:rPr>
                <w:rFonts w:ascii="Arial" w:cs="Arial" w:eastAsia="Arial" w:hAnsi="Arial"/>
                <w:sz w:val="16"/>
                <w:szCs w:val="16"/>
                <w:color w:val="auto"/>
              </w:rPr>
              <w:t>Other comprehensive loss, net of tax</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3"/>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11,788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11,788</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6"/>
                <w:szCs w:val="16"/>
                <w:color w:val="auto"/>
              </w:rPr>
              <w:t>BALANCE — June 28, 2020</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10,515,835</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50,736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192,256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243,429</w:t>
            </w:r>
          </w:p>
        </w:tc>
        <w:tc>
          <w:tcPr>
            <w:tcW w:w="0" w:type="dxa"/>
            <w:vAlign w:val="bottom"/>
          </w:tcPr>
          <w:p>
            <w:pPr>
              <w:spacing w:after="0"/>
              <w:rPr>
                <w:sz w:val="1"/>
                <w:szCs w:val="1"/>
                <w:color w:val="auto"/>
              </w:rPr>
            </w:pPr>
          </w:p>
        </w:tc>
      </w:tr>
      <w:tr>
        <w:trPr>
          <w:trHeight w:val="21"/>
        </w:trPr>
        <w:tc>
          <w:tcPr>
            <w:tcW w:w="36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0" w:type="dxa"/>
            <w:vAlign w:val="bottom"/>
          </w:tcPr>
          <w:p>
            <w:pPr>
              <w:spacing w:after="0"/>
              <w:rPr>
                <w:sz w:val="1"/>
                <w:szCs w:val="1"/>
                <w:color w:val="auto"/>
              </w:rPr>
            </w:pPr>
          </w:p>
        </w:tc>
      </w:tr>
      <w:tr>
        <w:trPr>
          <w:trHeight w:val="233"/>
        </w:trPr>
        <w:tc>
          <w:tcPr>
            <w:tcW w:w="3680" w:type="dxa"/>
            <w:vAlign w:val="bottom"/>
          </w:tcPr>
          <w:p>
            <w:pPr>
              <w:ind w:left="34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686</w:t>
            </w:r>
          </w:p>
        </w:tc>
        <w:tc>
          <w:tcPr>
            <w:tcW w:w="0" w:type="dxa"/>
            <w:vAlign w:val="bottom"/>
          </w:tcPr>
          <w:p>
            <w:pPr>
              <w:spacing w:after="0"/>
              <w:rPr>
                <w:sz w:val="1"/>
                <w:szCs w:val="1"/>
                <w:color w:val="auto"/>
              </w:rPr>
            </w:pPr>
          </w:p>
        </w:tc>
      </w:tr>
      <w:tr>
        <w:trPr>
          <w:trHeight w:val="253"/>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Vesting of restricted stock</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8,008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680" w:type="dxa"/>
            <w:vAlign w:val="bottom"/>
          </w:tcPr>
          <w:p>
            <w:pPr>
              <w:ind w:left="340"/>
              <w:spacing w:after="0"/>
              <w:rPr>
                <w:sz w:val="20"/>
                <w:szCs w:val="20"/>
                <w:color w:val="auto"/>
              </w:rPr>
            </w:pPr>
            <w:r>
              <w:rPr>
                <w:rFonts w:ascii="Arial" w:cs="Arial" w:eastAsia="Arial" w:hAnsi="Arial"/>
                <w:sz w:val="16"/>
                <w:szCs w:val="16"/>
                <w:color w:val="auto"/>
              </w:rPr>
              <w:t>ESPP shares issued</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21,360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53"/>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36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12,190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12,190</w:t>
            </w:r>
          </w:p>
        </w:tc>
        <w:tc>
          <w:tcPr>
            <w:tcW w:w="0" w:type="dxa"/>
            <w:vAlign w:val="bottom"/>
          </w:tcPr>
          <w:p>
            <w:pPr>
              <w:spacing w:after="0"/>
              <w:rPr>
                <w:sz w:val="1"/>
                <w:szCs w:val="1"/>
                <w:color w:val="auto"/>
              </w:rPr>
            </w:pPr>
          </w:p>
        </w:tc>
      </w:tr>
      <w:tr>
        <w:trPr>
          <w:trHeight w:val="241"/>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September 27, 2020</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10,545,203</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52,194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201,966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254,637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80" w:type="dxa"/>
            <w:vAlign w:val="bottom"/>
          </w:tcPr>
          <w:p>
            <w:pPr>
              <w:spacing w:after="0"/>
              <w:rPr>
                <w:sz w:val="13"/>
                <w:szCs w:val="13"/>
                <w:color w:val="auto"/>
              </w:rPr>
            </w:pPr>
          </w:p>
        </w:tc>
        <w:tc>
          <w:tcPr>
            <w:tcW w:w="242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220"/>
              <w:spacing w:after="0" w:line="150"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4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08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106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1080" w:type="dxa"/>
            <w:vAlign w:val="bottom"/>
          </w:tcPr>
          <w:p>
            <w:pPr>
              <w:jc w:val="center"/>
              <w:ind w:right="40"/>
              <w:spacing w:after="0" w:line="143"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122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7"/>
                <w:szCs w:val="17"/>
                <w:color w:val="auto"/>
              </w:rPr>
            </w:pPr>
          </w:p>
        </w:tc>
        <w:tc>
          <w:tcPr>
            <w:tcW w:w="1080" w:type="dxa"/>
            <w:vAlign w:val="bottom"/>
          </w:tcPr>
          <w:p>
            <w:pPr>
              <w:jc w:val="center"/>
              <w:ind w:right="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1"/>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March 31, 2019</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10,592,450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52,609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164,405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217,861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6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(2,460)</w:t>
            </w:r>
          </w:p>
        </w:tc>
        <w:tc>
          <w:tcPr>
            <w:tcW w:w="0" w:type="dxa"/>
            <w:vAlign w:val="bottom"/>
          </w:tcPr>
          <w:p>
            <w:pPr>
              <w:spacing w:after="0"/>
              <w:rPr>
                <w:sz w:val="1"/>
                <w:szCs w:val="1"/>
                <w:color w:val="auto"/>
              </w:rPr>
            </w:pPr>
          </w:p>
        </w:tc>
      </w:tr>
      <w:tr>
        <w:trPr>
          <w:trHeight w:val="253"/>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33"/>
        </w:trPr>
        <w:tc>
          <w:tcPr>
            <w:tcW w:w="3680" w:type="dxa"/>
            <w:vAlign w:val="bottom"/>
          </w:tcPr>
          <w:p>
            <w:pPr>
              <w:ind w:left="34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27,620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 surrendered for payroll taxes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33"/>
        </w:trPr>
        <w:tc>
          <w:tcPr>
            <w:tcW w:w="3680" w:type="dxa"/>
            <w:vAlign w:val="bottom"/>
          </w:tcPr>
          <w:p>
            <w:pPr>
              <w:ind w:left="340"/>
              <w:spacing w:after="0"/>
              <w:rPr>
                <w:sz w:val="20"/>
                <w:szCs w:val="20"/>
                <w:color w:val="auto"/>
              </w:rPr>
            </w:pPr>
            <w:r>
              <w:rPr>
                <w:rFonts w:ascii="Arial" w:cs="Arial" w:eastAsia="Arial" w:hAnsi="Arial"/>
                <w:sz w:val="16"/>
                <w:szCs w:val="16"/>
                <w:color w:val="auto"/>
              </w:rPr>
              <w:t>Shares repurchased</w:t>
            </w:r>
          </w:p>
        </w:tc>
        <w:tc>
          <w:tcPr>
            <w:tcW w:w="1100" w:type="dxa"/>
            <w:vAlign w:val="bottom"/>
          </w:tcPr>
          <w:p>
            <w:pPr>
              <w:jc w:val="right"/>
              <w:spacing w:after="0"/>
              <w:rPr>
                <w:sz w:val="20"/>
                <w:szCs w:val="20"/>
                <w:color w:val="auto"/>
              </w:rPr>
            </w:pPr>
            <w:r>
              <w:rPr>
                <w:rFonts w:ascii="Arial" w:cs="Arial" w:eastAsia="Arial" w:hAnsi="Arial"/>
                <w:sz w:val="16"/>
                <w:szCs w:val="16"/>
                <w:color w:val="auto"/>
              </w:rPr>
              <w:t>(47,136)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(1,803)</w:t>
            </w:r>
          </w:p>
        </w:tc>
        <w:tc>
          <w:tcPr>
            <w:tcW w:w="0" w:type="dxa"/>
            <w:vAlign w:val="bottom"/>
          </w:tcPr>
          <w:p>
            <w:pPr>
              <w:spacing w:after="0"/>
              <w:rPr>
                <w:sz w:val="1"/>
                <w:szCs w:val="1"/>
                <w:color w:val="auto"/>
              </w:rPr>
            </w:pPr>
          </w:p>
        </w:tc>
      </w:tr>
      <w:tr>
        <w:trPr>
          <w:trHeight w:val="253"/>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loss, net of tax</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36"/>
        </w:trPr>
        <w:tc>
          <w:tcPr>
            <w:tcW w:w="36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9,807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9,807</w:t>
            </w:r>
          </w:p>
        </w:tc>
        <w:tc>
          <w:tcPr>
            <w:tcW w:w="0" w:type="dxa"/>
            <w:vAlign w:val="bottom"/>
          </w:tcPr>
          <w:p>
            <w:pPr>
              <w:spacing w:after="0"/>
              <w:rPr>
                <w:sz w:val="1"/>
                <w:szCs w:val="1"/>
                <w:color w:val="auto"/>
              </w:rPr>
            </w:pPr>
          </w:p>
        </w:tc>
      </w:tr>
      <w:tr>
        <w:trPr>
          <w:trHeight w:val="262"/>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June 30, 2019</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10,563,774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50,974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171,752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223,392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6"/>
                <w:szCs w:val="16"/>
                <w:color w:val="auto"/>
              </w:rPr>
              <w:t>Cash dividends declared and paid</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68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(2,445)</w:t>
            </w:r>
          </w:p>
        </w:tc>
        <w:tc>
          <w:tcPr>
            <w:tcW w:w="0" w:type="dxa"/>
            <w:vAlign w:val="bottom"/>
          </w:tcPr>
          <w:p>
            <w:pPr>
              <w:spacing w:after="0"/>
              <w:rPr>
                <w:sz w:val="1"/>
                <w:szCs w:val="1"/>
                <w:color w:val="auto"/>
              </w:rPr>
            </w:pPr>
          </w:p>
        </w:tc>
      </w:tr>
      <w:tr>
        <w:trPr>
          <w:trHeight w:val="253"/>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33"/>
        </w:trPr>
        <w:tc>
          <w:tcPr>
            <w:tcW w:w="3680" w:type="dxa"/>
            <w:vAlign w:val="bottom"/>
          </w:tcPr>
          <w:p>
            <w:pPr>
              <w:ind w:left="340"/>
              <w:spacing w:after="0"/>
              <w:rPr>
                <w:sz w:val="20"/>
                <w:szCs w:val="20"/>
                <w:color w:val="auto"/>
              </w:rPr>
            </w:pPr>
            <w:r>
              <w:rPr>
                <w:rFonts w:ascii="Arial" w:cs="Arial" w:eastAsia="Arial" w:hAnsi="Arial"/>
                <w:sz w:val="16"/>
                <w:szCs w:val="16"/>
                <w:color w:val="auto"/>
              </w:rPr>
              <w:t>Vesting of restricted stock</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8,352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ESPP shares issued</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18,586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0" w:type="dxa"/>
            <w:vAlign w:val="bottom"/>
          </w:tcPr>
          <w:p>
            <w:pPr>
              <w:spacing w:after="0"/>
              <w:rPr>
                <w:sz w:val="1"/>
                <w:szCs w:val="1"/>
                <w:color w:val="auto"/>
              </w:rPr>
            </w:pPr>
          </w:p>
        </w:tc>
      </w:tr>
      <w:tr>
        <w:trPr>
          <w:trHeight w:val="233"/>
        </w:trPr>
        <w:tc>
          <w:tcPr>
            <w:tcW w:w="3680" w:type="dxa"/>
            <w:vAlign w:val="bottom"/>
          </w:tcPr>
          <w:p>
            <w:pPr>
              <w:ind w:left="340"/>
              <w:spacing w:after="0"/>
              <w:rPr>
                <w:sz w:val="20"/>
                <w:szCs w:val="20"/>
                <w:color w:val="auto"/>
              </w:rPr>
            </w:pPr>
            <w:r>
              <w:rPr>
                <w:rFonts w:ascii="Arial" w:cs="Arial" w:eastAsia="Arial" w:hAnsi="Arial"/>
                <w:sz w:val="16"/>
                <w:szCs w:val="16"/>
                <w:color w:val="auto"/>
              </w:rPr>
              <w:t>Shares repurchased</w:t>
            </w:r>
          </w:p>
        </w:tc>
        <w:tc>
          <w:tcPr>
            <w:tcW w:w="1100" w:type="dxa"/>
            <w:vAlign w:val="bottom"/>
          </w:tcPr>
          <w:p>
            <w:pPr>
              <w:jc w:val="right"/>
              <w:spacing w:after="0"/>
              <w:rPr>
                <w:sz w:val="20"/>
                <w:szCs w:val="20"/>
                <w:color w:val="auto"/>
              </w:rPr>
            </w:pPr>
            <w:r>
              <w:rPr>
                <w:rFonts w:ascii="Arial" w:cs="Arial" w:eastAsia="Arial" w:hAnsi="Arial"/>
                <w:sz w:val="16"/>
                <w:szCs w:val="16"/>
                <w:color w:val="auto"/>
              </w:rPr>
              <w:t>(44,259)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(1,990)</w:t>
            </w:r>
          </w:p>
        </w:tc>
        <w:tc>
          <w:tcPr>
            <w:tcW w:w="0" w:type="dxa"/>
            <w:vAlign w:val="bottom"/>
          </w:tcPr>
          <w:p>
            <w:pPr>
              <w:spacing w:after="0"/>
              <w:rPr>
                <w:sz w:val="1"/>
                <w:szCs w:val="1"/>
                <w:color w:val="auto"/>
              </w:rPr>
            </w:pPr>
          </w:p>
        </w:tc>
      </w:tr>
      <w:tr>
        <w:trPr>
          <w:trHeight w:val="253"/>
        </w:trPr>
        <w:tc>
          <w:tcPr>
            <w:tcW w:w="3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loss, net of tax</w:t>
            </w: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36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income</w:t>
            </w: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9,250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9,250</w:t>
            </w:r>
          </w:p>
        </w:tc>
        <w:tc>
          <w:tcPr>
            <w:tcW w:w="0" w:type="dxa"/>
            <w:vAlign w:val="bottom"/>
          </w:tcPr>
          <w:p>
            <w:pPr>
              <w:spacing w:after="0"/>
              <w:rPr>
                <w:sz w:val="1"/>
                <w:szCs w:val="1"/>
                <w:color w:val="auto"/>
              </w:rPr>
            </w:pPr>
          </w:p>
        </w:tc>
      </w:tr>
      <w:tr>
        <w:trPr>
          <w:trHeight w:val="261"/>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 September 29, 2019</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10,546,453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50,282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178,557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229,435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Six Months Ended</w:t>
            </w:r>
          </w:p>
        </w:tc>
      </w:tr>
      <w:tr>
        <w:trPr>
          <w:trHeight w:val="198"/>
        </w:trPr>
        <w:tc>
          <w:tcPr>
            <w:tcW w:w="8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27,</w:t>
            </w:r>
          </w:p>
        </w:tc>
        <w:tc>
          <w:tcPr>
            <w:tcW w:w="160" w:type="dxa"/>
            <w:vAlign w:val="bottom"/>
          </w:tcPr>
          <w:p>
            <w:pPr>
              <w:spacing w:after="0"/>
              <w:rPr>
                <w:sz w:val="17"/>
                <w:szCs w:val="17"/>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September 29,</w:t>
            </w:r>
          </w:p>
        </w:tc>
      </w:tr>
      <w:tr>
        <w:trPr>
          <w:trHeight w:val="228"/>
        </w:trPr>
        <w:tc>
          <w:tcPr>
            <w:tcW w:w="80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3"/>
        </w:trPr>
        <w:tc>
          <w:tcPr>
            <w:tcW w:w="802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23,978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19,057</w:t>
            </w:r>
          </w:p>
        </w:tc>
      </w:tr>
      <w:tr>
        <w:trPr>
          <w:trHeight w:val="253"/>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Reconciliation to cash flows: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802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11,065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10,739</w:t>
            </w:r>
          </w:p>
        </w:tc>
      </w:tr>
      <w:tr>
        <w:trPr>
          <w:trHeight w:val="253"/>
        </w:trPr>
        <w:tc>
          <w:tcPr>
            <w:tcW w:w="80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Operating leases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r>
      <w:tr>
        <w:trPr>
          <w:trHeight w:val="233"/>
        </w:trPr>
        <w:tc>
          <w:tcPr>
            <w:tcW w:w="8020" w:type="dxa"/>
            <w:vAlign w:val="bottom"/>
          </w:tcPr>
          <w:p>
            <w:pPr>
              <w:ind w:left="660"/>
              <w:spacing w:after="0"/>
              <w:rPr>
                <w:sz w:val="20"/>
                <w:szCs w:val="20"/>
                <w:color w:val="auto"/>
              </w:rPr>
            </w:pPr>
            <w:r>
              <w:rPr>
                <w:rFonts w:ascii="Arial" w:cs="Arial" w:eastAsia="Arial" w:hAnsi="Arial"/>
                <w:sz w:val="16"/>
                <w:szCs w:val="16"/>
                <w:color w:val="auto"/>
              </w:rPr>
              <w:t>Amortization of debt issuance costs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53"/>
        </w:trPr>
        <w:tc>
          <w:tcPr>
            <w:tcW w:w="80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Gain on deferred compensation assets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33"/>
        </w:trPr>
        <w:tc>
          <w:tcPr>
            <w:tcW w:w="8020" w:type="dxa"/>
            <w:vAlign w:val="bottom"/>
          </w:tcPr>
          <w:p>
            <w:pPr>
              <w:ind w:left="660"/>
              <w:spacing w:after="0"/>
              <w:rPr>
                <w:sz w:val="20"/>
                <w:szCs w:val="20"/>
                <w:color w:val="auto"/>
              </w:rPr>
            </w:pPr>
            <w:r>
              <w:rPr>
                <w:rFonts w:ascii="Arial" w:cs="Arial" w:eastAsia="Arial" w:hAnsi="Arial"/>
                <w:sz w:val="16"/>
                <w:szCs w:val="16"/>
                <w:color w:val="auto"/>
              </w:rPr>
              <w:t>Stock compensation expense</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1,145</w:t>
            </w:r>
          </w:p>
        </w:tc>
      </w:tr>
      <w:tr>
        <w:trPr>
          <w:trHeight w:val="253"/>
        </w:trPr>
        <w:tc>
          <w:tcPr>
            <w:tcW w:w="80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33"/>
        </w:trPr>
        <w:tc>
          <w:tcPr>
            <w:tcW w:w="8020" w:type="dxa"/>
            <w:vAlign w:val="bottom"/>
          </w:tcPr>
          <w:p>
            <w:pPr>
              <w:ind w:left="660"/>
              <w:spacing w:after="0"/>
              <w:rPr>
                <w:sz w:val="20"/>
                <w:szCs w:val="20"/>
                <w:color w:val="auto"/>
              </w:rPr>
            </w:pPr>
            <w:r>
              <w:rPr>
                <w:rFonts w:ascii="Arial" w:cs="Arial" w:eastAsia="Arial" w:hAnsi="Arial"/>
                <w:sz w:val="16"/>
                <w:szCs w:val="16"/>
                <w:color w:val="auto"/>
              </w:rPr>
              <w:t>Changes in operating accounts providing (using) cash:</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80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Trade receivables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w:t>
            </w:r>
          </w:p>
        </w:tc>
      </w:tr>
      <w:tr>
        <w:trPr>
          <w:trHeight w:val="233"/>
        </w:trPr>
        <w:tc>
          <w:tcPr>
            <w:tcW w:w="8020" w:type="dxa"/>
            <w:vAlign w:val="bottom"/>
          </w:tcPr>
          <w:p>
            <w:pPr>
              <w:ind w:left="110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53"/>
        </w:trPr>
        <w:tc>
          <w:tcPr>
            <w:tcW w:w="80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r>
      <w:tr>
        <w:trPr>
          <w:trHeight w:val="233"/>
        </w:trPr>
        <w:tc>
          <w:tcPr>
            <w:tcW w:w="8020" w:type="dxa"/>
            <w:vAlign w:val="bottom"/>
          </w:tcPr>
          <w:p>
            <w:pPr>
              <w:ind w:left="110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(4,504)</w:t>
            </w:r>
          </w:p>
        </w:tc>
      </w:tr>
      <w:tr>
        <w:trPr>
          <w:trHeight w:val="253"/>
        </w:trPr>
        <w:tc>
          <w:tcPr>
            <w:tcW w:w="80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Lease liabilities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r>
      <w:tr>
        <w:trPr>
          <w:trHeight w:val="233"/>
        </w:trPr>
        <w:tc>
          <w:tcPr>
            <w:tcW w:w="8020" w:type="dxa"/>
            <w:vAlign w:val="bottom"/>
          </w:tcPr>
          <w:p>
            <w:pPr>
              <w:ind w:left="110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1,262</w:t>
            </w:r>
          </w:p>
        </w:tc>
      </w:tr>
      <w:tr>
        <w:trPr>
          <w:trHeight w:val="253"/>
        </w:trPr>
        <w:tc>
          <w:tcPr>
            <w:tcW w:w="80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r>
      <w:tr>
        <w:trPr>
          <w:trHeight w:val="227"/>
        </w:trPr>
        <w:tc>
          <w:tcPr>
            <w:tcW w:w="8020" w:type="dxa"/>
            <w:vAlign w:val="bottom"/>
          </w:tcPr>
          <w:p>
            <w:pPr>
              <w:ind w:left="14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27,116</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8020" w:type="dxa"/>
            <w:vAlign w:val="bottom"/>
          </w:tcPr>
          <w:p>
            <w:pPr>
              <w:ind w:left="34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(14,088)</w:t>
            </w:r>
          </w:p>
        </w:tc>
      </w:tr>
      <w:tr>
        <w:trPr>
          <w:trHeight w:val="253"/>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Acquisitions, net of cash acquired</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8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r>
      <w:tr>
        <w:trPr>
          <w:trHeight w:val="243"/>
        </w:trPr>
        <w:tc>
          <w:tcPr>
            <w:tcW w:w="8020" w:type="dxa"/>
            <w:vAlign w:val="bottom"/>
            <w:shd w:val="clear" w:color="auto" w:fill="CCEEFF"/>
          </w:tcPr>
          <w:p>
            <w:pPr>
              <w:ind w:left="14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(13,879)</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dividends declared and paid</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(4,905)</w:t>
            </w:r>
          </w:p>
        </w:tc>
      </w:tr>
      <w:tr>
        <w:trPr>
          <w:trHeight w:val="233"/>
        </w:trPr>
        <w:tc>
          <w:tcPr>
            <w:tcW w:w="8020" w:type="dxa"/>
            <w:vAlign w:val="bottom"/>
          </w:tcPr>
          <w:p>
            <w:pPr>
              <w:ind w:left="340"/>
              <w:spacing w:after="0"/>
              <w:rPr>
                <w:sz w:val="20"/>
                <w:szCs w:val="20"/>
                <w:color w:val="auto"/>
              </w:rPr>
            </w:pPr>
            <w:r>
              <w:rPr>
                <w:rFonts w:ascii="Arial" w:cs="Arial" w:eastAsia="Arial" w:hAnsi="Arial"/>
                <w:sz w:val="16"/>
                <w:szCs w:val="16"/>
                <w:color w:val="auto"/>
              </w:rPr>
              <w:t>New shares issued</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253"/>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 surrendered for payroll taxes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r>
      <w:tr>
        <w:trPr>
          <w:trHeight w:val="233"/>
        </w:trPr>
        <w:tc>
          <w:tcPr>
            <w:tcW w:w="8020" w:type="dxa"/>
            <w:vAlign w:val="bottom"/>
          </w:tcPr>
          <w:p>
            <w:pPr>
              <w:ind w:left="340"/>
              <w:spacing w:after="0"/>
              <w:rPr>
                <w:sz w:val="20"/>
                <w:szCs w:val="20"/>
                <w:color w:val="auto"/>
              </w:rPr>
            </w:pPr>
            <w:r>
              <w:rPr>
                <w:rFonts w:ascii="Arial" w:cs="Arial" w:eastAsia="Arial" w:hAnsi="Arial"/>
                <w:sz w:val="16"/>
                <w:szCs w:val="16"/>
                <w:color w:val="auto"/>
              </w:rPr>
              <w:t>Shares repurchased</w:t>
            </w:r>
          </w:p>
        </w:tc>
        <w:tc>
          <w:tcPr>
            <w:tcW w:w="18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(3,793)</w:t>
            </w:r>
          </w:p>
        </w:tc>
      </w:tr>
      <w:tr>
        <w:trPr>
          <w:trHeight w:val="253"/>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proceeds from (payments on) revolving loan</w:t>
            </w: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30"/>
        </w:trPr>
        <w:tc>
          <w:tcPr>
            <w:tcW w:w="8020" w:type="dxa"/>
            <w:vAlign w:val="bottom"/>
            <w:tcBorders>
              <w:bottom w:val="single" w:sz="8" w:color="CCEEFF"/>
            </w:tcBorders>
          </w:tcPr>
          <w:p>
            <w:pPr>
              <w:ind w:left="142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(18,380)</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(5,143)</w:t>
            </w: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9,199</w:t>
            </w:r>
          </w:p>
        </w:tc>
      </w:tr>
      <w:tr>
        <w:trPr>
          <w:trHeight w:val="261"/>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8020" w:type="dxa"/>
            <w:vAlign w:val="bottom"/>
          </w:tcPr>
          <w:p>
            <w:pPr>
              <w:ind w:left="340"/>
              <w:spacing w:after="0"/>
              <w:rPr>
                <w:sz w:val="20"/>
                <w:szCs w:val="20"/>
                <w:color w:val="auto"/>
              </w:rPr>
            </w:pPr>
            <w:r>
              <w:rPr>
                <w:rFonts w:ascii="Arial" w:cs="Arial" w:eastAsia="Arial" w:hAnsi="Arial"/>
                <w:sz w:val="16"/>
                <w:szCs w:val="16"/>
                <w:color w:val="auto"/>
              </w:rPr>
              <w:t>Cash paid for income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7,845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5,533</w:t>
            </w:r>
          </w:p>
        </w:tc>
      </w:tr>
      <w:tr>
        <w:trPr>
          <w:trHeight w:val="253"/>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paid for 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r>
      <w:tr>
        <w:trPr>
          <w:trHeight w:val="224"/>
        </w:trPr>
        <w:tc>
          <w:tcPr>
            <w:tcW w:w="8020" w:type="dxa"/>
            <w:vAlign w:val="bottom"/>
          </w:tcPr>
          <w:p>
            <w:pPr>
              <w:ind w:left="340"/>
              <w:spacing w:after="0"/>
              <w:rPr>
                <w:sz w:val="20"/>
                <w:szCs w:val="20"/>
                <w:color w:val="auto"/>
              </w:rPr>
            </w:pPr>
            <w:r>
              <w:rPr>
                <w:rFonts w:ascii="Arial" w:cs="Arial" w:eastAsia="Arial" w:hAnsi="Arial"/>
                <w:sz w:val="16"/>
                <w:szCs w:val="16"/>
                <w:color w:val="auto"/>
              </w:rPr>
              <w:t>Noncash investing activities - capital expenditures in 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567</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ind w:right="40"/>
        <w:spacing w:after="0" w:line="255"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The accompanying unaudited condensed consolidated financial statements have been prepared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instructions for Form 10-Q and, accordingly, do not include all information and footnotes required by generally accepted accounting principles for complete financial statements. These financial statements should be read in conjunction with the consolidated financial statements and footnotes included in our </w:t>
      </w:r>
      <w:hyperlink r:id="rId28">
        <w:r>
          <w:rPr>
            <w:rFonts w:ascii="Arial" w:cs="Arial" w:eastAsia="Arial" w:hAnsi="Arial"/>
            <w:sz w:val="18"/>
            <w:szCs w:val="18"/>
            <w:u w:val="single" w:color="auto"/>
            <w:color w:val="0000FF"/>
          </w:rPr>
          <w:t>Annual Report on Form 10-K for the fiscal year ended March 29, 2020</w:t>
        </w:r>
      </w:hyperlink>
      <w:r>
        <w:rPr>
          <w:rFonts w:ascii="Arial" w:cs="Arial" w:eastAsia="Arial" w:hAnsi="Arial"/>
          <w:sz w:val="18"/>
          <w:szCs w:val="18"/>
          <w:color w:val="auto"/>
        </w:rPr>
        <w:t>,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 All significant intercompany accounts and transactions have been eliminated in consolidation. The results of operations for the six months ended September 27, 2020 are not necessarily indicative of the results that may be expected for the full year.</w:t>
      </w:r>
    </w:p>
    <w:p>
      <w:pPr>
        <w:spacing w:after="0" w:line="23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References to fiscal 2019 refer to the fiscal year ended March 31, 2019, references to fiscal 2020 refer to the fiscal year ended March 29, 2020 and references to fiscal 2021 refer to the fiscal year ending March 28, 2021.</w:t>
      </w:r>
    </w:p>
    <w:p>
      <w:pPr>
        <w:spacing w:after="0" w:line="20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The preparation of condensed consolidated financial statements in conformity with accounting principles generally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accepted in the United States requires management to 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206" w:lineRule="exact"/>
        <w:rPr>
          <w:sz w:val="20"/>
          <w:szCs w:val="20"/>
          <w:color w:val="auto"/>
        </w:rPr>
      </w:pPr>
    </w:p>
    <w:p>
      <w:pPr>
        <w:jc w:val="both"/>
        <w:ind w:right="180"/>
        <w:spacing w:after="0" w:line="268"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Accounting Policies. </w:t>
      </w:r>
      <w:r>
        <w:rPr>
          <w:rFonts w:ascii="Arial" w:cs="Arial" w:eastAsia="Arial" w:hAnsi="Arial"/>
          <w:sz w:val="18"/>
          <w:szCs w:val="18"/>
          <w:color w:val="auto"/>
        </w:rPr>
        <w:t>The accounting policies we follow are set forth in Note 1 – Nature of Business and Significant Accounting Policies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our consolidated financial statements in our </w:t>
      </w:r>
      <w:hyperlink r:id="rId28">
        <w:r>
          <w:rPr>
            <w:rFonts w:ascii="Arial" w:cs="Arial" w:eastAsia="Arial" w:hAnsi="Arial"/>
            <w:sz w:val="18"/>
            <w:szCs w:val="18"/>
            <w:u w:val="single" w:color="auto"/>
            <w:color w:val="0000FF"/>
          </w:rPr>
          <w:t>Annual Report on Form 10-K for the fiscal year ended March 29, 2020</w:t>
        </w:r>
      </w:hyperlink>
      <w:r>
        <w:rPr>
          <w:rFonts w:ascii="Arial" w:cs="Arial" w:eastAsia="Arial" w:hAnsi="Arial"/>
          <w:sz w:val="18"/>
          <w:szCs w:val="18"/>
          <w:color w:val="auto"/>
        </w:rPr>
        <w:t>, previously filed with the SEC. There has been no significant change in our accounting policies since the end of fiscal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On March 30, 2020, we adopted Accounting Standards Update (“ASU”)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The amendments in this update replaced the incurred loss impairment methodology</w:t>
      </w:r>
      <w:r>
        <w:rPr>
          <w:rFonts w:ascii="Arial" w:cs="Arial" w:eastAsia="Arial" w:hAnsi="Arial"/>
          <w:sz w:val="18"/>
          <w:szCs w:val="18"/>
          <w:i w:val="1"/>
          <w:iCs w:val="1"/>
          <w:color w:val="auto"/>
        </w:rPr>
        <w:t xml:space="preserve"> </w:t>
      </w:r>
      <w:r>
        <w:rPr>
          <w:rFonts w:ascii="Arial" w:cs="Arial" w:eastAsia="Arial" w:hAnsi="Arial"/>
          <w:sz w:val="18"/>
          <w:szCs w:val="18"/>
          <w:color w:val="auto"/>
        </w:rPr>
        <w:t>in previous GAAP with a methodology that reflects expected credit losses on instruments within its scope, including trade receivables. This update is intended to provide financial statement users with more decision-useful information about the expected credit losses. Our adoption of this ASU impacted our method for calculating and estimating our allowance for doubtful accounts but did not have a material impact to our financial position or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Combinations</w:t>
      </w:r>
    </w:p>
    <w:p>
      <w:pPr>
        <w:spacing w:after="0" w:line="2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Acquisition of American Development Corporation of Tennessee, Inc.</w:t>
      </w:r>
      <w:r>
        <w:rPr>
          <w:rFonts w:ascii="Arial" w:cs="Arial" w:eastAsia="Arial" w:hAnsi="Arial"/>
          <w:sz w:val="18"/>
          <w:szCs w:val="18"/>
          <w:color w:val="auto"/>
        </w:rPr>
        <w:t>: On July 28, 2020, we acquired substantially all the assets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American Development Corporation of Tennessee, Inc. (“ADC”) under the terms of an asset purchase agreement with ADC and its shareholders. We paid $25 million for the acquisition, using funds available on our revolver to fund the acquisition. ADC is a water treatment chemical distribution company operating primarily in Tennessee, Georgia and Kentucky. The results of operations since the acquisition date, and the assets, including the goodwill associated with this acquisition, are included in our Water Treatment segment. Costs associated with this transaction were not material and were expensed as incurred.</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acquisition has been accounted for under the acquisition method of accounting, under which the total purchase price is allocated to the net tangible and intangible assets and liabilities of ADC acquired in connection with the acquisition based on their estimated fair values. We estimated the fair values of the assets acquired and liabilities assumed using a discounted cash flow analysis (income approach). Of the $25 million purchase price, we allocated $13.3 million to finite-lived intangible assets, primarily customer relationships to be amortized over 17 years, $1.6 million to property, plant and equipment, and $0.9 million to net working capital. The residual amount of $9.2 million was allocated to goodwill. The goodwill recognized as a result of this acquisition is primarily attributable to strategic and synergistic benefits, as well as the assembled workforce. Such goodwill is expected to be deductible for tax purposes. The purchase price allocation is preliminary and subject to adjustment within the first 12 months following the acquisition.</w:t>
      </w:r>
    </w:p>
    <w:p>
      <w:pPr>
        <w:sectPr>
          <w:pgSz w:w="11900" w:h="16838" w:orient="portrait"/>
          <w:cols w:equalWidth="0" w:num="1">
            <w:col w:w="11220"/>
          </w:cols>
          <w:pgMar w:left="320" w:top="60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Revenue</w:t>
      </w:r>
    </w:p>
    <w:p>
      <w:pPr>
        <w:spacing w:after="0" w:line="27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We disaggregate revenues from contracts with customers by operating segments as well as types of products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23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tables disaggregate external customer net sales by major revenue stream for the three and six months ended September 27, 2020 and September 29, 2019:</w:t>
      </w:r>
    </w:p>
    <w:p>
      <w:pPr>
        <w:spacing w:after="0" w:line="14"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Three months ended September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28575</wp:posOffset>
            </wp:positionV>
            <wp:extent cx="36347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54" w:lineRule="exact"/>
        <w:rPr>
          <w:sz w:val="20"/>
          <w:szCs w:val="20"/>
          <w:color w:val="auto"/>
        </w:rPr>
      </w:pPr>
    </w:p>
    <w:p>
      <w:pPr>
        <w:ind w:left="20" w:right="760"/>
        <w:spacing w:after="0" w:line="249" w:lineRule="auto"/>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Water</w:t>
            </w:r>
          </w:p>
        </w:tc>
        <w:tc>
          <w:tcPr>
            <w:tcW w:w="14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6"/>
        </w:trPr>
        <w:tc>
          <w:tcPr>
            <w:tcW w:w="18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4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9,313</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28,953</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42,624</w:t>
            </w:r>
          </w:p>
        </w:tc>
      </w:tr>
      <w:tr>
        <w:trPr>
          <w:trHeight w:val="257"/>
        </w:trPr>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104,126</w:t>
            </w:r>
          </w:p>
        </w:tc>
      </w:tr>
      <w:tr>
        <w:trPr>
          <w:trHeight w:val="263"/>
        </w:trPr>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1,051</w:t>
            </w:r>
          </w:p>
        </w:tc>
      </w:tr>
      <w:tr>
        <w:trPr>
          <w:trHeight w:val="25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61,171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37,090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147,801</w:t>
            </w:r>
          </w:p>
        </w:tc>
      </w:tr>
      <w:tr>
        <w:trPr>
          <w:trHeight w:val="27"/>
        </w:trPr>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-702310</wp:posOffset>
            </wp:positionV>
            <wp:extent cx="710628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-368300</wp:posOffset>
            </wp:positionV>
            <wp:extent cx="710628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27"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Three months ended September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36347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760" w:space="720"/>
            <w:col w:w="5740"/>
          </w:cols>
          <w:pgMar w:left="320" w:top="603" w:right="359" w:bottom="1440" w:gutter="0" w:footer="0" w:header="0"/>
          <w:type w:val="continuous"/>
        </w:sect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54" w:lineRule="exact"/>
        <w:rPr>
          <w:sz w:val="20"/>
          <w:szCs w:val="20"/>
          <w:color w:val="auto"/>
        </w:rPr>
      </w:pPr>
    </w:p>
    <w:p>
      <w:pPr>
        <w:ind w:left="20" w:right="760"/>
        <w:spacing w:after="0" w:line="249" w:lineRule="auto"/>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54" w:lineRule="exact"/>
        <w:rPr>
          <w:sz w:val="20"/>
          <w:szCs w:val="20"/>
          <w:color w:val="auto"/>
        </w:rPr>
      </w:pPr>
    </w:p>
    <w:p>
      <w:pPr>
        <w:ind w:left="20" w:right="760"/>
        <w:spacing w:after="0" w:line="249" w:lineRule="auto"/>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Water</w:t>
            </w:r>
          </w:p>
        </w:tc>
        <w:tc>
          <w:tcPr>
            <w:tcW w:w="14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6"/>
        </w:trPr>
        <w:tc>
          <w:tcPr>
            <w:tcW w:w="18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4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11,599</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22,892</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39,462</w:t>
            </w:r>
          </w:p>
        </w:tc>
      </w:tr>
      <w:tr>
        <w:trPr>
          <w:trHeight w:val="257"/>
        </w:trPr>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55,607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99,283</w:t>
            </w:r>
          </w:p>
        </w:tc>
      </w:tr>
      <w:tr>
        <w:trPr>
          <w:trHeight w:val="263"/>
        </w:trPr>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1,298</w:t>
            </w:r>
          </w:p>
        </w:tc>
      </w:tr>
      <w:tr>
        <w:trPr>
          <w:trHeight w:val="25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26,085</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140,043</w:t>
            </w:r>
          </w:p>
        </w:tc>
      </w:tr>
      <w:tr>
        <w:trPr>
          <w:trHeight w:val="27"/>
        </w:trPr>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-702310</wp:posOffset>
            </wp:positionV>
            <wp:extent cx="710628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-367665</wp:posOffset>
            </wp:positionV>
            <wp:extent cx="7106285"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Six months ended September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36347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Water</w:t>
            </w:r>
          </w:p>
        </w:tc>
        <w:tc>
          <w:tcPr>
            <w:tcW w:w="14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6"/>
        </w:trPr>
        <w:tc>
          <w:tcPr>
            <w:tcW w:w="18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21"/>
                <w:szCs w:val="21"/>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Nutrition</w:t>
            </w:r>
          </w:p>
        </w:tc>
        <w:tc>
          <w:tcPr>
            <w:tcW w:w="30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4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18,137</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54,898</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81,268</w:t>
            </w:r>
          </w:p>
        </w:tc>
      </w:tr>
      <w:tr>
        <w:trPr>
          <w:trHeight w:val="256"/>
        </w:trPr>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112,997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80,344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14,231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207,572</w:t>
            </w:r>
          </w:p>
        </w:tc>
      </w:tr>
      <w:tr>
        <w:trPr>
          <w:trHeight w:val="263"/>
        </w:trPr>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2,133</w:t>
            </w:r>
          </w:p>
        </w:tc>
      </w:tr>
      <w:tr>
        <w:trPr>
          <w:trHeight w:val="25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132,673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89,254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69,046</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290,973</w:t>
            </w:r>
          </w:p>
        </w:tc>
      </w:tr>
      <w:tr>
        <w:trPr>
          <w:trHeight w:val="27"/>
        </w:trPr>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-702310</wp:posOffset>
            </wp:positionV>
            <wp:extent cx="710628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-368300</wp:posOffset>
            </wp:positionV>
            <wp:extent cx="710628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27"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Six months ended September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36347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760" w:space="720"/>
            <w:col w:w="5740"/>
          </w:cols>
          <w:pgMar w:left="320" w:top="603" w:right="359" w:bottom="1440" w:gutter="0" w:footer="0" w:header="0"/>
          <w:type w:val="continuous"/>
        </w:sect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54" w:lineRule="exact"/>
        <w:rPr>
          <w:sz w:val="20"/>
          <w:szCs w:val="20"/>
          <w:color w:val="auto"/>
        </w:rPr>
      </w:pPr>
    </w:p>
    <w:p>
      <w:pPr>
        <w:ind w:left="20" w:right="760"/>
        <w:spacing w:after="0" w:line="249" w:lineRule="auto"/>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Water</w:t>
            </w:r>
          </w:p>
        </w:tc>
        <w:tc>
          <w:tcPr>
            <w:tcW w:w="14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6"/>
        </w:trPr>
        <w:tc>
          <w:tcPr>
            <w:tcW w:w="180" w:type="dxa"/>
            <w:vAlign w:val="bottom"/>
          </w:tcPr>
          <w:p>
            <w:pPr>
              <w:spacing w:after="0"/>
              <w:rPr>
                <w:sz w:val="21"/>
                <w:szCs w:val="21"/>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Treatment</w:t>
            </w: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4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26,612</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9,679</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47,495</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83,786</w:t>
            </w:r>
          </w:p>
        </w:tc>
      </w:tr>
      <w:tr>
        <w:trPr>
          <w:trHeight w:val="257"/>
        </w:trPr>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115,078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78,637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201,048</w:t>
            </w:r>
          </w:p>
        </w:tc>
      </w:tr>
      <w:tr>
        <w:trPr>
          <w:trHeight w:val="263"/>
        </w:trPr>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2,545</w:t>
            </w:r>
          </w:p>
        </w:tc>
      </w:tr>
      <w:tr>
        <w:trPr>
          <w:trHeight w:val="25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143,415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89,120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54,844</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287,379</w:t>
            </w:r>
          </w:p>
        </w:tc>
      </w:tr>
      <w:tr>
        <w:trPr>
          <w:trHeight w:val="27"/>
        </w:trPr>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-702310</wp:posOffset>
            </wp:positionV>
            <wp:extent cx="710628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-367665</wp:posOffset>
            </wp:positionV>
            <wp:extent cx="710628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720"/>
            <w:col w:w="5740"/>
          </w:cols>
          <w:pgMar w:left="320" w:top="603" w:right="359" w:bottom="1440" w:gutter="0" w:footer="0" w:header="0"/>
          <w:type w:val="continuous"/>
        </w:sectPr>
      </w:pPr>
    </w:p>
    <w:p>
      <w:pPr>
        <w:spacing w:after="0" w:line="126" w:lineRule="exact"/>
        <w:rPr>
          <w:sz w:val="20"/>
          <w:szCs w:val="20"/>
          <w:color w:val="auto"/>
        </w:rPr>
      </w:pPr>
    </w:p>
    <w:p>
      <w:pPr>
        <w:jc w:val="both"/>
        <w:ind w:left="660" w:right="40" w:hanging="328"/>
        <w:spacing w:after="0" w:line="246"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 this line includes our non-manufactured distributed specialty products, which may be sold out of one of our facilities or direct shipped to our customers.</w:t>
      </w:r>
    </w:p>
    <w:p>
      <w:pPr>
        <w:spacing w:after="0" w:line="1" w:lineRule="exact"/>
        <w:rPr>
          <w:rFonts w:ascii="Arial" w:cs="Arial" w:eastAsia="Arial" w:hAnsi="Arial"/>
          <w:sz w:val="16"/>
          <w:szCs w:val="16"/>
          <w:color w:val="auto"/>
        </w:rPr>
      </w:pPr>
    </w:p>
    <w:p>
      <w:pPr>
        <w:ind w:left="660" w:right="120" w:hanging="328"/>
        <w:spacing w:after="0" w:line="253" w:lineRule="auto"/>
        <w:tabs>
          <w:tab w:leader="none" w:pos="669" w:val="left"/>
        </w:tabs>
        <w:numPr>
          <w:ilvl w:val="0"/>
          <w:numId w:val="1"/>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Net sales include products and shipping charges, net of estimates for product returns and any related sales rebates. Revenue is measured as the amount of consideration we expect to receive in exchange for transferring products. All revenue is recognized when we satisfy our performance obligations under the contract. Our criteria for recording revenue is consistent between our operating segments and types of products sold. We recognize revenue upon transfer of control of the promised products to the customer, with revenue recognized at the point in time the customer obtains control of the products. In</w:t>
      </w:r>
    </w:p>
    <w:p>
      <w:pPr>
        <w:sectPr>
          <w:pgSz w:w="11900" w:h="16838" w:orient="portrait"/>
          <w:cols w:equalWidth="0" w:num="1">
            <w:col w:w="11220"/>
          </w:cols>
          <w:pgMar w:left="320" w:top="603" w:right="359" w:bottom="1440" w:gutter="0" w:footer="0" w:header="0"/>
          <w:type w:val="continuous"/>
        </w:sect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type w:val="continuous"/>
        </w:sectPr>
      </w:pPr>
    </w:p>
    <w:bookmarkStart w:id="9" w:name="page10"/>
    <w:bookmarkEnd w:id="9"/>
    <w:p>
      <w:pPr>
        <w:ind w:right="40"/>
        <w:spacing w:after="0" w:line="251" w:lineRule="auto"/>
        <w:rPr>
          <w:sz w:val="20"/>
          <w:szCs w:val="20"/>
          <w:color w:val="auto"/>
        </w:rPr>
      </w:pPr>
      <w:r>
        <w:rPr>
          <w:rFonts w:ascii="Arial" w:cs="Arial" w:eastAsia="Arial" w:hAnsi="Arial"/>
          <w:sz w:val="18"/>
          <w:szCs w:val="18"/>
          <w:color w:val="auto"/>
        </w:rPr>
        <w:t>arrangements where product is shipped directly from the vendor to our customer, we act as the principal in the transaction as we direct the other party to provide the product to our customer on our behalf, take inventory risk, establish the selling price, and are exposed to credit risk for the collection of the invoiced amount. If there were circumstances where we were to manufacture products for customers that were unique to their specifications and we would be prohibited by contract to use the product for any alternate use, we would recognize revenue over time if all criteria were met. We have made a policy election to treat shipping costs for FOB shipping point sales as fulfillment costs. As such, we recognize revenue for all shipping charges, if applicable, at the same time we recognize revenue on the products delivered.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 We periodically review the assumptions underlying our estimates of discounts and volume rebates and adjust revenues accordingly.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(“EPS”) is computed by dividing net earnings by the weighted-average number of common shares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Diluted EPS includes the dilutive impact of incremental shares assumed to be issued as performance units and restricted stock.</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20" w:type="dxa"/>
            <w:vAlign w:val="bottom"/>
          </w:tcPr>
          <w:p>
            <w:pPr>
              <w:spacing w:after="0"/>
              <w:rPr>
                <w:sz w:val="20"/>
                <w:szCs w:val="20"/>
                <w:color w:val="auto"/>
              </w:rPr>
            </w:pPr>
            <w:r>
              <w:rPr>
                <w:rFonts w:ascii="Arial" w:cs="Arial" w:eastAsia="Arial" w:hAnsi="Arial"/>
                <w:sz w:val="18"/>
                <w:szCs w:val="18"/>
                <w:color w:val="auto"/>
              </w:rPr>
              <w:t>Basic and diluted EPS were calculated using the following: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90"/>
        </w:trPr>
        <w:tc>
          <w:tcPr>
            <w:tcW w:w="5520" w:type="dxa"/>
            <w:vAlign w:val="bottom"/>
          </w:tcPr>
          <w:p>
            <w:pPr>
              <w:spacing w:after="0"/>
              <w:rPr>
                <w:sz w:val="24"/>
                <w:szCs w:val="24"/>
                <w:color w:val="auto"/>
              </w:rPr>
            </w:pPr>
          </w:p>
        </w:tc>
        <w:tc>
          <w:tcPr>
            <w:tcW w:w="28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80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55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27,</w:t>
            </w: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29,</w:t>
            </w: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27,</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September 29,</w:t>
            </w:r>
          </w:p>
        </w:tc>
      </w:tr>
      <w:tr>
        <w:trPr>
          <w:trHeight w:val="246"/>
        </w:trPr>
        <w:tc>
          <w:tcPr>
            <w:tcW w:w="55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257"/>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10,527,891</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10,575,538</w:t>
            </w: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10,526,511</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10,589,922</w:t>
            </w:r>
          </w:p>
        </w:tc>
      </w:tr>
      <w:tr>
        <w:trPr>
          <w:trHeight w:val="25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performance units and restricted stock</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94,990</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57,579</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107,770</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73,942</w:t>
            </w:r>
          </w:p>
        </w:tc>
      </w:tr>
      <w:tr>
        <w:trPr>
          <w:trHeight w:val="281"/>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outstanding—diluted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10,622,881</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10,633,117</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10,634,281</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10,663,864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periods presented, there were no shares excluded from the calculation of weighted-average common shares for diluted EPS.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Derivative Instruments</w:t>
      </w:r>
    </w:p>
    <w:p>
      <w:pPr>
        <w:spacing w:after="0" w:line="27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have an interest rate swap agreement to manage the risk associated with a portion of our variable-rate long -term debt. We do not utilize derivative instruments for speculative purposes. The interest rate swap involves the exchange of fixed-rate and variable-rate payments without the exchange of the underlying notional amount on which the interest payments are calculated. The $ 20 million swap agreement will terminate on December 23, 2020. We have designated this swap as a cash flow hedge and have determined that it qualifies for hedge accounting treatment. For so long as the hedge is effective, changes in fair value of the cash flow hedge are recorded in other comprehensive income (net of tax) until income or loss from the cash flows of the hedged item is realized.</w:t>
      </w:r>
    </w:p>
    <w:p>
      <w:pPr>
        <w:spacing w:after="0" w:line="23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For the three and six months ended September 27, 2020, we recorded a nominal amount in other comprehensive income related to unrealized gains (net of tax) on the cash flow hedge described above. For the three months ended September 29, 2019, we recorded $0.1 million in other comprehensive loss related to unrealized losses (net of tax) on the cash flow hedge. For the six months ended September 29, 2019, we recorded $0.2 million in other comprehensive loss related to unrealized losses (net of tax) on the cash flow hedge. Included in other current liabilities on our condensed consolidated balance sheet was $0.1 million as of September 27, 2020 and March 29, 2020. Unrealized gains and losses will be reflected in net income when the related cash flows or hedged transactions occur and offset the related performance of the hedged item.</w:t>
      </w:r>
    </w:p>
    <w:p>
      <w:pPr>
        <w:spacing w:after="0" w:line="234"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ectPr>
          <w:pgSz w:w="11900" w:h="16838" w:orient="portrait"/>
          <w:cols w:equalWidth="0" w:num="1">
            <w:col w:w="11240"/>
          </w:cols>
          <w:pgMar w:left="320" w:top="6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6 – Fair Value Measurements</w:t>
      </w:r>
    </w:p>
    <w:p>
      <w:pPr>
        <w:spacing w:after="0" w:line="27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financial assets and liabilities are measured at fair value at the price that would be received to sell an asset or paid to transfer a liability in an orderly transaction between market participants at the measurement date (exit price). We classify the inputs used to measure fair value into the following hierarchy:</w:t>
      </w:r>
    </w:p>
    <w:p>
      <w:pPr>
        <w:spacing w:after="0" w:line="121" w:lineRule="exact"/>
        <w:rPr>
          <w:sz w:val="20"/>
          <w:szCs w:val="20"/>
          <w:color w:val="auto"/>
        </w:rPr>
      </w:pPr>
    </w:p>
    <w:p>
      <w:pPr>
        <w:ind w:left="1160"/>
        <w:spacing w:after="0"/>
        <w:tabs>
          <w:tab w:leader="none" w:pos="20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w:t>
      </w:r>
    </w:p>
    <w:p>
      <w:pPr>
        <w:spacing w:after="0" w:line="50" w:lineRule="exact"/>
        <w:rPr>
          <w:sz w:val="20"/>
          <w:szCs w:val="20"/>
          <w:color w:val="auto"/>
        </w:rPr>
      </w:pPr>
    </w:p>
    <w:p>
      <w:pPr>
        <w:ind w:left="2080" w:right="380" w:hanging="908"/>
        <w:spacing w:after="0"/>
        <w:tabs>
          <w:tab w:leader="none" w:pos="2060" w:val="left"/>
        </w:tabs>
        <w:rPr>
          <w:sz w:val="20"/>
          <w:szCs w:val="20"/>
          <w:color w:val="auto"/>
        </w:rPr>
      </w:pPr>
      <w:r>
        <w:rPr>
          <w:rFonts w:ascii="Arial" w:cs="Arial" w:eastAsia="Arial" w:hAnsi="Arial"/>
          <w:sz w:val="18"/>
          <w:szCs w:val="18"/>
          <w:color w:val="auto"/>
        </w:rPr>
        <w:t>Level 2:</w:t>
        <w:tab/>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41" w:lineRule="exact"/>
        <w:rPr>
          <w:sz w:val="20"/>
          <w:szCs w:val="20"/>
          <w:color w:val="auto"/>
        </w:rPr>
      </w:pPr>
    </w:p>
    <w:p>
      <w:pPr>
        <w:ind w:left="2080" w:right="460" w:hanging="908"/>
        <w:spacing w:after="0"/>
        <w:tabs>
          <w:tab w:leader="none" w:pos="2060" w:val="left"/>
        </w:tabs>
        <w:rPr>
          <w:sz w:val="20"/>
          <w:szCs w:val="20"/>
          <w:color w:val="auto"/>
        </w:rPr>
      </w:pPr>
      <w:r>
        <w:rPr>
          <w:rFonts w:ascii="Arial" w:cs="Arial" w:eastAsia="Arial" w:hAnsi="Arial"/>
          <w:sz w:val="18"/>
          <w:szCs w:val="18"/>
          <w:color w:val="auto"/>
        </w:rPr>
        <w:t>Level 3:</w:t>
        <w:tab/>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200" w:lineRule="exact"/>
        <w:rPr>
          <w:sz w:val="20"/>
          <w:szCs w:val="20"/>
          <w:color w:val="auto"/>
        </w:rPr>
      </w:pPr>
    </w:p>
    <w:p>
      <w:pPr>
        <w:spacing w:after="0" w:line="3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Assets and Liabilities Measured at Fair Value on a Recurring Basis. </w:t>
      </w:r>
      <w:r>
        <w:rPr>
          <w:rFonts w:ascii="Arial" w:cs="Arial" w:eastAsia="Arial" w:hAnsi="Arial"/>
          <w:sz w:val="18"/>
          <w:szCs w:val="18"/>
          <w:color w:val="auto"/>
        </w:rPr>
        <w:t>The fair value hierarchy requires the use of observable market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242"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Our financial assets that are measured at fair value on a recurring basis are an interest rate swap and assets held in a deferred compensation retirement plan. As of September 27, 2020 and March 29, 2020, the assets held in a deferred compensation retirement plan are classified as other long-term assets on our balance sheet, with the portion of the plan assets expected to be paid within twelve months classified as current assets and the interest rate swap is classified as other current liabilities on our balance sheet.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25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tables summarize the balances of assets and liabilities measured at fair value on a recurring basis as of September 27, 2020 and March 29, 2020.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27, 2020</w:t>
            </w:r>
          </w:p>
        </w:tc>
        <w:tc>
          <w:tcPr>
            <w:tcW w:w="240" w:type="dxa"/>
            <w:vAlign w:val="bottom"/>
          </w:tcPr>
          <w:p>
            <w:pPr>
              <w:spacing w:after="0"/>
              <w:rPr>
                <w:sz w:val="21"/>
                <w:szCs w:val="21"/>
                <w:color w:val="auto"/>
              </w:rPr>
            </w:pPr>
          </w:p>
        </w:tc>
        <w:tc>
          <w:tcPr>
            <w:tcW w:w="174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29, 2020</w:t>
            </w:r>
          </w:p>
        </w:tc>
      </w:tr>
      <w:tr>
        <w:trPr>
          <w:trHeight w:val="242"/>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5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8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spacing w:after="0"/>
              <w:rPr>
                <w:sz w:val="21"/>
                <w:szCs w:val="21"/>
                <w:color w:val="auto"/>
              </w:rPr>
            </w:pPr>
          </w:p>
        </w:tc>
      </w:tr>
      <w:tr>
        <w:trPr>
          <w:trHeight w:val="250"/>
        </w:trPr>
        <w:tc>
          <w:tcPr>
            <w:tcW w:w="4380" w:type="dxa"/>
            <w:vAlign w:val="bottom"/>
          </w:tcPr>
          <w:p>
            <w:pPr>
              <w:ind w:left="120"/>
              <w:spacing w:after="0"/>
              <w:rPr>
                <w:sz w:val="20"/>
                <w:szCs w:val="20"/>
                <w:color w:val="auto"/>
              </w:rPr>
            </w:pPr>
            <w:r>
              <w:rPr>
                <w:rFonts w:ascii="Arial" w:cs="Arial" w:eastAsia="Arial" w:hAnsi="Arial"/>
                <w:sz w:val="18"/>
                <w:szCs w:val="18"/>
                <w:color w:val="auto"/>
              </w:rPr>
              <w:t>Deferred compensation plan assets</w:t>
            </w:r>
          </w:p>
        </w:tc>
        <w:tc>
          <w:tcPr>
            <w:tcW w:w="2560" w:type="dxa"/>
            <w:vAlign w:val="bottom"/>
          </w:tcPr>
          <w:p>
            <w:pPr>
              <w:ind w:left="1460"/>
              <w:spacing w:after="0"/>
              <w:rPr>
                <w:sz w:val="20"/>
                <w:szCs w:val="20"/>
                <w:color w:val="auto"/>
              </w:rPr>
            </w:pPr>
            <w:r>
              <w:rPr>
                <w:rFonts w:ascii="Arial" w:cs="Arial" w:eastAsia="Arial" w:hAnsi="Arial"/>
                <w:sz w:val="18"/>
                <w:szCs w:val="18"/>
                <w:color w:val="auto"/>
              </w:rPr>
              <w:t>Level 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5,573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3,564</w:t>
            </w:r>
          </w:p>
        </w:tc>
      </w:tr>
      <w:tr>
        <w:trPr>
          <w:trHeight w:val="277"/>
        </w:trPr>
        <w:tc>
          <w:tcPr>
            <w:tcW w:w="438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50"/>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63"/>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rate swap</w:t>
            </w:r>
          </w:p>
        </w:tc>
        <w:tc>
          <w:tcPr>
            <w:tcW w:w="256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Level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Assets Held for Sale</w:t>
      </w:r>
    </w:p>
    <w:p>
      <w:pPr>
        <w:spacing w:after="0" w:line="27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the first quarter of fiscal 2021, management determined that an office building that was previously held for sale no longer met the criteria to be classified as such. As a result, the $0.9 million net book value was reclassified out of “Prepaid expenses and other current assets” and is now classified as held and used within Property, Plant and Equipment on our balance sheet.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800" w:type="dxa"/>
            <w:vAlign w:val="bottom"/>
          </w:tcPr>
          <w:p>
            <w:pPr>
              <w:spacing w:after="0"/>
              <w:rPr>
                <w:sz w:val="20"/>
                <w:szCs w:val="20"/>
                <w:color w:val="auto"/>
              </w:rPr>
            </w:pPr>
            <w:r>
              <w:rPr>
                <w:rFonts w:ascii="Arial" w:cs="Arial" w:eastAsia="Arial" w:hAnsi="Arial"/>
                <w:sz w:val="18"/>
                <w:szCs w:val="18"/>
                <w:b w:val="1"/>
                <w:bCs w:val="1"/>
                <w:color w:val="auto"/>
              </w:rPr>
              <w:t>Note 8 – Inventories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color w:val="auto"/>
              </w:rPr>
              <w:t>Inventories at September 27, 2020 and March 29, 2020 consisted of the following:</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1"/>
        </w:trPr>
        <w:tc>
          <w:tcPr>
            <w:tcW w:w="78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27,</w:t>
            </w:r>
          </w:p>
        </w:tc>
        <w:tc>
          <w:tcPr>
            <w:tcW w:w="240" w:type="dxa"/>
            <w:vAlign w:val="bottom"/>
          </w:tcPr>
          <w:p>
            <w:pPr>
              <w:spacing w:after="0"/>
              <w:rPr>
                <w:sz w:val="22"/>
                <w:szCs w:val="22"/>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29,</w:t>
            </w:r>
          </w:p>
        </w:tc>
      </w:tr>
      <w:tr>
        <w:trPr>
          <w:trHeight w:val="24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5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60,090</w:t>
            </w:r>
          </w:p>
        </w:tc>
      </w:tr>
      <w:tr>
        <w:trPr>
          <w:trHeight w:val="25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LIFO reserve</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(5,654)</w:t>
            </w:r>
          </w:p>
        </w:tc>
      </w:tr>
      <w:tr>
        <w:trPr>
          <w:trHeight w:val="27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03"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1" w:name="page12"/>
    <w:bookmarkEnd w:id="11"/>
    <w:p>
      <w:pPr>
        <w:spacing w:after="0" w:line="261"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$ 44.6 million at September 27, 2020 and $43.3 million at March 29, 2020. The remainder of the inventory was valued and accounted for under the FIFO method.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 and Intangible Assets</w:t>
      </w:r>
    </w:p>
    <w:p>
      <w:pPr>
        <w:spacing w:after="0" w:line="274"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carrying amount of goodwill was $67.7 million as of September 27, 2020 and $58.4 million as of March 29, 2020, of which $44.9 million was related to our Health and Nutrition segment, $16.3 million was related to our Water Treatment segment, and $6.5 million was related to our Industrial segment. The increase in goodwill during the six months ended September 27, 2020 represents preliminary goodwill recorded in connection with the ADC acquisition as discussed in Note 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intangible assets as of September 27, 2020 and March 29, 2020 is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27, 2020</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15"/>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7"/>
                <w:szCs w:val="17"/>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43"/>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3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91,483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(23,779)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67,704</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78,383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(21,400)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56,983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Trademarks and trade names</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3,648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70,020</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59,426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102,613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71,247</w:t>
            </w:r>
          </w:p>
        </w:tc>
        <w:tc>
          <w:tcPr>
            <w:tcW w:w="2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(28,650)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60,653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10 –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3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80" w:type="dxa"/>
            <w:vAlign w:val="bottom"/>
            <w:gridSpan w:val="7"/>
          </w:tcPr>
          <w:p>
            <w:pPr>
              <w:spacing w:after="0"/>
              <w:rPr>
                <w:sz w:val="20"/>
                <w:szCs w:val="20"/>
                <w:color w:val="auto"/>
              </w:rPr>
            </w:pPr>
            <w:r>
              <w:rPr>
                <w:rFonts w:ascii="Arial" w:cs="Arial" w:eastAsia="Arial" w:hAnsi="Arial"/>
                <w:sz w:val="18"/>
                <w:szCs w:val="18"/>
                <w:color w:val="auto"/>
              </w:rPr>
              <w:t>Debt at September 27, 2020 and March 29, 2020 consisted of the following:</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gridSpan w:val="5"/>
          </w:tcPr>
          <w:p>
            <w:pPr>
              <w:ind w:left="160"/>
              <w:spacing w:after="0"/>
              <w:rPr>
                <w:sz w:val="20"/>
                <w:szCs w:val="20"/>
                <w:color w:val="auto"/>
              </w:rPr>
            </w:pPr>
            <w:r>
              <w:rPr>
                <w:rFonts w:ascii="Arial" w:cs="Arial" w:eastAsia="Arial" w:hAnsi="Arial"/>
                <w:sz w:val="18"/>
                <w:szCs w:val="18"/>
                <w:b w:val="1"/>
                <w:bCs w:val="1"/>
                <w:color w:val="auto"/>
              </w:rPr>
              <w:t>September 27,</w:t>
            </w:r>
          </w:p>
        </w:tc>
        <w:tc>
          <w:tcPr>
            <w:tcW w:w="300" w:type="dxa"/>
            <w:vAlign w:val="bottom"/>
          </w:tcPr>
          <w:p>
            <w:pPr>
              <w:spacing w:after="0"/>
              <w:rPr>
                <w:sz w:val="24"/>
                <w:szCs w:val="24"/>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March 29,</w:t>
            </w:r>
          </w:p>
        </w:tc>
        <w:tc>
          <w:tcPr>
            <w:tcW w:w="0" w:type="dxa"/>
            <w:vAlign w:val="bottom"/>
          </w:tcPr>
          <w:p>
            <w:pPr>
              <w:spacing w:after="0"/>
              <w:rPr>
                <w:sz w:val="1"/>
                <w:szCs w:val="1"/>
                <w:color w:val="auto"/>
              </w:rPr>
            </w:pPr>
          </w:p>
        </w:tc>
      </w:tr>
      <w:tr>
        <w:trPr>
          <w:trHeight w:val="246"/>
        </w:trPr>
        <w:tc>
          <w:tcPr>
            <w:tcW w:w="35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Senior secured revolving loan</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76,000</w:t>
            </w:r>
          </w:p>
        </w:tc>
        <w:tc>
          <w:tcPr>
            <w:tcW w:w="1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50"/>
        </w:trPr>
        <w:tc>
          <w:tcPr>
            <w:tcW w:w="3540" w:type="dxa"/>
            <w:vAlign w:val="bottom"/>
          </w:tcPr>
          <w:p>
            <w:pPr>
              <w:ind w:left="120"/>
              <w:spacing w:after="0"/>
              <w:rPr>
                <w:sz w:val="20"/>
                <w:szCs w:val="20"/>
                <w:color w:val="auto"/>
              </w:rPr>
            </w:pPr>
            <w:r>
              <w:rPr>
                <w:rFonts w:ascii="Arial" w:cs="Arial" w:eastAsia="Arial" w:hAnsi="Arial"/>
                <w:sz w:val="18"/>
                <w:szCs w:val="18"/>
                <w:color w:val="auto"/>
              </w:rPr>
              <w:t>Total debt, net of debt issuance costs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75,705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59,658</w:t>
            </w: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w:t>
            </w:r>
          </w:p>
        </w:tc>
        <w:tc>
          <w:tcPr>
            <w:tcW w:w="1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(9,907)</w:t>
            </w:r>
          </w:p>
        </w:tc>
        <w:tc>
          <w:tcPr>
            <w:tcW w:w="0" w:type="dxa"/>
            <w:vAlign w:val="bottom"/>
          </w:tcPr>
          <w:p>
            <w:pPr>
              <w:spacing w:after="0"/>
              <w:rPr>
                <w:sz w:val="1"/>
                <w:szCs w:val="1"/>
                <w:color w:val="auto"/>
              </w:rPr>
            </w:pPr>
          </w:p>
        </w:tc>
      </w:tr>
      <w:tr>
        <w:trPr>
          <w:trHeight w:val="256"/>
        </w:trPr>
        <w:tc>
          <w:tcPr>
            <w:tcW w:w="354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ind w:left="80"/>
              <w:spacing w:after="0"/>
              <w:rPr>
                <w:sz w:val="20"/>
                <w:szCs w:val="20"/>
                <w:color w:val="auto"/>
              </w:rPr>
            </w:pPr>
            <w:r>
              <w:rPr>
                <w:rFonts w:ascii="Arial" w:cs="Arial" w:eastAsia="Arial" w:hAnsi="Arial"/>
                <w:sz w:val="18"/>
                <w:szCs w:val="18"/>
                <w:color w:val="auto"/>
              </w:rPr>
              <w:t>65,798</w:t>
            </w:r>
          </w:p>
        </w:tc>
        <w:tc>
          <w:tcPr>
            <w:tcW w:w="1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49,751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74"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3, 2016 are closed to examination by the Internal Revenue Service, and with few exceptions, state and local</w:t>
      </w:r>
    </w:p>
    <w:p>
      <w:pPr>
        <w:spacing w:after="0" w:line="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income tax jurisdictions. Our effective tax rate for the six months ended September 27, 2020 was 26.4% and was 26.3% for the six months ended September 29, 2019. The effective tax rate is impacted by projected levels of annual taxable income, permanent items, and state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Leases</w:t>
      </w:r>
    </w:p>
    <w:p>
      <w:pPr>
        <w:spacing w:after="0" w:line="252"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September 27, 2020, we were obligated under operating lease agreements for certain manufacturing facilities,</w:t>
      </w:r>
      <w:r>
        <w:rPr>
          <w:rFonts w:ascii="Arial" w:cs="Arial" w:eastAsia="Arial" w:hAnsi="Arial"/>
          <w:sz w:val="18"/>
          <w:szCs w:val="18"/>
          <w:b w:val="1"/>
          <w:bCs w:val="1"/>
          <w:color w:val="auto"/>
        </w:rPr>
        <w:t xml:space="preserve"> </w:t>
      </w:r>
      <w:r>
        <w:rPr>
          <w:rFonts w:ascii="Arial" w:cs="Arial" w:eastAsia="Arial" w:hAnsi="Arial"/>
          <w:sz w:val="18"/>
          <w:szCs w:val="18"/>
          <w:color w:val="auto"/>
        </w:rPr>
        <w:t>warehouse space, the land on which some of our facilities sit, vehicles and information technology equipment. Our leases have remaining lease terms of 1 year to 24 years, some of which include options to extend the lease for up to 10 years.</w:t>
      </w:r>
    </w:p>
    <w:p>
      <w:pPr>
        <w:spacing w:after="0" w:line="22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As of September 27, 2020, our operating lease components with initial or remaining terms in excess of one year were classified on the condensed consolidated balance sheet within right of use assets, short-term lease liability and long-term lease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for leases less than 12 months for the six months ended September 27, 2020 was not material. Total lease expense was</w:t>
      </w:r>
    </w:p>
    <w:p>
      <w:pPr>
        <w:spacing w:after="0" w:line="9"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$0.7 million for both the three months ended September 27, 2020 and September 29, 2019. Total lease expense for the six months ended September 27, 2020 and September 29, 2019 was $1.4 million and $1.5 million, respectively.</w:t>
      </w:r>
    </w:p>
    <w:p>
      <w:pPr>
        <w:sectPr>
          <w:pgSz w:w="11900" w:h="16838" w:orient="portrait"/>
          <w:cols w:equalWidth="0" w:num="1">
            <w:col w:w="11200"/>
          </w:cols>
          <w:pgMar w:left="320" w:top="625" w:right="37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25" w:right="3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238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rPr>
              <w:t>September 27, 2020</w:t>
            </w:r>
          </w:p>
        </w:tc>
      </w:tr>
      <w:tr>
        <w:trPr>
          <w:trHeight w:val="243"/>
        </w:trPr>
        <w:tc>
          <w:tcPr>
            <w:tcW w:w="8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84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r>
      <w:tr>
        <w:trPr>
          <w:trHeight w:val="250"/>
        </w:trPr>
        <w:tc>
          <w:tcPr>
            <w:tcW w:w="8800" w:type="dxa"/>
            <w:vAlign w:val="bottom"/>
          </w:tcPr>
          <w:p>
            <w:pPr>
              <w:ind w:left="120"/>
              <w:spacing w:after="0"/>
              <w:rPr>
                <w:sz w:val="20"/>
                <w:szCs w:val="20"/>
                <w:color w:val="auto"/>
              </w:rPr>
            </w:pPr>
            <w:r>
              <w:rPr>
                <w:rFonts w:ascii="Arial" w:cs="Arial" w:eastAsia="Arial" w:hAnsi="Arial"/>
                <w:sz w:val="18"/>
                <w:szCs w:val="18"/>
                <w:color w:val="auto"/>
              </w:rPr>
              <w:t>Weighted average remaining lease term (years)</w:t>
            </w: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8.57</w:t>
            </w:r>
          </w:p>
        </w:tc>
        <w:tc>
          <w:tcPr>
            <w:tcW w:w="300" w:type="dxa"/>
            <w:vAlign w:val="bottom"/>
          </w:tcPr>
          <w:p>
            <w:pPr>
              <w:spacing w:after="0"/>
              <w:rPr>
                <w:sz w:val="21"/>
                <w:szCs w:val="21"/>
                <w:color w:val="auto"/>
              </w:rPr>
            </w:pPr>
          </w:p>
        </w:tc>
      </w:tr>
      <w:tr>
        <w:trPr>
          <w:trHeight w:val="263"/>
        </w:trPr>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 average discount rate</w:t>
            </w:r>
          </w:p>
        </w:tc>
        <w:tc>
          <w:tcPr>
            <w:tcW w:w="8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300" w:type="dxa"/>
            <w:vAlign w:val="bottom"/>
          </w:tcPr>
          <w:p>
            <w:pPr>
              <w:spacing w:after="0"/>
              <w:rPr>
                <w:sz w:val="22"/>
                <w:szCs w:val="22"/>
                <w:color w:val="auto"/>
              </w:rPr>
            </w:pPr>
          </w:p>
        </w:tc>
      </w:tr>
      <w:tr>
        <w:trPr>
          <w:trHeight w:val="810"/>
        </w:trPr>
        <w:tc>
          <w:tcPr>
            <w:tcW w:w="8800" w:type="dxa"/>
            <w:vAlign w:val="bottom"/>
          </w:tcPr>
          <w:p>
            <w:pPr>
              <w:spacing w:after="0"/>
              <w:rPr>
                <w:sz w:val="20"/>
                <w:szCs w:val="20"/>
                <w:color w:val="auto"/>
              </w:rPr>
            </w:pPr>
            <w:r>
              <w:rPr>
                <w:rFonts w:ascii="Arial" w:cs="Arial" w:eastAsia="Arial" w:hAnsi="Arial"/>
                <w:sz w:val="18"/>
                <w:szCs w:val="18"/>
                <w:color w:val="auto"/>
              </w:rPr>
              <w:t>Maturities of lease liabilities as of September 27, 2020 were as follows:</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64"/>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Operating Leases</w:t>
            </w:r>
          </w:p>
        </w:tc>
      </w:tr>
      <w:tr>
        <w:trPr>
          <w:trHeight w:val="256"/>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fiscal 2021</w:t>
            </w:r>
          </w:p>
        </w:tc>
        <w:tc>
          <w:tcPr>
            <w:tcW w:w="12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1,736</w:t>
            </w:r>
          </w:p>
        </w:tc>
      </w:tr>
      <w:tr>
        <w:trPr>
          <w:trHeight w:val="250"/>
        </w:trPr>
        <w:tc>
          <w:tcPr>
            <w:tcW w:w="880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1,698</w:t>
            </w:r>
          </w:p>
        </w:tc>
      </w:tr>
      <w:tr>
        <w:trPr>
          <w:trHeight w:val="26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8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1,355</w:t>
            </w:r>
          </w:p>
        </w:tc>
      </w:tr>
      <w:tr>
        <w:trPr>
          <w:trHeight w:val="250"/>
        </w:trPr>
        <w:tc>
          <w:tcPr>
            <w:tcW w:w="880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1,266</w:t>
            </w:r>
          </w:p>
        </w:tc>
      </w:tr>
      <w:tr>
        <w:trPr>
          <w:trHeight w:val="26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8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1,256</w:t>
            </w:r>
          </w:p>
        </w:tc>
      </w:tr>
      <w:tr>
        <w:trPr>
          <w:trHeight w:val="25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3,720</w:t>
            </w:r>
          </w:p>
        </w:tc>
      </w:tr>
      <w:tr>
        <w:trPr>
          <w:trHeight w:val="257"/>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11,031</w:t>
            </w:r>
          </w:p>
        </w:tc>
      </w:tr>
      <w:tr>
        <w:trPr>
          <w:trHeight w:val="250"/>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8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(2,449)</w:t>
            </w:r>
          </w:p>
        </w:tc>
      </w:tr>
      <w:tr>
        <w:trPr>
          <w:trHeight w:val="277"/>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280" w:type="dxa"/>
            <w:vAlign w:val="bottom"/>
            <w:gridSpan w:val="2"/>
            <w:shd w:val="clear" w:color="auto" w:fill="CCEEFF"/>
          </w:tcPr>
          <w:p>
            <w:pPr>
              <w:jc w:val="right"/>
              <w:ind w:right="23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Share-Based Compensation</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Performance-Based Restricted Stock Units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(the “Board”) approved a performance-based equity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for our executive officers during the first quarters of each of fiscal 2021 and fiscal 2020. These performance-based arrangements provide for the grant of performance-based restricted stock units that represent a possible future issuance of restricted shares of our common stock based on a pre-tax income target for the applicable fiscal year. The actual number of restricted shares to be issued to each executive officer is determined when our final financial information becomes available after the applicable fiscal year and will be between zero shares and 62,385 shares in the aggregate for fiscal 2021. The restricted shares issued, if any, will fully vest approximately two years after the last day of the fiscal year on which the performance is based. We are recording the compensation expense for the outstanding performance share units and the converted restricted stock over the life of the awards.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six months ended September 27, 2020:</w:t>
      </w:r>
    </w:p>
    <w:p>
      <w:pPr>
        <w:spacing w:after="0" w:line="46" w:lineRule="exact"/>
        <w:rPr>
          <w:sz w:val="20"/>
          <w:szCs w:val="20"/>
          <w:color w:val="auto"/>
        </w:rPr>
      </w:pPr>
    </w:p>
    <w:tbl>
      <w:tblPr>
        <w:tblLayout w:type="fixed"/>
        <w:tblInd w:w="160" w:type="dxa"/>
        <w:tblCellMar>
          <w:top w:w="0" w:type="dxa"/>
          <w:left w:w="0" w:type="dxa"/>
          <w:bottom w:w="0" w:type="dxa"/>
          <w:right w:w="0" w:type="dxa"/>
        </w:tblCellMar>
      </w:tblPr>
      <w:tr>
        <w:trPr>
          <w:trHeight w:val="189"/>
        </w:trPr>
        <w:tc>
          <w:tcPr>
            <w:tcW w:w="7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13"/>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78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13"/>
              <w:spacing w:after="0"/>
              <w:rPr>
                <w:sz w:val="20"/>
                <w:szCs w:val="20"/>
                <w:color w:val="auto"/>
              </w:rPr>
            </w:pPr>
            <w:r>
              <w:rPr>
                <w:rFonts w:ascii="Arial" w:cs="Arial" w:eastAsia="Arial" w:hAnsi="Arial"/>
                <w:sz w:val="16"/>
                <w:szCs w:val="16"/>
                <w:b w:val="1"/>
                <w:bCs w:val="1"/>
                <w:color w:val="auto"/>
                <w:w w:val="99"/>
              </w:rPr>
              <w:t>Average Grant</w:t>
            </w:r>
          </w:p>
        </w:tc>
      </w:tr>
      <w:tr>
        <w:trPr>
          <w:trHeight w:val="228"/>
        </w:trPr>
        <w:tc>
          <w:tcPr>
            <w:tcW w:w="7820" w:type="dxa"/>
            <w:vAlign w:val="bottom"/>
          </w:tcPr>
          <w:p>
            <w:pPr>
              <w:spacing w:after="0"/>
              <w:rPr>
                <w:sz w:val="19"/>
                <w:szCs w:val="19"/>
                <w:color w:val="auto"/>
              </w:rPr>
            </w:pPr>
          </w:p>
        </w:tc>
        <w:tc>
          <w:tcPr>
            <w:tcW w:w="1440" w:type="dxa"/>
            <w:vAlign w:val="bottom"/>
            <w:gridSpan w:val="2"/>
          </w:tcPr>
          <w:p>
            <w:pPr>
              <w:ind w:left="38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9"/>
                <w:szCs w:val="19"/>
                <w:color w:val="auto"/>
              </w:rPr>
            </w:pPr>
          </w:p>
        </w:tc>
        <w:tc>
          <w:tcPr>
            <w:tcW w:w="1500" w:type="dxa"/>
            <w:vAlign w:val="bottom"/>
          </w:tcPr>
          <w:p>
            <w:pPr>
              <w:jc w:val="center"/>
              <w:ind w:right="93"/>
              <w:spacing w:after="0"/>
              <w:rPr>
                <w:sz w:val="20"/>
                <w:szCs w:val="20"/>
                <w:color w:val="auto"/>
              </w:rPr>
            </w:pPr>
            <w:r>
              <w:rPr>
                <w:rFonts w:ascii="Arial" w:cs="Arial" w:eastAsia="Arial" w:hAnsi="Arial"/>
                <w:sz w:val="16"/>
                <w:szCs w:val="16"/>
                <w:b w:val="1"/>
                <w:bCs w:val="1"/>
                <w:color w:val="auto"/>
              </w:rPr>
              <w:t>Date Fair Value</w:t>
            </w:r>
          </w:p>
        </w:tc>
      </w:tr>
      <w:tr>
        <w:trPr>
          <w:trHeight w:val="257"/>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beginning of period</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74,515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34.27</w:t>
            </w:r>
          </w:p>
        </w:tc>
      </w:tr>
      <w:tr>
        <w:trPr>
          <w:trHeight w:val="250"/>
        </w:trPr>
        <w:tc>
          <w:tcPr>
            <w:tcW w:w="782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64,813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37.37</w:t>
            </w:r>
          </w:p>
        </w:tc>
      </w:tr>
      <w:tr>
        <w:trPr>
          <w:trHeight w:val="263"/>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31.35</w:t>
            </w:r>
          </w:p>
        </w:tc>
      </w:tr>
      <w:tr>
        <w:trPr>
          <w:trHeight w:val="250"/>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or 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35.83</w:t>
            </w:r>
          </w:p>
        </w:tc>
      </w:tr>
      <w:tr>
        <w:trPr>
          <w:trHeight w:val="275"/>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end of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35.89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recorded compensation expense related to performance share units and restricted stock of $0.5 million and $1.0 million for the three and six months ended September 27, 2020, respectively. We recorded compensation expense related to performance share units and restricted stock of $0.4 million and $0.8 million for the three and six months ended September 29, 2019, respectively. Substantially all of the compensation expense was recorded in selling, general and administrative expenses in the condensed consolidated statements of income.</w:t>
      </w:r>
    </w:p>
    <w:p>
      <w:pPr>
        <w:spacing w:after="0" w:line="210"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part of their retainers, each director who is not an executive officer receives an annual grant of restricted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their service on our Board. The restricted stock awards are expensed over the requisite vesting period, which is one year from the date of issuance, based on the market value on the date of grant. As of September 27, 2020, there were 5,874 shares of restricted stock with a grant date fair value of $51.06 outstanding under this program. Compensation expense for both the three months ended September 27, 2020 and September 29, 2019 related to restricted stock awards to the Board was $0.1 million. Compensation expense for both the six months ended September 27, 2020 and September 29, 2019 related to restricted stock awards to the Board was $0.2 million.</w:t>
      </w:r>
    </w:p>
    <w:p>
      <w:pPr>
        <w:sectPr>
          <w:pgSz w:w="11900" w:h="16838" w:orient="portrait"/>
          <w:cols w:equalWidth="0" w:num="1">
            <w:col w:w="11220"/>
          </w:cols>
          <w:pgMar w:left="320" w:top="922" w:right="359" w:bottom="1440" w:gutter="0" w:footer="0" w:header="0"/>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14 – Share Repurchase Program</w:t>
      </w:r>
    </w:p>
    <w:p>
      <w:pPr>
        <w:spacing w:after="0" w:line="27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Board has authorized the repurchase of up to 800,000 shares of our outstanding common stock for cash on the open market or in privately negotiated transactions subject to applicable securities laws and regulations. Upon purchase of the shares, we reduce our common stock for the par value of the shares with the excess applied against additional paid-in capital. During the three and six months ended September 27, 2020, no shares were repurchased. During the three months ended September 29, 2019, we repurchased 44,259 shares at an aggregate purchase price of $2.0 million. During the six months ended September 29, 2019, we repurchased 91,395 shares at an aggregate purchase price of $3.8 million. As of September 27, 2020, 358,797 shares remained available to be repurchased under the share repurchase program.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Litigation, Commitments and Contingencies</w:t>
      </w:r>
    </w:p>
    <w:p>
      <w:pPr>
        <w:spacing w:after="0" w:line="25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There are no material pending legal proceedings, other than ordinary routine litigation incidental to the business, to which we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of our subsidiaries are a party or of which any of our property is the subject. Legal fees associated with such matters are expensed as incurred.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74" w:lineRule="exact"/>
        <w:rPr>
          <w:sz w:val="20"/>
          <w:szCs w:val="20"/>
          <w:color w:val="auto"/>
        </w:rPr>
      </w:pPr>
    </w:p>
    <w:p>
      <w:pPr>
        <w:ind w:right="120"/>
        <w:spacing w:after="0" w:line="256" w:lineRule="auto"/>
        <w:rPr>
          <w:rFonts w:ascii="Arial" w:cs="Arial" w:eastAsia="Arial" w:hAnsi="Arial"/>
          <w:sz w:val="18"/>
          <w:szCs w:val="18"/>
          <w:color w:val="0000FF"/>
        </w:rPr>
      </w:pPr>
      <w:r>
        <w:rPr>
          <w:rFonts w:ascii="Arial" w:cs="Arial" w:eastAsia="Arial" w:hAnsi="Arial"/>
          <w:sz w:val="18"/>
          <w:szCs w:val="18"/>
          <w:color w:val="auto"/>
        </w:rPr>
        <w:t xml:space="preserve">We have three reportable segments: Industrial, Water Treatment, and Health and Nutrition. The accounting policies of the segments are the </w:t>
      </w:r>
      <w:hyperlink r:id="rId28">
        <w:r>
          <w:rPr>
            <w:rFonts w:ascii="Arial" w:cs="Arial" w:eastAsia="Arial" w:hAnsi="Arial"/>
            <w:sz w:val="18"/>
            <w:szCs w:val="18"/>
            <w:color w:val="auto"/>
          </w:rPr>
          <w:t xml:space="preserve">same as those described in the summary of significant accounting policies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FF"/>
          </w:rPr>
          <w:t>March 29, 2020</w:t>
        </w:r>
        <w:r>
          <w:rPr>
            <w:rFonts w:ascii="Arial" w:cs="Arial" w:eastAsia="Arial" w:hAnsi="Arial"/>
            <w:sz w:val="18"/>
            <w:szCs w:val="18"/>
            <w:color w:val="000000"/>
          </w:rPr>
          <w:t>.</w:t>
        </w:r>
      </w:hyperlink>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We allocate certain corporate expenses to our operating segments. There are no intersegment sales and no operating segments have been aggregated. No single customer’s revenues amounted to 10% or more of our total revenue. Sales are primarily within the United States and all assets are located within the United States.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Health and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6"/>
        </w:trPr>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1"/>
                <w:szCs w:val="21"/>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Treatment</w:t>
            </w:r>
          </w:p>
        </w:tc>
        <w:tc>
          <w:tcPr>
            <w:tcW w:w="16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Nutrition</w:t>
            </w:r>
          </w:p>
        </w:tc>
        <w:tc>
          <w:tcPr>
            <w:tcW w:w="30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43"/>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27, 2020:</w:t>
            </w: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r>
      <w:tr>
        <w:trPr>
          <w:trHeight w:val="250"/>
        </w:trPr>
        <w:tc>
          <w:tcPr>
            <w:tcW w:w="5460" w:type="dxa"/>
            <w:vAlign w:val="bottom"/>
          </w:tcPr>
          <w:p>
            <w:pPr>
              <w:ind w:left="34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61,171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49,540</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37,090</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147,801</w:t>
            </w:r>
          </w:p>
        </w:tc>
      </w:tr>
      <w:tr>
        <w:trPr>
          <w:trHeight w:val="263"/>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14,522</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32,797</w:t>
            </w:r>
          </w:p>
        </w:tc>
      </w:tr>
      <w:tr>
        <w:trPr>
          <w:trHeight w:val="250"/>
        </w:trPr>
        <w:tc>
          <w:tcPr>
            <w:tcW w:w="546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5,573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4,219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16,221</w:t>
            </w:r>
          </w:p>
        </w:tc>
      </w:tr>
      <w:tr>
        <w:trPr>
          <w:trHeight w:val="263"/>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16,576</w:t>
            </w: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Three months ended September 29, 2019:</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68,090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26,085</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140,043</w:t>
            </w:r>
          </w:p>
        </w:tc>
      </w:tr>
      <w:tr>
        <w:trPr>
          <w:trHeight w:val="250"/>
        </w:trPr>
        <w:tc>
          <w:tcPr>
            <w:tcW w:w="546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12,753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4,567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27,994</w:t>
            </w:r>
          </w:p>
        </w:tc>
      </w:tr>
      <w:tr>
        <w:trPr>
          <w:trHeight w:val="263"/>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5,895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14,817</w:t>
            </w:r>
          </w:p>
        </w:tc>
      </w:tr>
      <w:tr>
        <w:trPr>
          <w:trHeight w:val="250"/>
        </w:trPr>
        <w:tc>
          <w:tcPr>
            <w:tcW w:w="546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7,619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13,177</w:t>
            </w:r>
          </w:p>
        </w:tc>
      </w:tr>
      <w:tr>
        <w:trPr>
          <w:trHeight w:val="26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September 27, 2020:</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5460" w:type="dxa"/>
            <w:vAlign w:val="bottom"/>
          </w:tcPr>
          <w:p>
            <w:pPr>
              <w:ind w:left="340"/>
              <w:spacing w:after="0"/>
              <w:rPr>
                <w:sz w:val="20"/>
                <w:szCs w:val="20"/>
                <w:color w:val="auto"/>
              </w:rPr>
            </w:pPr>
            <w:r>
              <w:rPr>
                <w:rFonts w:ascii="Arial" w:cs="Arial" w:eastAsia="Arial" w:hAnsi="Arial"/>
                <w:sz w:val="18"/>
                <w:szCs w:val="18"/>
                <w:color w:val="auto"/>
              </w:rPr>
              <w:t>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132,673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89,254</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69,046</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290,973</w:t>
            </w:r>
          </w:p>
        </w:tc>
      </w:tr>
      <w:tr>
        <w:trPr>
          <w:trHeight w:val="263"/>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22,893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25,861</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15,019</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63,773</w:t>
            </w:r>
          </w:p>
        </w:tc>
      </w:tr>
      <w:tr>
        <w:trPr>
          <w:trHeight w:val="250"/>
        </w:trPr>
        <w:tc>
          <w:tcPr>
            <w:tcW w:w="546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10,866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7,897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31,259</w:t>
            </w:r>
          </w:p>
        </w:tc>
      </w:tr>
      <w:tr>
        <w:trPr>
          <w:trHeight w:val="263"/>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14,995</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32,514</w:t>
            </w:r>
          </w:p>
        </w:tc>
      </w:tr>
      <w:tr>
        <w:trPr>
          <w:trHeight w:val="250"/>
        </w:trPr>
        <w:tc>
          <w:tcPr>
            <w:tcW w:w="5460" w:type="dxa"/>
            <w:vAlign w:val="bottom"/>
          </w:tcPr>
          <w:p>
            <w:pPr>
              <w:ind w:left="20"/>
              <w:spacing w:after="0"/>
              <w:rPr>
                <w:sz w:val="20"/>
                <w:szCs w:val="20"/>
                <w:color w:val="auto"/>
              </w:rPr>
            </w:pPr>
            <w:r>
              <w:rPr>
                <w:rFonts w:ascii="Arial" w:cs="Arial" w:eastAsia="Arial" w:hAnsi="Arial"/>
                <w:sz w:val="18"/>
                <w:szCs w:val="18"/>
                <w:color w:val="auto"/>
              </w:rPr>
              <w:t>Six months ended September 29, 2019:</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143,415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54,844</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287,379</w:t>
            </w:r>
          </w:p>
        </w:tc>
      </w:tr>
      <w:tr>
        <w:trPr>
          <w:trHeight w:val="250"/>
        </w:trPr>
        <w:tc>
          <w:tcPr>
            <w:tcW w:w="546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21,589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24,844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10,358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56,791</w:t>
            </w:r>
          </w:p>
        </w:tc>
      </w:tr>
      <w:tr>
        <w:trPr>
          <w:trHeight w:val="263"/>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11,991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29,653</w:t>
            </w:r>
          </w:p>
        </w:tc>
      </w:tr>
      <w:tr>
        <w:trPr>
          <w:trHeight w:val="243"/>
        </w:trPr>
        <w:tc>
          <w:tcPr>
            <w:tcW w:w="546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14,722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2,818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27,138</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 significant changes to identifiable assets by segment occurred during the six months ended September 27, 2020.</w:t>
      </w:r>
    </w:p>
    <w:p>
      <w:pPr>
        <w:sectPr>
          <w:pgSz w:w="11900" w:h="16838" w:orient="portrait"/>
          <w:cols w:equalWidth="0" w:num="1">
            <w:col w:w="11220"/>
          </w:cols>
          <w:pgMar w:left="320" w:top="846" w:right="35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46" w:right="359" w:bottom="1440" w:gutter="0" w:footer="0" w:header="0"/>
          <w:type w:val="continuous"/>
        </w:sectPr>
      </w:pPr>
    </w:p>
    <w:bookmarkStart w:id="14" w:name="page15"/>
    <w:bookmarkEnd w:id="14"/>
    <w:p>
      <w:pPr>
        <w:spacing w:after="0"/>
        <w:tabs>
          <w:tab w:leader="none" w:pos="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347" w:lineRule="exact"/>
        <w:rPr>
          <w:sz w:val="20"/>
          <w:szCs w:val="20"/>
          <w:color w:val="auto"/>
        </w:rPr>
      </w:pPr>
    </w:p>
    <w:p>
      <w:pPr>
        <w:ind w:right="14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The following is a discussion and analysis of our financial condition and results of operations for the six months ended September 27, 2020 as compared to the similar period ended September 29, 2019. This discussion should be read in conjunction with the condensed consolidated financial statements and notes to condensed consolidated financial statements included in this quarterly report on Form 10-Q and Item 8 of our </w:t>
      </w:r>
      <w:hyperlink r:id="rId28">
        <w:r>
          <w:rPr>
            <w:rFonts w:ascii="Arial" w:cs="Arial" w:eastAsia="Arial" w:hAnsi="Arial"/>
            <w:sz w:val="18"/>
            <w:szCs w:val="18"/>
            <w:u w:val="single" w:color="auto"/>
            <w:color w:val="0000FF"/>
          </w:rPr>
          <w:t>Annual Report on Form 10-K for the fiscal year ended March 29, 2020</w:t>
        </w:r>
      </w:hyperlink>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chemicals and specialty ingredients, including manufacturing, blending, and repackaging certain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Acquisition</w:t>
      </w:r>
    </w:p>
    <w:p>
      <w:pPr>
        <w:spacing w:after="0" w:line="257"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On July 28, 2020, we acquired substantially all the assets of American Development Corporation of Tennessee, Inc. (“ADC”) under the terms of an asset purchase agreement with ADC and its shareholders. ADC is a water treatment chemical distribution company operating primarily in Tennessee, Georgia and Kentucky. The results of operations since the acquisition date are included in our Water Treatment segment.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on COVID-19</w:t>
      </w: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pandemic caused by COVID-19 has resulted in federal, state and local governments around the world implementing stringent measures to help control the spread of the virus, including, from time to time, quarantines, “shelter in place” and “stay at home” orders, travel restrictions or bans, business curtailments, school closures, and other protective measures. While some areas of the country have reopened and eased these restrictions, some still have certain restrictions in place or are implementing or contemplating new restrictions. Restrictions will likely remain in place for some time. Financial markets have been volatile in 2020, primarily due to uncertainty with respect to the severity and duration of the pandemic.</w:t>
      </w:r>
    </w:p>
    <w:p>
      <w:pPr>
        <w:spacing w:after="0" w:line="2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All of our manufacturing facilities have qualified as essential operations (or the equivalent) under applicable federal and state orders. As a result, all of our manufacturing sites and facilities have continued to operate, with no significant impact to output levels. We are enforcing social distancing and enhanced health, safety and sanitization measures in accordance with guidelines from the Center for Disease Control. We have also implemented necessary procedures and support to enable a significant portion of our office personnel to work remotely.</w:t>
      </w:r>
    </w:p>
    <w:p>
      <w:pPr>
        <w:spacing w:after="0" w:line="2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this public health crisis, we remain focused on the health and safety of our employees, customers and suppliers and maintaining safe and reliable operations of our manufacturing sites. As our operations and products are essential to critical national infrastructure, it is imperative that we continue to supply materials including the products needed to maintain safe drinking water, ingredients essential for large-scale food, pharmaceutical and other health product manufacturing and nutrition products needed to support our critical infrastructure. Our manufacturing sites have continued to operate during the COVID-19 pandemic, with no significant impact to manufacturing.</w:t>
      </w:r>
    </w:p>
    <w:p>
      <w:pPr>
        <w:spacing w:after="0" w:line="23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ended the second quarter of fiscal 2021 with a leverage ratio of 1.0x, net debt of $72.8 million and $74 million available for borrowing under our Revolving Loan Facility.</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COVID-19 pandemic has created tremendous uncertainty in the economy. The financial impact to our company has been mixed, as sales to certain end-markets such as food, bottled bleach and health and nutrition have benefited our reporting segments, while decreased sales to other end-markets such as ethanol, pools and resorts have negatively impacted them. As uncertainty continues with this pandemic, we expect mixed results to continue for the foreseeable future. We will continue to be cautious in our capital expenditures and investments, while still investing for the future by opening new Water Treatment branches, pursuing strategic acquisitions and making capital investments to drive higher margin business. With our current debt levels and available borrowings, we believe we are well-positioned to weather a continued economic downturn.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2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costs rise and fall. The costs for certain of our raw materials can rise or fall rapidly, causing fluctuations in gross profit as a percentage of sales.</w:t>
      </w:r>
    </w:p>
    <w:p>
      <w:pPr>
        <w:sectPr>
          <w:pgSz w:w="11900" w:h="16838" w:orient="portrait"/>
          <w:cols w:equalWidth="0" w:num="1">
            <w:col w:w="11200"/>
          </w:cols>
          <w:pgMar w:left="320" w:top="584" w:right="37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type w:val="continuous"/>
        </w:sectPr>
      </w:pPr>
    </w:p>
    <w:bookmarkStart w:id="15" w:name="page16"/>
    <w:bookmarkEnd w:id="15"/>
    <w:p>
      <w:pPr>
        <w:ind w:right="40"/>
        <w:spacing w:after="0" w:line="253" w:lineRule="auto"/>
        <w:rPr>
          <w:sz w:val="20"/>
          <w:szCs w:val="20"/>
          <w:color w:val="auto"/>
        </w:rPr>
      </w:pPr>
      <w:r>
        <w:rPr>
          <w:rFonts w:ascii="Arial" w:cs="Arial" w:eastAsia="Arial" w:hAnsi="Arial"/>
          <w:sz w:val="18"/>
          <w:szCs w:val="18"/>
          <w:color w:val="auto"/>
        </w:rPr>
        <w:t>We use the LIFO method for valuing the majority of our inventory in our Industrial and Water Treatment segments, which causes the most recent product costs for those products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the Health and Nutrition segment are valued using the FIFO method.</w:t>
      </w:r>
    </w:p>
    <w:p>
      <w:pPr>
        <w:spacing w:after="0" w:line="23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00" w:type="dxa"/>
            <w:vAlign w:val="bottom"/>
            <w:tcBorders>
              <w:bottom w:val="single" w:sz="8" w:color="CCEEFF"/>
            </w:tcBorders>
          </w:tcPr>
          <w:p>
            <w:pPr>
              <w:spacing w:after="0"/>
              <w:rPr>
                <w:sz w:val="21"/>
                <w:szCs w:val="21"/>
                <w:color w:val="auto"/>
              </w:rPr>
            </w:pPr>
          </w:p>
        </w:tc>
        <w:tc>
          <w:tcPr>
            <w:tcW w:w="33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Borders>
              <w:bottom w:val="single" w:sz="8" w:color="CCEEFF"/>
            </w:tcBorders>
          </w:tcPr>
          <w:p>
            <w:pPr>
              <w:spacing w:after="0"/>
              <w:rPr>
                <w:sz w:val="21"/>
                <w:szCs w:val="21"/>
                <w:color w:val="auto"/>
              </w:rPr>
            </w:pPr>
          </w:p>
        </w:tc>
        <w:tc>
          <w:tcPr>
            <w:tcW w:w="346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07"/>
        </w:trPr>
        <w:tc>
          <w:tcPr>
            <w:tcW w:w="430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September 27,</w:t>
            </w:r>
          </w:p>
        </w:tc>
        <w:tc>
          <w:tcPr>
            <w:tcW w:w="17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September 29,</w:t>
            </w:r>
          </w:p>
        </w:tc>
        <w:tc>
          <w:tcPr>
            <w:tcW w:w="18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September 27,</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September 29,</w:t>
            </w:r>
          </w:p>
        </w:tc>
      </w:tr>
      <w:tr>
        <w:trPr>
          <w:trHeight w:val="252"/>
        </w:trPr>
        <w:tc>
          <w:tcPr>
            <w:tcW w:w="43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8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Sales</w:t>
            </w:r>
          </w:p>
        </w:tc>
        <w:tc>
          <w:tcPr>
            <w:tcW w:w="16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6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8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40" w:type="dxa"/>
            <w:vAlign w:val="bottom"/>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21.9 %</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19.8 %</w:t>
            </w:r>
          </w:p>
        </w:tc>
      </w:tr>
      <w:tr>
        <w:trPr>
          <w:trHeight w:val="26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40" w:type="dxa"/>
            <w:vAlign w:val="bottom"/>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11.2 %</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9.5 %</w:t>
            </w:r>
          </w:p>
        </w:tc>
      </w:tr>
      <w:tr>
        <w:trPr>
          <w:trHeight w:val="26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0"/>
        </w:trPr>
        <w:tc>
          <w:tcPr>
            <w:tcW w:w="43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6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40" w:type="dxa"/>
            <w:vAlign w:val="bottom"/>
          </w:tcPr>
          <w:p>
            <w:pPr>
              <w:jc w:val="right"/>
              <w:spacing w:after="0"/>
              <w:rPr>
                <w:sz w:val="20"/>
                <w:szCs w:val="20"/>
                <w:color w:val="auto"/>
              </w:rPr>
            </w:pPr>
            <w:r>
              <w:rPr>
                <w:rFonts w:ascii="Arial" w:cs="Arial" w:eastAsia="Arial" w:hAnsi="Arial"/>
                <w:sz w:val="18"/>
                <w:szCs w:val="18"/>
                <w:color w:val="auto"/>
              </w:rPr>
              <w:t>0.3 %</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56"/>
        </w:trPr>
        <w:tc>
          <w:tcPr>
            <w:tcW w:w="4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Borders>
              <w:top w:val="single" w:sz="8" w:color="CCEEFF"/>
            </w:tcBorders>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tcBorders>
              <w:top w:val="single" w:sz="8" w:color="CCEEFF"/>
            </w:tcBorders>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80" w:type="dxa"/>
            <w:vAlign w:val="bottom"/>
            <w:tcBorders>
              <w:top w:val="single" w:sz="8" w:color="CCEEFF"/>
            </w:tcBorders>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5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5"/>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6.6 %</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27, 2020 Compared to Three Months Ended September 29,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Sales were $147.8 million for the current quarter, an increase of $7.8 million, or 5.5%, from sales of $140.0 million a year ago.</w:t>
      </w:r>
    </w:p>
    <w:p>
      <w:pPr>
        <w:spacing w:after="0" w:line="15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$6.9 million, or 10.2%, to $61.2 million for the current quarter, as compared to $68.1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same period a year ago. Sales of bulk commodity products in the Industrial segment were approximately 15% of sales dollars in the current quarter and 17% in the same period of the prior year. The decrease in sales dollars as compared to the prior year was driven by lower overall volumes sold.</w:t>
      </w:r>
    </w:p>
    <w:p>
      <w:pPr>
        <w:spacing w:after="0" w:line="12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$3.6 million, or 8.0%, to $49.5 million for the current quarter,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$ 45.9 million in the same period a year ago. Sales of bulk commodity products in the Water Treatment segment were approximately 9% of sales dollars for the current quarter and 11% in the same period a year ago. The increase in sales dollars from the prior year was largely attributable to added sales from the acquisition of ADC. Sales by our legacy business also increased due to increased sales of our manufactured, blended and repackaged products.</w:t>
      </w:r>
    </w:p>
    <w:p>
      <w:pPr>
        <w:spacing w:after="0" w:line="129"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Sales for our Health and Nutrition segment increased $11.0 million, or 42.2%, to $37.1 million for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as compared to $26.1 million in the same period a year ago. The increase in sales was driven by increased sales of both our manufactured and specialty distributed products largely as a result of increased consumer demand for health and immunity products.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89"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Gross profit increased $4.8 million to $32.8 million, or 22.2% of sales, for the current quarter, from $28.0 million, or 20.0% of sales, for the same period a year ago. During the current quarter, the LIFO reserve decreased, and gross profits increased, by $0.2 million. In the same quarter a year ago, the LIFO reserve decreased, and gross profits increased, by $0.3 million.</w:t>
      </w:r>
    </w:p>
    <w:p>
      <w:pPr>
        <w:spacing w:after="0" w:line="130"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decreased $0.3 million to $10.4 million, or 17.0% of sales, for the current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from $ 10.7 million, or 15.7% of sales, in the same period of the prior year. During the current quarter, LIFO reserve decreased, and gross profits increased, by $0.2 million. In the same quarter a year ago, the LIFO reserve decreased, and gross profits increased, by $0.3 million. Total gross profit decreased slightly due to the overall reduction in sales.</w:t>
      </w:r>
    </w:p>
    <w:p>
      <w:pPr>
        <w:sectPr>
          <w:pgSz w:w="11900" w:h="16838" w:orient="portrait"/>
          <w:cols w:equalWidth="0" w:num="1">
            <w:col w:w="11240"/>
          </w:cols>
          <w:pgMar w:left="320" w:top="584" w:right="339" w:bottom="1440" w:gutter="0" w:footer="0" w:header="0"/>
        </w:sect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6" w:name="page17"/>
    <w:bookmarkEnd w:id="16"/>
    <w:p>
      <w:pPr>
        <w:ind w:right="240"/>
        <w:spacing w:after="0" w:line="261"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$1.8 million to $14.5 million, or 29.3% of sales,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from $12.8 million, or 27.8% of sales, in the same period of the prior year. During the current and prior year quarters, the change in the LIFO reserve had a nominal impact on gross profit. Gross profit increased as a result of the added gross profit from the acquisition of ADC, as well as the increased sales in our legacy business.</w:t>
      </w:r>
    </w:p>
    <w:p>
      <w:pPr>
        <w:spacing w:after="0" w:line="12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increased $3.2 million to $ 7.8 million, or 21.1% of sales,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quarter, from $4.6 million, or 17.5% of sales, for the same period of the prior year. The increase in gross profit was primarily a result of higher sales compared to the prior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Selling, general and administrative (“SG&amp;A”) expenses were $16.2 million, or 11.0% of sales, for the current quarter, compared to $14.8 million, or 10.6% of sales, for the same period of the prior year. Expenses increased in part due to increased variable pay and the added costs due to the ADC acquisition, including $0.2 million expense for amortization of intangibles, as well as an unfavorable adjustment to compensation expense related to our non-qualified deferred compensation plan, which expense is offset in other income. As a percentage of sales, SG&amp;A was relatively flat year over year when adjusted for the expense related to the non-qualified deferred compensation plan and the amortization of the intangibles related to ADC.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8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Operating income increased $3.4 million to $16.6 million, or 11.2% of sales, for the current quarter, from $13.2 million, or 9.4% of sales, for the same period of the prior year due to the combined impact of the factors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8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Interest expense was $0.3 million for the current quarter, a decrease of $0.4 million from interest expense of $0.7 million for the same period a year ago. Interest expense decreased due to lower outstanding borrowings and lower borrowing rates compared to the prior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8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Other income increased $0.3 million from the same period a year ago, with $0.3 million recorded in the current quarter, compared to a nominal amount in the same quarter a year ago. This amount represents gains recorded on investments held for our non-qualified deferred compensation plan. The amount recorded as a gain is offset by a similar amount recorded as an increase to compensation expense within SG&amp;A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70"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Our effective income tax rate was 26.4% for the current quarter, compared to 26.2% in the same period of the prior year. The effective tax rate is impacted by projected levels of annual taxable income, permanent items, and state taxes.</w:t>
      </w:r>
    </w:p>
    <w:p>
      <w:pPr>
        <w:spacing w:after="0" w:line="176" w:lineRule="exact"/>
        <w:rPr>
          <w:sz w:val="20"/>
          <w:szCs w:val="20"/>
          <w:color w:val="auto"/>
        </w:rPr>
      </w:pPr>
    </w:p>
    <w:p>
      <w:pPr>
        <w:ind w:right="3420"/>
        <w:spacing w:after="0" w:line="451" w:lineRule="auto"/>
        <w:rPr>
          <w:sz w:val="20"/>
          <w:szCs w:val="20"/>
          <w:color w:val="auto"/>
        </w:rPr>
      </w:pPr>
      <w:r>
        <w:rPr>
          <w:rFonts w:ascii="Arial" w:cs="Arial" w:eastAsia="Arial" w:hAnsi="Arial"/>
          <w:sz w:val="18"/>
          <w:szCs w:val="18"/>
          <w:b w:val="1"/>
          <w:bCs w:val="1"/>
          <w:i w:val="1"/>
          <w:iCs w:val="1"/>
          <w:color w:val="auto"/>
        </w:rPr>
        <w:t xml:space="preserve">Six Months Ended September 27, 2020 Compared to Six Months Ended September 29, 2019 </w:t>
      </w:r>
      <w:r>
        <w:rPr>
          <w:rFonts w:ascii="Arial" w:cs="Arial" w:eastAsia="Arial" w:hAnsi="Arial"/>
          <w:sz w:val="18"/>
          <w:szCs w:val="18"/>
          <w:i w:val="1"/>
          <w:iCs w:val="1"/>
          <w:color w:val="auto"/>
        </w:rPr>
        <w:t>Sales</w:t>
      </w:r>
    </w:p>
    <w:p>
      <w:pPr>
        <w:spacing w:after="0" w:line="261" w:lineRule="auto"/>
        <w:rPr>
          <w:sz w:val="20"/>
          <w:szCs w:val="20"/>
          <w:color w:val="auto"/>
        </w:rPr>
      </w:pPr>
      <w:r>
        <w:rPr>
          <w:rFonts w:ascii="Arial" w:cs="Arial" w:eastAsia="Arial" w:hAnsi="Arial"/>
          <w:sz w:val="18"/>
          <w:szCs w:val="18"/>
          <w:color w:val="auto"/>
        </w:rPr>
        <w:t>Sales were $291.0 million for the six months ended September 27, 2020, an increase of $3.6 million, or 1.3%, from sales of $287.4 million for the same period a year ago.</w:t>
      </w:r>
    </w:p>
    <w:p>
      <w:pPr>
        <w:spacing w:after="0" w:line="12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$10.7 million, or 7.5%, to $132.7 million for the six months ended September 27,</w:t>
      </w:r>
      <w:r>
        <w:rPr>
          <w:rFonts w:ascii="Arial" w:cs="Arial" w:eastAsia="Arial" w:hAnsi="Arial"/>
          <w:sz w:val="18"/>
          <w:szCs w:val="18"/>
          <w:i w:val="1"/>
          <w:iCs w:val="1"/>
          <w:color w:val="auto"/>
        </w:rPr>
        <w:t xml:space="preserve"> </w:t>
      </w:r>
      <w:r>
        <w:rPr>
          <w:rFonts w:ascii="Arial" w:cs="Arial" w:eastAsia="Arial" w:hAnsi="Arial"/>
          <w:sz w:val="18"/>
          <w:szCs w:val="18"/>
          <w:color w:val="auto"/>
        </w:rPr>
        <w:t>2020, as compared to $143.4 million for the same period a year ago. Sales of bulk commodity products in the Industrial segment were approximately 14% of sales dollars in the current year and 19% in the same period of the prior year. The decrease in sales dollars from the prior year was driven largely by weakened economic conditions in the ethanol industry, which decreased sales of products into that industry. In addition, the decrease in sales dollars from the prior year was partially attributable to a temporary increase in sales in the prior year attributable to heavy rains and flooding along the Mississippi River, which increased demand from certain customers. These year-over-year sales decreases were partially offset by increased sales of certain of our manufacturing, blended and repackaged products, largely our bleach products as a result of increased demand due to COVID-19.</w:t>
      </w:r>
    </w:p>
    <w:p>
      <w:pPr>
        <w:spacing w:after="0" w:line="13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$0.2 million, or 0.2%, to $89.3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27, 2020, as compared to $89.1 million for the same period a year ago. Sales of bulk commodity products in the Water Treatment segment were approximately 9% of sales dollars in the current year and 11% a year ago. The increase in sales dollars resulted from the added sales from the acquisition of ADC and was largely offset by a first quarter sales decline due to reduced sales to certain end markets, primarily pools, as a result of COVID-19.</w:t>
      </w:r>
    </w:p>
    <w:p>
      <w:pPr>
        <w:sectPr>
          <w:pgSz w:w="11900" w:h="16838" w:orient="portrait"/>
          <w:cols w:equalWidth="0" w:num="1">
            <w:col w:w="11220"/>
          </w:cols>
          <w:pgMar w:left="320" w:top="728" w:right="35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8" w:right="359" w:bottom="1440" w:gutter="0" w:footer="0" w:header="0"/>
          <w:type w:val="continuous"/>
        </w:sectPr>
      </w:pPr>
    </w:p>
    <w:bookmarkStart w:id="17" w:name="page18"/>
    <w:bookmarkEnd w:id="17"/>
    <w:p>
      <w:pPr>
        <w:ind w:right="40"/>
        <w:spacing w:after="0" w:line="245" w:lineRule="auto"/>
        <w:rPr>
          <w:sz w:val="20"/>
          <w:szCs w:val="20"/>
          <w:color w:val="auto"/>
        </w:rPr>
      </w:pPr>
      <w:r>
        <w:rPr>
          <w:rFonts w:ascii="Arial" w:cs="Arial" w:eastAsia="Arial" w:hAnsi="Arial"/>
          <w:sz w:val="18"/>
          <w:szCs w:val="18"/>
          <w:i w:val="1"/>
          <w:iCs w:val="1"/>
          <w:color w:val="auto"/>
        </w:rPr>
        <w:t xml:space="preserve">Health &amp; Nutrition Segment. </w:t>
      </w:r>
      <w:r>
        <w:rPr>
          <w:rFonts w:ascii="Arial" w:cs="Arial" w:eastAsia="Arial" w:hAnsi="Arial"/>
          <w:sz w:val="18"/>
          <w:szCs w:val="18"/>
          <w:color w:val="auto"/>
        </w:rPr>
        <w:t>Sales for our Health and Nutrition segment increased $14.2 million, or 25.9%, to $69.0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27, 2020, as compared to $54.8 million for the same period a year ago. The increase in sales was driven by increased sales of both our manufactured and specialty distributed products largely as a result of increased consumer demand for health and immunity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89"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Gross profit increased $7.0 million to $63.8 million, or 21.9% of sales, for the six months ended September 27, 2020, from $56.8 million, or 19.8% of sales, for the same period a year ago. During the current year, the LIFO reserve decreased, and gross profits increased, by $0.1 million. In the same period a year ago, the LIFO reserve decreased, and gross profits increased, by $0.3 million.</w:t>
      </w:r>
    </w:p>
    <w:p>
      <w:pPr>
        <w:spacing w:after="0" w:line="130"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$1.3 million to $22.9 million, or 17.3% of sales,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27, 2020, from $ 21.6 million, or 15.1% of sales, for the same period a year ago. During the current year, LIFO reserve decreased, and gross profits increased, by $0.1 million. In the same period a year ago, the LIFO reserve decreased, and gross profits increased, by $0.3 million. Gross profit increased due to strong first quarter sales of certain manufactured, blended and re-packaged products, largely our bleach products as a result of increased demand due to COVID-19.</w:t>
      </w:r>
    </w:p>
    <w:p>
      <w:pPr>
        <w:spacing w:after="0" w:line="13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$1.1 million to $25.9 million, or 29.0% of sales,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September 27, 2020, from $24.8 million, or 27.8% of sales, for the same period a year ago. During the current and prior year periods, the LIFO reserve had a nominal impact on gross profit. Gross profit increased primarily as a result of added sales from the acquisition of ADC.</w:t>
      </w:r>
    </w:p>
    <w:p>
      <w:pPr>
        <w:spacing w:after="0" w:line="12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auto"/>
        </w:rPr>
        <w:t>Health and Nutrition Segment</w:t>
      </w:r>
      <w:r>
        <w:rPr>
          <w:rFonts w:ascii="Arial" w:cs="Arial" w:eastAsia="Arial" w:hAnsi="Arial"/>
          <w:sz w:val="18"/>
          <w:szCs w:val="18"/>
          <w:color w:val="auto"/>
        </w:rPr>
        <w:t>. Gross profit for our Health and Nutrition segment increased $4.6 million to $15.0 million, or 21.8% of sales,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September 27, 2020, from $ 10.4 million, or 18.9% of sales, for the same prior year period. The increase in gross profit was primarily a result of higher sales compared to the prior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0"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SG&amp;A expenses were $31.3 million, or 10.7% of sales, for the six months ended September 27, 2020, compared to $29.7 million, or 10.3% of sales, for the same prior year period. Expenses increased in part due to increased variable pay, the added costs due to the ADC acquisition, including $0.2 million expense for amortization of intangibles, as well as an unfavorable adjustment to compensation expense related to our non-qualified deferred compensation plan, which expense is offset in other income. As a percentage of sales, SG&amp;A was relatively flat year over year when adjusted for the expense related to the non-qualified deferred compensation plan and the amortization of the intangibles related to ADC.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89"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Operating income increased $5.4 million to $32.5 million, or 11.2% of sales, for the six months ended September 27, 2020, from $27.1 million, or 9.5% of sales, for the same prior year period due to the combined impact of the factors discussed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 xml:space="preserve">Interest expense was $0.7 million for the six months ended </w:t>
      </w:r>
      <w:r>
        <w:rPr>
          <w:rFonts w:ascii="Arial" w:cs="Arial" w:eastAsia="Arial" w:hAnsi="Arial"/>
          <w:sz w:val="18"/>
          <w:szCs w:val="18"/>
          <w:i w:val="1"/>
          <w:iCs w:val="1"/>
          <w:color w:val="auto"/>
        </w:rPr>
        <w:t>September 27, 2020</w:t>
      </w:r>
      <w:r>
        <w:rPr>
          <w:rFonts w:ascii="Arial" w:cs="Arial" w:eastAsia="Arial" w:hAnsi="Arial"/>
          <w:sz w:val="18"/>
          <w:szCs w:val="18"/>
          <w:color w:val="auto"/>
        </w:rPr>
        <w:t>, a decrease of $0.7 million from interest expense of $1.4 million for the same period a year ago. Interest expense decreased due to lower outstanding borrowings and lower borrowing rates compared to the prior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89"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Other income increased $0.7 million from the same period a year ago, with $0.8 million of expense recorded in the six months ended September 27, 2020, compared to $0.1 million in the same period a year ago. This represents gains recorded on investments held for our non-qualified deferred compensation plan. The amount recorded as a gain is offset by a similar amount recorded as an increase to compensation expense within SG&amp;A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7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Our effective income tax rate for the six months ended September 27, 2020 was 26.4%, compared to 26.3% in the same period of the prior year. The effective tax rate is impacted by projected levels of annual taxable income, permanent items, and state taxes.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Cash was $3.2 million at September 27, 2020, a decrease of $1.1 million as compared with the $4.3 million available as of March 29, 2020.</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28" w:right="359" w:bottom="1440" w:gutter="0" w:footer="0" w:header="0"/>
        </w:sectPr>
      </w:pPr>
    </w:p>
    <w:bookmarkStart w:id="18" w:name="page19"/>
    <w:bookmarkEnd w:id="18"/>
    <w:p>
      <w:pPr>
        <w:spacing w:after="0" w:line="252" w:lineRule="auto"/>
        <w:rPr>
          <w:sz w:val="20"/>
          <w:szCs w:val="20"/>
          <w:color w:val="auto"/>
        </w:rPr>
      </w:pPr>
      <w:r>
        <w:rPr>
          <w:rFonts w:ascii="Arial" w:cs="Arial" w:eastAsia="Arial" w:hAnsi="Arial"/>
          <w:sz w:val="18"/>
          <w:szCs w:val="18"/>
          <w:color w:val="auto"/>
        </w:rPr>
        <w:t>Cash provided by operating activities was $20.1 million for the six months ended September 27, 2020, compared to cash provided by operating activities of $ 27.1 million for the same period of the prior year. The year-over-year decrease in cash provided by operating activities was primarily driven by an increase in inventory and customer receivables, offset by an increase in net income for the first six months of fiscal 2021 compared to the same period a year ago. Increased customer demand in our Health and Nutrition segment resulted in a significant increase in on-hand inventory due to required stocking levels and longer lead times for many products. Due to the nature of our operations, which includes purchases of large quantities of bulk chemicals, timing of purchases can result in significant changes in working capital investment and the resulting operating cash flow. Typically, our cash requirements increase during the period from April through November as caustic soda inventory levels increase because we receive the majority of barges during this period.</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Cash used in investing activities was $33.0 million for the six months ended September 27, 2020, compared to $13.9 million for the same period of the prior year. In the six months ended September 27, 2020, we acquired ADC for $25 million. Capital expenditures were $8.1 million for the six months ended September 27, 2020, compared to $14.1 million in the same period of the prior year. In the first six months of the prior year, we purchased our previously leased corporate headquarters facility for $6.4 million.</w:t>
      </w:r>
    </w:p>
    <w:p>
      <w:pPr>
        <w:spacing w:after="0" w:line="23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Cash provided by financing activities was $11.8 million for the six months ended September 27, 2020, compared to $18.4 million of cash used in financing activities in the same period of the prior year. Included in financing activities in the first six months of the current year were net debt proceeds of $16.0 million used in part for the acquisition of ADC, compared to net debt repayments of $10 million in the first six months of the prior year. In addition, we repurchased no shares of our common stock in the first six months of the current fiscal year, compared to $3.8 million in the same period in the prior year.</w:t>
      </w:r>
    </w:p>
    <w:p>
      <w:pPr>
        <w:spacing w:after="0" w:line="2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expect our cash balances and funds available under our credit facility, discussed below, along with cash flows generated from operations, will be sufficient to fund the cash requirements of our ongoing operations for the foreseeable future.</w:t>
      </w:r>
    </w:p>
    <w:p>
      <w:pPr>
        <w:spacing w:after="0" w:line="22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Board has authorized the repurchase of up to 800,000 shares of our outstanding common stock. The shares may be 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the first six months of fiscal 2021, we did not repurchase any shares of common stock. In the first six months of the prior fiscal year, we repurchased 91,395 shares of common stock with an aggregate purchase price of $3.8 million. As of September 27, 2020, 358,797 shares remained available for purchase under the program</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party to an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provides us with senior secured revolving credit facilities (the “Revolving Loan Facility”) totaling $150.0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2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Borrowings under the Revolving Loan Facility bear interest at a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 (1) U. S. Bank’s prime rate, (2) the Federal Funds Effective Rate plus 0.5%, or (3) one-month LIBOR for U.S. dollars plus 1.0%. The LIBOR margin is between 0.85% - 1.35%, depending on our leverage ratio. The base rate margin is between 0.00% - 0.35%, depending on our leverage ratio. In the event that the ICE Benchmark Administration (or any person that takes over administration of such rate) determines that LIBOR is no longer available, including as a result of the intended phase out of LIBOR by the end of 2021, our Revolving Loan Facility provides for an alternative rate of interest to be jointly determined by us and U.S. Bank, as administrative agent, that gives due consideration to the then prevailing market convention for determining a rate of interest for syndicated loans in the United States. Once such successor rate has been approved by us and U.S. Bank, the Revolving Credit Loan Facility would be amended to use such successor rate without any further action or consent of any other lender, so long as the administrative agent does not receive any objection from any other lender. At September 27, 2020, the effective interest rate on our borrowings was 1.3%.</w:t>
      </w:r>
    </w:p>
    <w:p>
      <w:pPr>
        <w:spacing w:after="0" w:line="23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- 0.25%, depending on our leverage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2020, the unamortized balance of these costs was $0.3 million, and is reflected as a reduction of debt on our balance sheet.</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9" w:name="page20"/>
    <w:bookmarkEnd w:id="19"/>
    <w:p>
      <w:pPr>
        <w:ind w:right="180"/>
        <w:spacing w:after="0" w:line="252"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September 27, 2020.</w:t>
      </w:r>
    </w:p>
    <w:p>
      <w:pPr>
        <w:spacing w:after="0" w:line="23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Revolving Loan Facility.</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93" w:lineRule="exact"/>
        <w:rPr>
          <w:sz w:val="20"/>
          <w:szCs w:val="20"/>
          <w:color w:val="auto"/>
        </w:rPr>
      </w:pPr>
    </w:p>
    <w:p>
      <w:pPr>
        <w:ind w:right="380"/>
        <w:spacing w:after="0" w:line="261" w:lineRule="auto"/>
        <w:rPr>
          <w:rFonts w:ascii="Arial" w:cs="Arial" w:eastAsia="Arial" w:hAnsi="Arial"/>
          <w:sz w:val="18"/>
          <w:szCs w:val="18"/>
          <w:color w:val="0000FF"/>
        </w:rPr>
      </w:pPr>
      <w:hyperlink r:id="rId28">
        <w:r>
          <w:rPr>
            <w:rFonts w:ascii="Arial" w:cs="Arial" w:eastAsia="Arial" w:hAnsi="Arial"/>
            <w:sz w:val="18"/>
            <w:szCs w:val="18"/>
            <w:color w:val="auto"/>
          </w:rPr>
          <w:t xml:space="preserve">There were no material changes in our critical accounting estimates since the filing of our </w:t>
        </w:r>
        <w:r>
          <w:rPr>
            <w:rFonts w:ascii="Arial" w:cs="Arial" w:eastAsia="Arial" w:hAnsi="Arial"/>
            <w:sz w:val="18"/>
            <w:szCs w:val="18"/>
            <w:u w:val="single" w:color="auto"/>
            <w:color w:val="0000FF"/>
          </w:rPr>
          <w:t>Annual Report on Form 10-K for the fiscal year</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FF"/>
          </w:rPr>
          <w:t>ended March 29, 2020</w:t>
        </w:r>
        <w:r>
          <w:rPr>
            <w:rFonts w:ascii="Arial" w:cs="Arial" w:eastAsia="Arial" w:hAnsi="Arial"/>
            <w:sz w:val="18"/>
            <w:szCs w:val="18"/>
            <w:color w:val="000000"/>
          </w:rPr>
          <w:t>.</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93" w:lineRule="exact"/>
        <w:rPr>
          <w:sz w:val="20"/>
          <w:szCs w:val="20"/>
          <w:color w:val="auto"/>
        </w:rPr>
      </w:pPr>
    </w:p>
    <w:p>
      <w:pPr>
        <w:spacing w:after="0" w:line="251" w:lineRule="auto"/>
        <w:rPr>
          <w:rFonts w:ascii="Arial" w:cs="Arial" w:eastAsia="Arial" w:hAnsi="Arial"/>
          <w:sz w:val="18"/>
          <w:szCs w:val="18"/>
          <w:color w:val="0000FF"/>
        </w:rPr>
      </w:pPr>
      <w:r>
        <w:rPr>
          <w:rFonts w:ascii="Arial" w:cs="Arial" w:eastAsia="Arial" w:hAnsi="Arial"/>
          <w:sz w:val="18"/>
          <w:szCs w:val="18"/>
          <w:color w:val="auto"/>
        </w:rPr>
        <w:t xml:space="preserve">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“believe,” “estimate,”, “expect,” “intend,” “plan,”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w:t>
      </w:r>
      <w:hyperlink r:id="rId28">
        <w:r>
          <w:rPr>
            <w:rFonts w:ascii="Arial" w:cs="Arial" w:eastAsia="Arial" w:hAnsi="Arial"/>
            <w:sz w:val="18"/>
            <w:szCs w:val="18"/>
            <w:color w:val="auto"/>
          </w:rPr>
          <w:t xml:space="preserve">information concerning potential factors that could affect future financial results is included in our </w:t>
        </w:r>
        <w:r>
          <w:rPr>
            <w:rFonts w:ascii="Arial" w:cs="Arial" w:eastAsia="Arial" w:hAnsi="Arial"/>
            <w:sz w:val="18"/>
            <w:szCs w:val="18"/>
            <w:u w:val="single" w:color="auto"/>
            <w:color w:val="0000FF"/>
          </w:rPr>
          <w:t>Annual Report on Form 10-K for the fiscal</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FF"/>
          </w:rPr>
          <w:t>year ended March 29, 2020</w:t>
        </w:r>
        <w:r>
          <w:rPr>
            <w:rFonts w:ascii="Arial" w:cs="Arial" w:eastAsia="Arial" w:hAnsi="Arial"/>
            <w:sz w:val="18"/>
            <w:szCs w:val="18"/>
            <w:color w:val="000000"/>
          </w:rPr>
          <w:t>. We caution you not to place undue reliance on these forward-looking statements, which reflect our</w:t>
        </w:r>
      </w:hyperlink>
      <w:r>
        <w:rPr>
          <w:rFonts w:ascii="Arial" w:cs="Arial" w:eastAsia="Arial" w:hAnsi="Arial"/>
          <w:sz w:val="18"/>
          <w:szCs w:val="18"/>
          <w:color w:val="0000FF"/>
        </w:rPr>
        <w:t xml:space="preserve"> </w:t>
      </w:r>
      <w:r>
        <w:rPr>
          <w:rFonts w:ascii="Arial" w:cs="Arial" w:eastAsia="Arial" w:hAnsi="Arial"/>
          <w:sz w:val="18"/>
          <w:szCs w:val="18"/>
          <w:color w:val="000000"/>
        </w:rPr>
        <w:t>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0" w:name="page21"/>
    <w:bookmarkEnd w:id="20"/>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to our customers. However, there are no assurances that we will be able to pass on the increases in the future.</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Revolving Loan Facility. A 25-basis point change in interest rates would potentially increase or decrease our annual interest expense by approximately $0.1 million. We have in place an interest rate swap that converts a portion of our variable-rate debt into a fixed-rate obligation. The swap agreement began September 1, 2017 and will end on December 23, 2020. The notional amount of the swap agreement is currently $20 million through its end date. We have designated this swap as a cash flow hedge and have determined that it qualifies for hedge accounting treatment. Changes in fair value of the cash flow hedge are recorded in other comprehensive loss (net of tax) until income or loss from the cash flows of the hedged item is realized.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Other types of market risk, such as foreign currency risk, do not arise in the normal course of our business activities.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were effective as of September 27, 2020.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2021 that has materially affected, or is reasonably likely to materially affect, our internal control over financial reporting.</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7"/>
          <w:szCs w:val="17"/>
          <w:color w:val="auto"/>
        </w:rPr>
        <w:t>LEGAL PROCEEDINGS</w:t>
      </w:r>
    </w:p>
    <w:p>
      <w:pPr>
        <w:spacing w:after="0" w:line="17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color w:val="auto"/>
        </w:rPr>
        <w:t>RISK FACTORS</w:t>
      </w:r>
    </w:p>
    <w:p>
      <w:pPr>
        <w:spacing w:after="0" w:line="171" w:lineRule="exact"/>
        <w:rPr>
          <w:sz w:val="20"/>
          <w:szCs w:val="20"/>
          <w:color w:val="auto"/>
        </w:rPr>
      </w:pPr>
    </w:p>
    <w:p>
      <w:pPr>
        <w:ind w:right="260"/>
        <w:spacing w:after="0" w:line="261" w:lineRule="auto"/>
        <w:rPr>
          <w:rFonts w:ascii="Arial" w:cs="Arial" w:eastAsia="Arial" w:hAnsi="Arial"/>
          <w:sz w:val="18"/>
          <w:szCs w:val="18"/>
          <w:color w:val="0000FF"/>
        </w:rPr>
      </w:pPr>
      <w:hyperlink r:id="rId28">
        <w:r>
          <w:rPr>
            <w:rFonts w:ascii="Arial" w:cs="Arial" w:eastAsia="Arial" w:hAnsi="Arial"/>
            <w:sz w:val="18"/>
            <w:szCs w:val="18"/>
            <w:color w:val="auto"/>
          </w:rPr>
          <w:t xml:space="preserve">There have been no material changes to our risk factors from those disclosed in our </w:t>
        </w:r>
        <w:r>
          <w:rPr>
            <w:rFonts w:ascii="Arial" w:cs="Arial" w:eastAsia="Arial" w:hAnsi="Arial"/>
            <w:sz w:val="18"/>
            <w:szCs w:val="18"/>
            <w:u w:val="single" w:color="auto"/>
            <w:color w:val="0000FF"/>
          </w:rPr>
          <w:t>Annual Report on Form 10-K for the fiscal year ended</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FF"/>
          </w:rPr>
          <w:t>March 29, 2020</w:t>
        </w:r>
        <w:r>
          <w:rPr>
            <w:rFonts w:ascii="Arial" w:cs="Arial" w:eastAsia="Arial" w:hAnsi="Arial"/>
            <w:sz w:val="18"/>
            <w:szCs w:val="18"/>
            <w:color w:val="000000"/>
          </w:rPr>
          <w:t>.</w:t>
        </w:r>
      </w:hyperlink>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UNREGISTERED SALES OF EQUITY SECURITIES AND USE OF PROCEEDS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previously announced, our Board has authorized the repurchase of up to 800,000 shares of our outstanding common stock. The shares may be purchased on the open market or in privately negotiated transactions subject to applicable securities laws and regulations. The following table sets forth information concerning purchases of our common stock for the three months ended September 27, 2020:</w:t>
      </w:r>
    </w:p>
    <w:p>
      <w:pPr>
        <w:spacing w:after="0" w:line="265"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Maximum Number of</w:t>
            </w:r>
          </w:p>
        </w:tc>
      </w:tr>
      <w:tr>
        <w:trPr>
          <w:trHeight w:val="189"/>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 a</w:t>
            </w: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Shares that May Yet be</w:t>
            </w:r>
          </w:p>
        </w:tc>
      </w:tr>
      <w:tr>
        <w:trPr>
          <w:trHeight w:val="189"/>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ind w:left="140"/>
              <w:spacing w:after="0"/>
              <w:rPr>
                <w:sz w:val="20"/>
                <w:szCs w:val="20"/>
                <w:color w:val="auto"/>
              </w:rPr>
            </w:pPr>
            <w:r>
              <w:rPr>
                <w:rFonts w:ascii="Arial" w:cs="Arial" w:eastAsia="Arial" w:hAnsi="Arial"/>
                <w:sz w:val="16"/>
                <w:szCs w:val="16"/>
                <w:b w:val="1"/>
                <w:bCs w:val="1"/>
                <w:color w:val="auto"/>
              </w:rPr>
              <w:t>Total Number of</w:t>
            </w:r>
          </w:p>
        </w:tc>
        <w:tc>
          <w:tcPr>
            <w:tcW w:w="380" w:type="dxa"/>
            <w:vAlign w:val="bottom"/>
          </w:tcPr>
          <w:p>
            <w:pPr>
              <w:spacing w:after="0"/>
              <w:rPr>
                <w:sz w:val="16"/>
                <w:szCs w:val="16"/>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Average Price Paid</w:t>
            </w: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10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Purchased under Plans or</w:t>
            </w:r>
          </w:p>
        </w:tc>
      </w:tr>
      <w:tr>
        <w:trPr>
          <w:trHeight w:val="228"/>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Shares Purchased</w:t>
            </w:r>
          </w:p>
        </w:tc>
        <w:tc>
          <w:tcPr>
            <w:tcW w:w="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6"/>
                <w:szCs w:val="16"/>
                <w:b w:val="1"/>
                <w:bCs w:val="1"/>
                <w:color w:val="auto"/>
              </w:rPr>
              <w:t>Per Share</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 or Program</w:t>
            </w:r>
          </w:p>
        </w:tc>
        <w:tc>
          <w:tcPr>
            <w:tcW w:w="10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r>
      <w:tr>
        <w:trPr>
          <w:trHeight w:val="257"/>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06/29/2020-07/26/2020</w:t>
            </w:r>
          </w:p>
        </w:tc>
        <w:tc>
          <w:tcPr>
            <w:tcW w:w="100" w:type="dxa"/>
            <w:vAlign w:val="bottom"/>
            <w:shd w:val="clear" w:color="auto" w:fill="CCEEFF"/>
          </w:tcPr>
          <w:p>
            <w:pPr>
              <w:spacing w:after="0"/>
              <w:rPr>
                <w:sz w:val="22"/>
                <w:szCs w:val="22"/>
                <w:color w:val="auto"/>
              </w:rPr>
            </w:pPr>
          </w:p>
        </w:tc>
        <w:tc>
          <w:tcPr>
            <w:tcW w:w="152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358,797</w:t>
            </w:r>
          </w:p>
        </w:tc>
      </w:tr>
      <w:tr>
        <w:trPr>
          <w:trHeight w:val="250"/>
        </w:trPr>
        <w:tc>
          <w:tcPr>
            <w:tcW w:w="2440" w:type="dxa"/>
            <w:vAlign w:val="bottom"/>
          </w:tcPr>
          <w:p>
            <w:pPr>
              <w:ind w:left="20"/>
              <w:spacing w:after="0"/>
              <w:rPr>
                <w:sz w:val="20"/>
                <w:szCs w:val="20"/>
                <w:color w:val="auto"/>
              </w:rPr>
            </w:pPr>
            <w:r>
              <w:rPr>
                <w:rFonts w:ascii="Arial" w:cs="Arial" w:eastAsia="Arial" w:hAnsi="Arial"/>
                <w:sz w:val="18"/>
                <w:szCs w:val="18"/>
                <w:color w:val="auto"/>
              </w:rPr>
              <w:t>07/27/2020-08/23/2020</w:t>
            </w:r>
          </w:p>
        </w:tc>
        <w:tc>
          <w:tcPr>
            <w:tcW w:w="100" w:type="dxa"/>
            <w:vAlign w:val="bottom"/>
          </w:tcPr>
          <w:p>
            <w:pPr>
              <w:spacing w:after="0"/>
              <w:rPr>
                <w:sz w:val="21"/>
                <w:szCs w:val="21"/>
                <w:color w:val="auto"/>
              </w:rPr>
            </w:pPr>
          </w:p>
        </w:tc>
        <w:tc>
          <w:tcPr>
            <w:tcW w:w="1520" w:type="dxa"/>
            <w:vAlign w:val="bottom"/>
          </w:tcPr>
          <w:p>
            <w:pPr>
              <w:ind w:left="1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960" w:type="dxa"/>
            <w:vAlign w:val="bottom"/>
          </w:tcPr>
          <w:p>
            <w:pPr>
              <w:ind w:left="1680"/>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19"/>
              <w:spacing w:after="0"/>
              <w:rPr>
                <w:sz w:val="20"/>
                <w:szCs w:val="20"/>
                <w:color w:val="auto"/>
              </w:rPr>
            </w:pPr>
            <w:r>
              <w:rPr>
                <w:rFonts w:ascii="Arial" w:cs="Arial" w:eastAsia="Arial" w:hAnsi="Arial"/>
                <w:sz w:val="18"/>
                <w:szCs w:val="18"/>
                <w:color w:val="auto"/>
              </w:rPr>
              <w:t>358,797</w:t>
            </w:r>
          </w:p>
        </w:tc>
      </w:tr>
      <w:tr>
        <w:trPr>
          <w:trHeight w:val="257"/>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08/24/2020-09/27/2020</w:t>
            </w:r>
          </w:p>
        </w:tc>
        <w:tc>
          <w:tcPr>
            <w:tcW w:w="100" w:type="dxa"/>
            <w:vAlign w:val="bottom"/>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358,797</w:t>
            </w:r>
          </w:p>
        </w:tc>
      </w:tr>
      <w:tr>
        <w:trPr>
          <w:trHeight w:val="243"/>
        </w:trPr>
        <w:tc>
          <w:tcPr>
            <w:tcW w:w="254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520" w:type="dxa"/>
            <w:vAlign w:val="bottom"/>
          </w:tcPr>
          <w:p>
            <w:pPr>
              <w:ind w:left="1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ind w:left="1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color w:val="auto"/>
        </w:rPr>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2" w:name="page23"/>
    <w:bookmarkEnd w:id="22"/>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color w:val="auto"/>
        </w:rPr>
        <w:t>EXHIBITS</w:t>
      </w:r>
    </w:p>
    <w:p>
      <w:pPr>
        <w:spacing w:after="0" w:line="312"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4"/>
          <w:szCs w:val="14"/>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36" w:lineRule="exact"/>
        <w:rPr>
          <w:sz w:val="20"/>
          <w:szCs w:val="20"/>
          <w:color w:val="auto"/>
        </w:rPr>
      </w:pPr>
    </w:p>
    <w:p>
      <w:pPr>
        <w:ind w:left="400"/>
        <w:spacing w:after="0"/>
        <w:tabs>
          <w:tab w:leader="none" w:pos="84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56">
        <w:r>
          <w:rPr>
            <w:rFonts w:ascii="Arial" w:cs="Arial" w:eastAsia="Arial" w:hAnsi="Arial"/>
            <w:sz w:val="18"/>
            <w:szCs w:val="18"/>
            <w:u w:val="single" w:color="auto"/>
            <w:color w:val="0000FF"/>
          </w:rPr>
          <w:t xml:space="preserve">Amended and Restated Articles of Incorporation. </w:t>
        </w:r>
      </w:hyperlink>
      <w:r>
        <w:rPr>
          <w:rFonts w:ascii="Arial" w:cs="Arial" w:eastAsia="Arial" w:hAnsi="Arial"/>
          <w:sz w:val="18"/>
          <w:szCs w:val="18"/>
          <w:color w:val="000000"/>
        </w:rPr>
        <w:t>(1)</w:t>
      </w:r>
    </w:p>
    <w:p>
      <w:pPr>
        <w:spacing w:after="0" w:line="50" w:lineRule="exact"/>
        <w:rPr>
          <w:sz w:val="20"/>
          <w:szCs w:val="20"/>
          <w:color w:val="auto"/>
        </w:rPr>
      </w:pPr>
    </w:p>
    <w:p>
      <w:pPr>
        <w:ind w:left="400"/>
        <w:spacing w:after="0"/>
        <w:tabs>
          <w:tab w:leader="none" w:pos="84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57">
        <w:r>
          <w:rPr>
            <w:rFonts w:ascii="Arial" w:cs="Arial" w:eastAsia="Arial" w:hAnsi="Arial"/>
            <w:sz w:val="18"/>
            <w:szCs w:val="18"/>
            <w:u w:val="single" w:color="auto"/>
            <w:color w:val="0000FF"/>
          </w:rPr>
          <w:t xml:space="preserve">Amended and Restated By-Laws. </w:t>
        </w:r>
      </w:hyperlink>
      <w:r>
        <w:rPr>
          <w:rFonts w:ascii="Arial" w:cs="Arial" w:eastAsia="Arial" w:hAnsi="Arial"/>
          <w:sz w:val="18"/>
          <w:szCs w:val="18"/>
          <w:color w:val="000000"/>
        </w:rPr>
        <w:t>(2)</w:t>
      </w:r>
    </w:p>
    <w:p>
      <w:pPr>
        <w:spacing w:after="0" w:line="50" w:lineRule="exact"/>
        <w:rPr>
          <w:sz w:val="20"/>
          <w:szCs w:val="20"/>
          <w:color w:val="auto"/>
        </w:rPr>
      </w:pPr>
    </w:p>
    <w:p>
      <w:pPr>
        <w:ind w:left="200"/>
        <w:spacing w:after="0"/>
        <w:tabs>
          <w:tab w:leader="none" w:pos="84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w:anchor="page25">
        <w:r>
          <w:rPr>
            <w:rFonts w:ascii="Arial" w:cs="Arial" w:eastAsia="Arial" w:hAnsi="Arial"/>
            <w:sz w:val="18"/>
            <w:szCs w:val="18"/>
            <w:u w:val="single" w:color="auto"/>
            <w:color w:val="0000FF"/>
          </w:rPr>
          <w:t>Form of Restricted Stock Agreement under the Company’s 2019 Equity Incentive Plan</w:t>
        </w:r>
      </w:hyperlink>
    </w:p>
    <w:p>
      <w:pPr>
        <w:spacing w:after="0" w:line="50" w:lineRule="exact"/>
        <w:rPr>
          <w:sz w:val="20"/>
          <w:szCs w:val="20"/>
          <w:color w:val="auto"/>
        </w:rPr>
      </w:pPr>
    </w:p>
    <w:p>
      <w:pPr>
        <w:ind w:left="300"/>
        <w:spacing w:after="0"/>
        <w:tabs>
          <w:tab w:leader="none" w:pos="84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28">
        <w:r>
          <w:rPr>
            <w:rFonts w:ascii="Arial" w:cs="Arial" w:eastAsia="Arial" w:hAnsi="Arial"/>
            <w:sz w:val="17"/>
            <w:szCs w:val="17"/>
            <w:u w:val="single" w:color="auto"/>
            <w:color w:val="0000FF"/>
          </w:rPr>
          <w:t>Certification by Chief Executive Officer pursuant to Rule 13a-14(a) of the Exchange Act.</w:t>
        </w:r>
      </w:hyperlink>
    </w:p>
    <w:p>
      <w:pPr>
        <w:spacing w:after="0" w:line="50" w:lineRule="exact"/>
        <w:rPr>
          <w:sz w:val="20"/>
          <w:szCs w:val="20"/>
          <w:color w:val="auto"/>
        </w:rPr>
      </w:pPr>
    </w:p>
    <w:p>
      <w:pPr>
        <w:ind w:left="300"/>
        <w:spacing w:after="0"/>
        <w:tabs>
          <w:tab w:leader="none" w:pos="84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29">
        <w:r>
          <w:rPr>
            <w:rFonts w:ascii="Arial" w:cs="Arial" w:eastAsia="Arial" w:hAnsi="Arial"/>
            <w:sz w:val="17"/>
            <w:szCs w:val="17"/>
            <w:u w:val="single" w:color="auto"/>
            <w:color w:val="0000FF"/>
          </w:rPr>
          <w:t>Certification by Chief Financial Officer pursuant to Rule 13a-14(a) of the Exchange Act.</w:t>
        </w:r>
      </w:hyperlink>
    </w:p>
    <w:p>
      <w:pPr>
        <w:spacing w:after="0" w:line="50" w:lineRule="exact"/>
        <w:rPr>
          <w:sz w:val="20"/>
          <w:szCs w:val="20"/>
          <w:color w:val="auto"/>
        </w:rPr>
      </w:pPr>
    </w:p>
    <w:p>
      <w:pPr>
        <w:ind w:left="300"/>
        <w:spacing w:after="0"/>
        <w:tabs>
          <w:tab w:leader="none" w:pos="840" w:val="left"/>
        </w:tabs>
        <w:rPr>
          <w:rFonts w:ascii="Arial" w:cs="Arial" w:eastAsia="Arial" w:hAnsi="Arial"/>
          <w:sz w:val="17"/>
          <w:szCs w:val="17"/>
          <w:u w:val="single" w:color="auto"/>
          <w:color w:val="0000FF"/>
        </w:rPr>
      </w:pPr>
      <w:r>
        <w:rPr>
          <w:rFonts w:ascii="Arial" w:cs="Arial" w:eastAsia="Arial" w:hAnsi="Arial"/>
          <w:sz w:val="18"/>
          <w:szCs w:val="18"/>
          <w:color w:val="auto"/>
        </w:rPr>
        <w:t>32.1</w:t>
      </w:r>
      <w:r>
        <w:rPr>
          <w:sz w:val="20"/>
          <w:szCs w:val="20"/>
          <w:color w:val="auto"/>
        </w:rPr>
        <w:tab/>
      </w:r>
      <w:hyperlink w:anchor="page30">
        <w:r>
          <w:rPr>
            <w:rFonts w:ascii="Arial" w:cs="Arial" w:eastAsia="Arial" w:hAnsi="Arial"/>
            <w:sz w:val="17"/>
            <w:szCs w:val="17"/>
            <w:u w:val="single" w:color="auto"/>
            <w:color w:val="0000FF"/>
          </w:rPr>
          <w:t>Section 1350 Certification by Chief Executive Officer.</w:t>
        </w:r>
      </w:hyperlink>
    </w:p>
    <w:p>
      <w:pPr>
        <w:spacing w:after="0" w:line="50" w:lineRule="exact"/>
        <w:rPr>
          <w:sz w:val="20"/>
          <w:szCs w:val="20"/>
          <w:color w:val="auto"/>
        </w:rPr>
      </w:pPr>
    </w:p>
    <w:p>
      <w:pPr>
        <w:ind w:left="300"/>
        <w:spacing w:after="0"/>
        <w:tabs>
          <w:tab w:leader="none" w:pos="840" w:val="left"/>
        </w:tabs>
        <w:rPr>
          <w:rFonts w:ascii="Arial" w:cs="Arial" w:eastAsia="Arial" w:hAnsi="Arial"/>
          <w:sz w:val="17"/>
          <w:szCs w:val="17"/>
          <w:u w:val="single" w:color="auto"/>
          <w:color w:val="0000FF"/>
        </w:rPr>
      </w:pPr>
      <w:r>
        <w:rPr>
          <w:rFonts w:ascii="Arial" w:cs="Arial" w:eastAsia="Arial" w:hAnsi="Arial"/>
          <w:sz w:val="18"/>
          <w:szCs w:val="18"/>
          <w:color w:val="auto"/>
        </w:rPr>
        <w:t>32.2</w:t>
      </w:r>
      <w:r>
        <w:rPr>
          <w:sz w:val="20"/>
          <w:szCs w:val="20"/>
          <w:color w:val="auto"/>
        </w:rPr>
        <w:tab/>
      </w:r>
      <w:hyperlink w:anchor="page31">
        <w:r>
          <w:rPr>
            <w:rFonts w:ascii="Arial" w:cs="Arial" w:eastAsia="Arial" w:hAnsi="Arial"/>
            <w:sz w:val="17"/>
            <w:szCs w:val="17"/>
            <w:u w:val="single" w:color="auto"/>
            <w:color w:val="0000FF"/>
          </w:rPr>
          <w:t>Section 1350 Certification by Chief Financial Officer.</w:t>
        </w:r>
      </w:hyperlink>
    </w:p>
    <w:p>
      <w:pPr>
        <w:spacing w:after="0" w:line="63" w:lineRule="exact"/>
        <w:rPr>
          <w:sz w:val="20"/>
          <w:szCs w:val="20"/>
          <w:color w:val="auto"/>
        </w:rPr>
      </w:pPr>
    </w:p>
    <w:p>
      <w:pPr>
        <w:ind w:left="860" w:hanging="514"/>
        <w:spacing w:after="0" w:line="236"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statements from the Quarterly Report on Form 10-Q of Hawkins, Inc. for the period ended September 27, 2020 filed with the SEC on October 21, 2020 formatted in Inline Extensible Business Reporting Language (iXBRL); (i) the Condensed Consolidated Balance Sheets at September 27, 2020 and March 29, 2020, (ii) the Condensed Consolidated Statements of Income for the three and six months ended September 27, 2020 and September 29, 2019, (iii) the Condensed Consolidated Statements of Comprehensive Income for the three and six months ended September 27, 2020 and September 29, 2019, (iv) the Condensed Consolidated Statements of Shareholder's Equity for the three and six months ended September 27, 2020 and September 29, 2019, (v) the Condensed Consolidated Statements of Cash Flows for the six months ended September 27, 2020 and September 29, 2019, and (vi) Notes to Condensed Consolidated Financial Statements.</w:t>
      </w:r>
    </w:p>
    <w:p>
      <w:pPr>
        <w:spacing w:after="0" w:line="43" w:lineRule="exact"/>
        <w:rPr>
          <w:sz w:val="20"/>
          <w:szCs w:val="20"/>
          <w:color w:val="auto"/>
        </w:rPr>
      </w:pPr>
    </w:p>
    <w:p>
      <w:pPr>
        <w:ind w:left="340"/>
        <w:spacing w:after="0"/>
        <w:tabs>
          <w:tab w:leader="none" w:pos="84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right="200"/>
        <w:spacing w:after="0"/>
        <w:rPr>
          <w:sz w:val="20"/>
          <w:szCs w:val="20"/>
          <w:color w:val="auto"/>
        </w:rPr>
      </w:pPr>
      <w:r>
        <w:rPr>
          <w:rFonts w:ascii="Arial" w:cs="Arial" w:eastAsia="Arial" w:hAnsi="Arial"/>
          <w:sz w:val="14"/>
          <w:szCs w:val="14"/>
          <w:u w:val="single" w:color="auto"/>
          <w:color w:val="auto"/>
        </w:rPr>
        <w:t>Method of Filing</w:t>
      </w:r>
    </w:p>
    <w:p>
      <w:pPr>
        <w:spacing w:after="0" w:line="49" w:lineRule="exact"/>
        <w:rPr>
          <w:sz w:val="20"/>
          <w:szCs w:val="20"/>
          <w:color w:val="auto"/>
        </w:rPr>
      </w:pPr>
    </w:p>
    <w:p>
      <w:pPr>
        <w:jc w:val="center"/>
        <w:ind w:right="200"/>
        <w:spacing w:after="0" w:line="314" w:lineRule="auto"/>
        <w:rPr>
          <w:sz w:val="20"/>
          <w:szCs w:val="20"/>
          <w:color w:val="auto"/>
        </w:rPr>
      </w:pPr>
      <w:r>
        <w:rPr>
          <w:rFonts w:ascii="Arial" w:cs="Arial" w:eastAsia="Arial" w:hAnsi="Arial"/>
          <w:sz w:val="17"/>
          <w:szCs w:val="17"/>
          <w:color w:val="auto"/>
        </w:rPr>
        <w:t>Incorporated by Reference Incorporated by Reference Filed Electronically Filed Electronically</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Filed Electronically</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Filed Electronically</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Filed Electronically</w:t>
      </w:r>
    </w:p>
    <w:p>
      <w:pPr>
        <w:spacing w:after="0" w:line="5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Filed Electronically</w:t>
      </w:r>
    </w:p>
    <w:p>
      <w:pPr>
        <w:spacing w:after="0" w:line="200" w:lineRule="exact"/>
        <w:rPr>
          <w:sz w:val="20"/>
          <w:szCs w:val="20"/>
          <w:color w:val="auto"/>
        </w:rPr>
      </w:pPr>
    </w:p>
    <w:p>
      <w:pPr>
        <w:sectPr>
          <w:pgSz w:w="11900" w:h="16838" w:orient="portrait"/>
          <w:cols w:equalWidth="0" w:num="2">
            <w:col w:w="8620" w:space="300"/>
            <w:col w:w="2320"/>
          </w:cols>
          <w:pgMar w:left="320" w:top="908"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580" w:right="220" w:hanging="329"/>
        <w:spacing w:after="0" w:line="250" w:lineRule="auto"/>
        <w:tabs>
          <w:tab w:leader="none" w:pos="597"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Quarterly Report on Form 10-Q for the period ended June 30, 2010, filed on July 29, 2010 (File no. 000-07647).</w:t>
      </w:r>
    </w:p>
    <w:p>
      <w:pPr>
        <w:ind w:left="580" w:hanging="329"/>
        <w:spacing w:after="0" w:line="261" w:lineRule="auto"/>
        <w:tabs>
          <w:tab w:leader="none" w:pos="597"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dated October 28, 2009 and filed November 3, 2009 (File no. 000-07647).</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3" w:name="page24"/>
    <w:bookmarkEnd w:id="2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HAWKINS, INC.</w:t>
      </w:r>
    </w:p>
    <w:p>
      <w:pPr>
        <w:spacing w:after="0" w:line="104" w:lineRule="exact"/>
        <w:rPr>
          <w:sz w:val="20"/>
          <w:szCs w:val="20"/>
          <w:color w:val="auto"/>
        </w:rPr>
      </w:pPr>
    </w:p>
    <w:p>
      <w:pPr>
        <w:ind w:left="516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2658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4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Jeffrey P. Oldenkamp</w:t>
      </w:r>
    </w:p>
    <w:p>
      <w:pPr>
        <w:spacing w:after="0" w:line="5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Vice President, Chief Financial Officer, and Treasurer</w:t>
      </w:r>
    </w:p>
    <w:p>
      <w:pPr>
        <w:spacing w:after="0" w:line="4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(On behalf of the registrant and as principal financial and</w:t>
      </w:r>
    </w:p>
    <w:p>
      <w:pPr>
        <w:ind w:left="7820"/>
        <w:spacing w:after="0"/>
        <w:rPr>
          <w:sz w:val="20"/>
          <w:szCs w:val="20"/>
          <w:color w:val="auto"/>
        </w:rPr>
      </w:pPr>
      <w:r>
        <w:rPr>
          <w:rFonts w:ascii="Arial" w:cs="Arial" w:eastAsia="Arial" w:hAnsi="Arial"/>
          <w:sz w:val="18"/>
          <w:szCs w:val="18"/>
          <w:color w:val="auto"/>
        </w:rPr>
        <w:t>accounting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21, 2020</w:t>
      </w:r>
    </w:p>
    <w:p>
      <w:pPr>
        <w:sectPr>
          <w:pgSz w:w="11900" w:h="16838" w:orient="portrait"/>
          <w:cols w:equalWidth="0" w:num="1">
            <w:col w:w="11120"/>
          </w:cols>
          <w:pgMar w:left="320" w:top="886" w:right="4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Agreement</w:t>
      </w:r>
    </w:p>
    <w:p>
      <w:pPr>
        <w:spacing w:after="0" w:line="1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Hawkins, Inc.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2019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an award of Restricted Stock to you, the Director named below. The terms and conditions of this Award are set forth in this Restricted Stock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consisting of this cover page, the Terms and Conditions on the following pages, and in the Plan,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6660515" cy="685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660515" cy="685800"/>
                    </a:xfrm>
                    <a:prstGeom prst="rect">
                      <a:avLst/>
                    </a:prstGeom>
                    <a:noFill/>
                  </pic:spPr>
                </pic:pic>
              </a:graphicData>
            </a:graphic>
          </wp:anchor>
        </w:drawing>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Director:</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60" w:type="dxa"/>
            <w:vAlign w:val="bottom"/>
            <w:tcBorders>
              <w:top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Number of Shares Covered:</w:t>
            </w:r>
          </w:p>
        </w:tc>
        <w:tc>
          <w:tcPr>
            <w:tcW w:w="524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8"/>
                <w:szCs w:val="18"/>
                <w:color w:val="auto"/>
              </w:rPr>
              <w:t>Date of Issuance (Grant Date):</w:t>
            </w:r>
          </w:p>
        </w:tc>
      </w:tr>
      <w:tr>
        <w:trPr>
          <w:trHeight w:val="243"/>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Vesting Schedule pursuant to Section 4:</w:t>
            </w:r>
          </w:p>
        </w:tc>
        <w:tc>
          <w:tcPr>
            <w:tcW w:w="106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6"/>
        </w:trPr>
        <w:tc>
          <w:tcPr>
            <w:tcW w:w="20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Vesting Date(s)</w:t>
            </w:r>
          </w:p>
        </w:tc>
        <w:tc>
          <w:tcPr>
            <w:tcW w:w="106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Number of Restricted Shares that Vest</w:t>
            </w:r>
          </w:p>
        </w:tc>
      </w:tr>
      <w:tr>
        <w:trPr>
          <w:trHeight w:val="20"/>
        </w:trPr>
        <w:tc>
          <w:tcPr>
            <w:tcW w:w="2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By signing below or otherwise evidencing your acceptance of this Agreement in a manner approved by the Company, you agree to all of the terms and conditions contained in this Agreement and in the Plan document. You acknowledge that you have received and reviewed these documents and that they set forth the entire agreement between you and the Company regarding this Award.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 HAWKINS, INC.</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40"/>
          </w:cols>
          <w:pgMar w:left="320" w:top="886" w:right="339" w:bottom="1440" w:gutter="0" w:footer="0" w:header="0"/>
        </w:sectPr>
      </w:pPr>
    </w:p>
    <w:bookmarkStart w:id="25" w:name="page26"/>
    <w:bookmarkEnd w:id="25"/>
    <w:p>
      <w:pPr>
        <w:jc w:val="center"/>
        <w:ind w:right="312"/>
        <w:spacing w:after="0"/>
        <w:rPr>
          <w:sz w:val="20"/>
          <w:szCs w:val="20"/>
          <w:color w:val="auto"/>
        </w:rPr>
      </w:pPr>
      <w:r>
        <w:rPr>
          <w:rFonts w:ascii="Arial" w:cs="Arial" w:eastAsia="Arial" w:hAnsi="Arial"/>
          <w:sz w:val="18"/>
          <w:szCs w:val="18"/>
          <w:b w:val="1"/>
          <w:bCs w:val="1"/>
          <w:color w:val="auto"/>
        </w:rPr>
        <w:t>HAWKINS, INC.</w:t>
      </w:r>
    </w:p>
    <w:p>
      <w:pPr>
        <w:spacing w:after="0" w:line="13"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2019 Equity Incentive Plan</w:t>
      </w:r>
    </w:p>
    <w:p>
      <w:pPr>
        <w:jc w:val="center"/>
        <w:ind w:right="312"/>
        <w:spacing w:after="0"/>
        <w:rPr>
          <w:sz w:val="20"/>
          <w:szCs w:val="20"/>
          <w:color w:val="auto"/>
        </w:rPr>
      </w:pPr>
      <w:r>
        <w:rPr>
          <w:rFonts w:ascii="Arial" w:cs="Arial" w:eastAsia="Arial" w:hAnsi="Arial"/>
          <w:sz w:val="18"/>
          <w:szCs w:val="18"/>
          <w:b w:val="1"/>
          <w:bCs w:val="1"/>
          <w:color w:val="auto"/>
        </w:rPr>
        <w:t>Restricted Stock Agreement</w:t>
      </w:r>
    </w:p>
    <w:p>
      <w:pPr>
        <w:spacing w:after="0" w:line="21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18" w:lineRule="exact"/>
        <w:rPr>
          <w:sz w:val="20"/>
          <w:szCs w:val="20"/>
          <w:color w:val="auto"/>
        </w:rPr>
      </w:pPr>
    </w:p>
    <w:p>
      <w:pPr>
        <w:jc w:val="both"/>
        <w:ind w:left="328" w:hanging="328"/>
        <w:spacing w:after="0" w:line="234" w:lineRule="auto"/>
        <w:tabs>
          <w:tab w:leader="none" w:pos="329"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Shares</w:t>
      </w:r>
      <w:r>
        <w:rPr>
          <w:rFonts w:ascii="Arial" w:cs="Arial" w:eastAsia="Arial" w:hAnsi="Arial"/>
          <w:sz w:val="18"/>
          <w:szCs w:val="18"/>
          <w:color w:val="auto"/>
        </w:rPr>
        <w:t>. The Company hereby grants to you, as of the Grant Date specified on the cover page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subject to the terms and conditions in this Agreement and the Plan, an Award of the number of Restricted Shares specified on the cover page of this Agreement. Unless and until these Restricted Shares vest as provided in Section 4 below, they are subject to the restrictions specified in Section 3 of this Agreement.</w:t>
      </w:r>
    </w:p>
    <w:p>
      <w:pPr>
        <w:spacing w:after="0" w:line="2" w:lineRule="exact"/>
        <w:rPr>
          <w:rFonts w:ascii="Arial" w:cs="Arial" w:eastAsia="Arial" w:hAnsi="Arial"/>
          <w:sz w:val="18"/>
          <w:szCs w:val="18"/>
          <w:color w:val="auto"/>
        </w:rPr>
      </w:pPr>
    </w:p>
    <w:p>
      <w:pPr>
        <w:jc w:val="both"/>
        <w:ind w:left="328" w:hanging="328"/>
        <w:spacing w:after="0" w:line="234" w:lineRule="auto"/>
        <w:tabs>
          <w:tab w:leader="none" w:pos="329"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of Restricted Shares</w:t>
      </w:r>
      <w:r>
        <w:rPr>
          <w:rFonts w:ascii="Arial" w:cs="Arial" w:eastAsia="Arial" w:hAnsi="Arial"/>
          <w:sz w:val="18"/>
          <w:szCs w:val="18"/>
          <w:color w:val="auto"/>
        </w:rPr>
        <w:t>. As soon as practicable after the Grant Date, the Company will cause its transfer agent to either</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a book entry account in your name reflecting the issuance of the Restricted Shares, or issue one or more stock certificates in your name evidencing the Restricted Shares. Any such stock certificate will be deposited with the Company or its designee, and bear an appropriate legend referring to the restricted nature of the Restricted Shares evidenced thereby. Any book-entry that reflects the issuance of such Restricted Shares will be subject to stop transfer instructions as provided in Sections 9(b) and 9(c). Your right to receive this Restricted Stock Award is conditioned upon your execution and delivery to the Company of any instruments of assignment that may be necessary to permit transfer to the Company of all or a portion of the Restricted Shares if such Restricted Shares are forfeited in whole or in part.</w:t>
      </w:r>
    </w:p>
    <w:p>
      <w:pPr>
        <w:spacing w:after="0" w:line="5" w:lineRule="exact"/>
        <w:rPr>
          <w:rFonts w:ascii="Arial" w:cs="Arial" w:eastAsia="Arial" w:hAnsi="Arial"/>
          <w:sz w:val="18"/>
          <w:szCs w:val="18"/>
          <w:color w:val="auto"/>
        </w:rPr>
      </w:pPr>
    </w:p>
    <w:p>
      <w:pPr>
        <w:ind w:left="328" w:hanging="328"/>
        <w:spacing w:after="0" w:line="234"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Restrictions</w:t>
      </w:r>
      <w:r>
        <w:rPr>
          <w:rFonts w:ascii="Arial" w:cs="Arial" w:eastAsia="Arial" w:hAnsi="Arial"/>
          <w:sz w:val="18"/>
          <w:szCs w:val="18"/>
          <w:b w:val="1"/>
          <w:bCs w:val="1"/>
          <w:color w:val="auto"/>
        </w:rPr>
        <w:t>.</w:t>
      </w:r>
    </w:p>
    <w:p>
      <w:pPr>
        <w:ind w:left="968" w:hanging="320"/>
        <w:spacing w:after="0" w:line="234" w:lineRule="auto"/>
        <w:tabs>
          <w:tab w:leader="none" w:pos="983" w:val="left"/>
        </w:tabs>
        <w:numPr>
          <w:ilvl w:val="1"/>
          <w:numId w:val="4"/>
        </w:numPr>
        <w:rPr>
          <w:rFonts w:ascii="Arial" w:cs="Arial" w:eastAsia="Arial" w:hAnsi="Arial"/>
          <w:sz w:val="18"/>
          <w:szCs w:val="18"/>
          <w:color w:val="auto"/>
        </w:rPr>
      </w:pPr>
      <w:r>
        <w:rPr>
          <w:rFonts w:ascii="Arial" w:cs="Arial" w:eastAsia="Arial" w:hAnsi="Arial"/>
          <w:sz w:val="18"/>
          <w:szCs w:val="18"/>
          <w:color w:val="auto"/>
        </w:rPr>
        <w:t>Beginning on the Grant Date, you will have all rights and privileges of a shareholder of the Company with respect to the Restricted Shares except as follows:</w:t>
      </w:r>
    </w:p>
    <w:p>
      <w:pPr>
        <w:spacing w:after="0" w:line="1" w:lineRule="exact"/>
        <w:rPr>
          <w:rFonts w:ascii="Arial" w:cs="Arial" w:eastAsia="Arial" w:hAnsi="Arial"/>
          <w:sz w:val="18"/>
          <w:szCs w:val="18"/>
          <w:color w:val="auto"/>
        </w:rPr>
      </w:pPr>
    </w:p>
    <w:p>
      <w:pPr>
        <w:jc w:val="both"/>
        <w:ind w:left="1628" w:hanging="418"/>
        <w:spacing w:after="0" w:line="234" w:lineRule="auto"/>
        <w:tabs>
          <w:tab w:leader="none" w:pos="1631" w:val="left"/>
        </w:tabs>
        <w:numPr>
          <w:ilvl w:val="2"/>
          <w:numId w:val="4"/>
        </w:numPr>
        <w:rPr>
          <w:rFonts w:ascii="Arial" w:cs="Arial" w:eastAsia="Arial" w:hAnsi="Arial"/>
          <w:sz w:val="18"/>
          <w:szCs w:val="18"/>
          <w:color w:val="auto"/>
        </w:rPr>
      </w:pPr>
      <w:r>
        <w:rPr>
          <w:rFonts w:ascii="Arial" w:cs="Arial" w:eastAsia="Arial" w:hAnsi="Arial"/>
          <w:sz w:val="18"/>
          <w:szCs w:val="18"/>
          <w:color w:val="auto"/>
        </w:rPr>
        <w:t>None of the Restricted Shares may be sold, transferred, assigned, pledged or otherwise encumbered, subjected to a levy or attachment or disposed of before they vest other than a transfer upon your death in accordance with your will or the laws of descent and distribution, pursuant to a domestic relations order, or by gift to your “family member” (as defined in General Instruction A.1(a)(5) to Form S-8 under the Securities Act of 1933).</w:t>
      </w:r>
    </w:p>
    <w:p>
      <w:pPr>
        <w:spacing w:after="0" w:line="2" w:lineRule="exact"/>
        <w:rPr>
          <w:rFonts w:ascii="Arial" w:cs="Arial" w:eastAsia="Arial" w:hAnsi="Arial"/>
          <w:sz w:val="18"/>
          <w:szCs w:val="18"/>
          <w:color w:val="auto"/>
        </w:rPr>
      </w:pPr>
    </w:p>
    <w:p>
      <w:pPr>
        <w:ind w:left="1628" w:hanging="460"/>
        <w:spacing w:after="0" w:line="234" w:lineRule="auto"/>
        <w:tabs>
          <w:tab w:leader="none" w:pos="1628" w:val="left"/>
        </w:tabs>
        <w:numPr>
          <w:ilvl w:val="2"/>
          <w:numId w:val="4"/>
        </w:numPr>
        <w:rPr>
          <w:rFonts w:ascii="Arial" w:cs="Arial" w:eastAsia="Arial" w:hAnsi="Arial"/>
          <w:sz w:val="18"/>
          <w:szCs w:val="18"/>
          <w:color w:val="auto"/>
        </w:rPr>
      </w:pPr>
      <w:r>
        <w:rPr>
          <w:rFonts w:ascii="Arial" w:cs="Arial" w:eastAsia="Arial" w:hAnsi="Arial"/>
          <w:sz w:val="18"/>
          <w:szCs w:val="18"/>
          <w:color w:val="auto"/>
        </w:rPr>
        <w:t>All or a portion of the Restricted Shares may be forfeited under the circumstances specified in Section 6.</w:t>
      </w:r>
    </w:p>
    <w:p>
      <w:pPr>
        <w:ind w:left="968" w:hanging="320"/>
        <w:spacing w:after="0" w:line="234" w:lineRule="auto"/>
        <w:tabs>
          <w:tab w:leader="none" w:pos="969"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attempt to transfer or dispose of any Restricted Shares in a manner contrary to the transfer restrictions shall be void and of no effect.</w:t>
      </w:r>
    </w:p>
    <w:p>
      <w:pPr>
        <w:spacing w:after="0" w:line="1" w:lineRule="exact"/>
        <w:rPr>
          <w:rFonts w:ascii="Arial" w:cs="Arial" w:eastAsia="Arial" w:hAnsi="Arial"/>
          <w:sz w:val="18"/>
          <w:szCs w:val="18"/>
          <w:color w:val="auto"/>
        </w:rPr>
      </w:pPr>
    </w:p>
    <w:p>
      <w:pPr>
        <w:jc w:val="both"/>
        <w:ind w:left="968" w:hanging="320"/>
        <w:spacing w:after="0" w:line="234" w:lineRule="auto"/>
        <w:tabs>
          <w:tab w:leader="none" w:pos="986"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dividends or distributions (other than dividends payable entirely in cash) payable or distributable with respect to or in exchange for outstanding but unvested Restricted Shares, including any shares of Company common stock or other property or securities distributable as the result of any equity restructuring or other change in corporate capitalization described in Section 12(a) of the Plan, shall be delivered to, retained and held by the Company subject to the same restrictions, vesting conditions and other terms of this Agreement to which the underlying unvested Restricted Shares are subject. At the time the underlying Restricted Shares vest, the Company shall deliver to you (without interest) the portion of such retained dividends and distributions that relate to the Restricted Shares that have vested. You agree to execute and deliver to the Company any instruments of assignment that may be necessary to permit transfer to the Company of all or any portion of any dividends or distributions subject to this Section 3(c) that may be forfeited.</w:t>
      </w:r>
    </w:p>
    <w:p>
      <w:pPr>
        <w:spacing w:after="0" w:line="6" w:lineRule="exact"/>
        <w:rPr>
          <w:rFonts w:ascii="Arial" w:cs="Arial" w:eastAsia="Arial" w:hAnsi="Arial"/>
          <w:sz w:val="18"/>
          <w:szCs w:val="18"/>
          <w:color w:val="auto"/>
        </w:rPr>
      </w:pPr>
    </w:p>
    <w:p>
      <w:pPr>
        <w:ind w:left="328" w:hanging="328"/>
        <w:spacing w:after="0" w:line="234"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of Restricted Shares</w:t>
      </w:r>
      <w:r>
        <w:rPr>
          <w:rFonts w:ascii="Arial" w:cs="Arial" w:eastAsia="Arial" w:hAnsi="Arial"/>
          <w:sz w:val="18"/>
          <w:szCs w:val="18"/>
          <w:color w:val="auto"/>
        </w:rPr>
        <w:t>.</w:t>
      </w:r>
    </w:p>
    <w:p>
      <w:pPr>
        <w:jc w:val="both"/>
        <w:ind w:left="968" w:hanging="320"/>
        <w:spacing w:after="0" w:line="234" w:lineRule="auto"/>
        <w:tabs>
          <w:tab w:leader="none" w:pos="983"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Scheduled Vesting</w:t>
      </w:r>
      <w:r>
        <w:rPr>
          <w:rFonts w:ascii="Arial" w:cs="Arial" w:eastAsia="Arial" w:hAnsi="Arial"/>
          <w:sz w:val="18"/>
          <w:szCs w:val="18"/>
          <w:color w:val="auto"/>
        </w:rPr>
        <w:t>. If you remain a Service Provider to the Company (or any Affiliate) continuously from the Grant Date specified on the cover page of this Agreement, then the Restricted Shares will vest in the number(s) and on the date(s) specified in the Vesting Schedule on the cover page of this Agreement.</w:t>
      </w:r>
    </w:p>
    <w:p>
      <w:pPr>
        <w:spacing w:after="0" w:line="2" w:lineRule="exact"/>
        <w:rPr>
          <w:rFonts w:ascii="Arial" w:cs="Arial" w:eastAsia="Arial" w:hAnsi="Arial"/>
          <w:sz w:val="18"/>
          <w:szCs w:val="18"/>
          <w:color w:val="auto"/>
        </w:rPr>
      </w:pPr>
    </w:p>
    <w:p>
      <w:pPr>
        <w:ind w:left="968" w:right="20" w:hanging="320"/>
        <w:spacing w:after="0" w:line="234" w:lineRule="auto"/>
        <w:tabs>
          <w:tab w:leader="none" w:pos="969"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Accelerated Vesting</w:t>
      </w:r>
      <w:r>
        <w:rPr>
          <w:rFonts w:ascii="Arial" w:cs="Arial" w:eastAsia="Arial" w:hAnsi="Arial"/>
          <w:sz w:val="18"/>
          <w:szCs w:val="18"/>
          <w:color w:val="auto"/>
        </w:rPr>
        <w:t>. Notwithstanding Section 4(a), all unvested Restricted Shares will vest immediately upon (i) the occurrence of a Change in Control or (ii) the termination of your Service by reason of your death or Disability.</w:t>
      </w:r>
    </w:p>
    <w:p>
      <w:pPr>
        <w:spacing w:after="0" w:line="1" w:lineRule="exact"/>
        <w:rPr>
          <w:rFonts w:ascii="Arial" w:cs="Arial" w:eastAsia="Arial" w:hAnsi="Arial"/>
          <w:sz w:val="18"/>
          <w:szCs w:val="18"/>
          <w:color w:val="auto"/>
        </w:rPr>
      </w:pPr>
    </w:p>
    <w:p>
      <w:pPr>
        <w:jc w:val="both"/>
        <w:ind w:left="328" w:hanging="328"/>
        <w:spacing w:after="0" w:line="234" w:lineRule="auto"/>
        <w:tabs>
          <w:tab w:leader="none" w:pos="329"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 of Unrestricted Shares</w:t>
      </w:r>
      <w:r>
        <w:rPr>
          <w:rFonts w:ascii="Arial" w:cs="Arial" w:eastAsia="Arial" w:hAnsi="Arial"/>
          <w:sz w:val="18"/>
          <w:szCs w:val="18"/>
          <w:color w:val="auto"/>
        </w:rPr>
        <w:t>. Upon the vesting of Restricted Shares and the corresponding lapse of the transfer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after the Company has determined that all conditions to the release of unrestricted Shares to you, including compliance with all applicable legal requirements, have been satisfied, it shall release to you the unrestricted Shares, as evidenced by issuance to you of a stock certificate without restrictive legend, by electronic delivery of such Shares to a brokerage account designated by you, or by an unrestricted book-entry registration of such Shares with the Company’s transfer agent.</w:t>
      </w:r>
    </w:p>
    <w:p>
      <w:pPr>
        <w:spacing w:after="0" w:line="3" w:lineRule="exact"/>
        <w:rPr>
          <w:rFonts w:ascii="Arial" w:cs="Arial" w:eastAsia="Arial" w:hAnsi="Arial"/>
          <w:sz w:val="18"/>
          <w:szCs w:val="18"/>
          <w:color w:val="auto"/>
        </w:rPr>
      </w:pPr>
    </w:p>
    <w:p>
      <w:pPr>
        <w:jc w:val="both"/>
        <w:ind w:left="328" w:hanging="328"/>
        <w:spacing w:after="0" w:line="234" w:lineRule="auto"/>
        <w:tabs>
          <w:tab w:leader="none" w:pos="329"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Forfeiture of Restricted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4(b), if your Service to the Company or any Affiliate terminates before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Shares have vested, or if you attempt to transfer Restricted Shares in a manner contrary to the transfer restrictions, you will immediately forfeit all unvested Restricted Shares. Any Restricted Shares that are forfeited shall be returned to the Company for cancellation.</w:t>
      </w:r>
    </w:p>
    <w:p>
      <w:pPr>
        <w:spacing w:after="0" w:line="2" w:lineRule="exact"/>
        <w:rPr>
          <w:rFonts w:ascii="Arial" w:cs="Arial" w:eastAsia="Arial" w:hAnsi="Arial"/>
          <w:sz w:val="18"/>
          <w:szCs w:val="18"/>
          <w:color w:val="auto"/>
        </w:rPr>
      </w:pPr>
    </w:p>
    <w:p>
      <w:pPr>
        <w:jc w:val="both"/>
        <w:ind w:left="328" w:hanging="328"/>
        <w:spacing w:after="0"/>
        <w:tabs>
          <w:tab w:leader="none" w:pos="329"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83(b) Election</w:t>
      </w:r>
      <w:r>
        <w:rPr>
          <w:rFonts w:ascii="Arial" w:cs="Arial" w:eastAsia="Arial" w:hAnsi="Arial"/>
          <w:sz w:val="18"/>
          <w:szCs w:val="18"/>
          <w:color w:val="auto"/>
        </w:rPr>
        <w:t>. You may make and file with the Internal Revenue Service an election under Section 83(b) of the Code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grant of the Restricted Shares hereunder, electing to include in your gross income as of the Grant Date the Fair Market Value of the Restricted Shares as of the Grant Date. You shall promptly provide a copy of such</w:t>
      </w:r>
    </w:p>
    <w:p>
      <w:pPr>
        <w:sectPr>
          <w:pgSz w:w="11900" w:h="16838" w:orient="portrait"/>
          <w:cols w:equalWidth="0" w:num="1">
            <w:col w:w="10908"/>
          </w:cols>
          <w:pgMar w:left="652" w:top="886" w:right="339" w:bottom="1440" w:gutter="0" w:footer="0" w:header="0"/>
        </w:sectPr>
      </w:pPr>
    </w:p>
    <w:bookmarkStart w:id="26" w:name="page27"/>
    <w:bookmarkEnd w:id="26"/>
    <w:p>
      <w:pPr>
        <w:ind w:left="660"/>
        <w:spacing w:after="0" w:line="234" w:lineRule="auto"/>
        <w:rPr>
          <w:sz w:val="20"/>
          <w:szCs w:val="20"/>
          <w:color w:val="auto"/>
        </w:rPr>
      </w:pPr>
      <w:r>
        <w:rPr>
          <w:rFonts w:ascii="Arial" w:cs="Arial" w:eastAsia="Arial" w:hAnsi="Arial"/>
          <w:sz w:val="18"/>
          <w:szCs w:val="18"/>
          <w:color w:val="auto"/>
        </w:rPr>
        <w:t>election to the Company. If you make and file such an election, you shall make such arrangements in accordance with Section 8 as are satisfactory to the Committee to provide for the timely payment of all applicable withholding taxes.</w:t>
      </w:r>
    </w:p>
    <w:p>
      <w:pPr>
        <w:spacing w:after="0" w:line="1" w:lineRule="exact"/>
        <w:rPr>
          <w:sz w:val="20"/>
          <w:szCs w:val="20"/>
          <w:color w:val="auto"/>
        </w:rPr>
      </w:pPr>
    </w:p>
    <w:p>
      <w:pPr>
        <w:jc w:val="both"/>
        <w:ind w:left="660" w:hanging="328"/>
        <w:spacing w:after="0" w:line="234" w:lineRule="auto"/>
        <w:tabs>
          <w:tab w:leader="none" w:pos="661"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 xml:space="preserve">. </w:t>
      </w:r>
      <w:r>
        <w:rPr>
          <w:rFonts w:ascii="Arial" w:cs="Arial" w:eastAsia="Arial" w:hAnsi="Arial"/>
          <w:sz w:val="18"/>
          <w:szCs w:val="18"/>
          <w:color w:val="auto"/>
        </w:rPr>
        <w:t>You recognize that the Company or an Affiliate may be obligated to withhold federal and state taxes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taxes upon the vesting of the Restricted Shares, or, in the event that you elect under Code Section 83(b) to report the receipt of the Restricted Shares as income in the year of receipt, upon your receipt of the Restricted Shares. You agree that, at such time, if the Company or an Affiliate is required to withhold such taxes, then the Company may defer the release to you of any and all unrestricted Shares until you have made arrangements acceptable to the Company for payment of all such withholding taxes in accordance with the provisions of Section 14 of the Plan. If you wish to satisfy some or all of such withholding tax obligations by delivering Shares you already own or by having the Company retain a portion of the unrestricted Shares that would otherwise be released to you, you must notify the Company prior to vesting of the Restricted Shares. You further acknowledge that the Company has directed you to seek independent advice regarding the applicable provisions of the Code, the income tax laws of any municipality, state or foreign country in which you may reside.</w:t>
      </w:r>
    </w:p>
    <w:p>
      <w:pPr>
        <w:spacing w:after="0" w:line="6"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b w:val="1"/>
          <w:bCs w:val="1"/>
          <w:color w:val="auto"/>
        </w:rPr>
        <w:t>.</w:t>
      </w:r>
    </w:p>
    <w:p>
      <w:pPr>
        <w:ind w:left="1300" w:hanging="324"/>
        <w:spacing w:after="0" w:line="234"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Legends</w:t>
      </w:r>
      <w:r>
        <w:rPr>
          <w:rFonts w:ascii="Arial" w:cs="Arial" w:eastAsia="Arial" w:hAnsi="Arial"/>
          <w:sz w:val="18"/>
          <w:szCs w:val="18"/>
          <w:color w:val="auto"/>
        </w:rPr>
        <w:t>. Any certificate or certificates representing the Restricted Shares will bear the following legend (as well as any legends required by applicable state and federal corporate and securities laws) noting the existence of the restrictions set forth in this Agreement:</w:t>
      </w:r>
    </w:p>
    <w:p>
      <w:pPr>
        <w:spacing w:after="0" w:line="2" w:lineRule="exact"/>
        <w:rPr>
          <w:sz w:val="20"/>
          <w:szCs w:val="20"/>
          <w:color w:val="auto"/>
        </w:rPr>
      </w:pPr>
    </w:p>
    <w:p>
      <w:pPr>
        <w:jc w:val="both"/>
        <w:ind w:firstLine="972"/>
        <w:spacing w:after="0" w:line="234" w:lineRule="auto"/>
        <w:rPr>
          <w:sz w:val="20"/>
          <w:szCs w:val="20"/>
          <w:color w:val="auto"/>
        </w:rPr>
      </w:pPr>
      <w:r>
        <w:rPr>
          <w:rFonts w:ascii="Arial" w:cs="Arial" w:eastAsia="Arial" w:hAnsi="Arial"/>
          <w:sz w:val="18"/>
          <w:szCs w:val="18"/>
          <w:color w:val="auto"/>
        </w:rPr>
        <w:t>THE SHARES REPRESENTED BY THIS CERTIFICATE MAY BE TRANSFERRED ONLY IN ACCORDANCE WITH THE TERMS OF A RESTRICTED STOCK AGREEMENT BETWEEN THE COMPANY AND THE HOLDER, A COPY OF WHICH IS ON FILE WITH THE SECRETARY OF THE COMPANY.</w:t>
      </w:r>
    </w:p>
    <w:p>
      <w:pPr>
        <w:spacing w:after="0" w:line="2" w:lineRule="exact"/>
        <w:rPr>
          <w:sz w:val="20"/>
          <w:szCs w:val="20"/>
          <w:color w:val="auto"/>
        </w:rPr>
      </w:pPr>
    </w:p>
    <w:p>
      <w:pPr>
        <w:jc w:val="both"/>
        <w:ind w:left="1300" w:hanging="320"/>
        <w:spacing w:after="0" w:line="234" w:lineRule="auto"/>
        <w:tabs>
          <w:tab w:leader="none" w:pos="1315"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You agree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2" w:lineRule="exact"/>
        <w:rPr>
          <w:rFonts w:ascii="Arial" w:cs="Arial" w:eastAsia="Arial" w:hAnsi="Arial"/>
          <w:sz w:val="18"/>
          <w:szCs w:val="18"/>
          <w:color w:val="auto"/>
        </w:rPr>
      </w:pPr>
    </w:p>
    <w:p>
      <w:pPr>
        <w:jc w:val="both"/>
        <w:ind w:left="1300" w:hanging="320"/>
        <w:spacing w:after="0" w:line="234" w:lineRule="auto"/>
        <w:tabs>
          <w:tab w:leader="none" w:pos="1301"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will not be required (i) to transfer on its books any Shares subject to this Agreement that have been sold or otherwise transferred in violation of any of the provisions of this Agreement or (ii) to treat as owner of such Shares or to accord the right to vote or pay dividends to any purchaser or other transferee to whom the such Shares will have been so transferred.</w:t>
      </w:r>
    </w:p>
    <w:p>
      <w:pPr>
        <w:spacing w:after="0" w:line="2" w:lineRule="exact"/>
        <w:rPr>
          <w:rFonts w:ascii="Arial" w:cs="Arial" w:eastAsia="Arial" w:hAnsi="Arial"/>
          <w:sz w:val="18"/>
          <w:szCs w:val="18"/>
          <w:color w:val="auto"/>
        </w:rPr>
      </w:pPr>
    </w:p>
    <w:p>
      <w:pPr>
        <w:jc w:val="both"/>
        <w:ind w:left="660" w:hanging="328"/>
        <w:spacing w:after="0" w:line="23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Plan Document</w:t>
      </w:r>
      <w:r>
        <w:rPr>
          <w:rFonts w:ascii="Arial" w:cs="Arial" w:eastAsia="Arial" w:hAnsi="Arial"/>
          <w:sz w:val="18"/>
          <w:szCs w:val="18"/>
          <w:color w:val="auto"/>
        </w:rPr>
        <w:t>. This Agreement and the Award are subject to all the provisions of the Plan, and to all interpretations,</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which may, from time to time, be adopted and promulgated by the Committee pursuant to the Plan. If there is any conflict between the provisions of this Agreement and the Plan, the provisions of the Plan will govern.</w:t>
      </w:r>
    </w:p>
    <w:p>
      <w:pPr>
        <w:spacing w:after="0" w:line="2" w:lineRule="exact"/>
        <w:rPr>
          <w:rFonts w:ascii="Arial" w:cs="Arial" w:eastAsia="Arial" w:hAnsi="Arial"/>
          <w:sz w:val="18"/>
          <w:szCs w:val="18"/>
          <w:color w:val="auto"/>
        </w:rPr>
      </w:pPr>
    </w:p>
    <w:p>
      <w:pPr>
        <w:jc w:val="both"/>
        <w:ind w:left="660" w:hanging="328"/>
        <w:spacing w:after="0" w:line="23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 to Continued Service</w:t>
      </w:r>
      <w:r>
        <w:rPr>
          <w:rFonts w:ascii="Arial" w:cs="Arial" w:eastAsia="Arial" w:hAnsi="Arial"/>
          <w:sz w:val="18"/>
          <w:szCs w:val="18"/>
          <w:color w:val="auto"/>
        </w:rPr>
        <w:t>. This Agreement does not give you a right to continued Service with the Company or any 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or any such Affiliate may terminate your Service at any time and otherwise deal with you without regard to the effect it may have upon you under this Agreement.</w:t>
      </w:r>
    </w:p>
    <w:p>
      <w:pPr>
        <w:spacing w:after="0" w:line="2" w:lineRule="exact"/>
        <w:rPr>
          <w:rFonts w:ascii="Arial" w:cs="Arial" w:eastAsia="Arial" w:hAnsi="Arial"/>
          <w:sz w:val="18"/>
          <w:szCs w:val="18"/>
          <w:color w:val="auto"/>
        </w:rPr>
      </w:pPr>
    </w:p>
    <w:p>
      <w:pPr>
        <w:ind w:left="660" w:hanging="328"/>
        <w:spacing w:after="0" w:line="23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This Agreement will be interpreted and enforced under the laws of the state of Minnesota (without regard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or choice of law principles).</w:t>
      </w:r>
    </w:p>
    <w:p>
      <w:pPr>
        <w:spacing w:after="0" w:line="1" w:lineRule="exact"/>
        <w:rPr>
          <w:rFonts w:ascii="Arial" w:cs="Arial" w:eastAsia="Arial" w:hAnsi="Arial"/>
          <w:sz w:val="18"/>
          <w:szCs w:val="18"/>
          <w:color w:val="auto"/>
        </w:rPr>
      </w:pPr>
    </w:p>
    <w:p>
      <w:pPr>
        <w:ind w:left="660" w:hanging="328"/>
        <w:spacing w:after="0" w:line="23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will be binding in all respects on your heirs, representatives, successors and assigns,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or assignee of the Company.</w:t>
      </w:r>
    </w:p>
    <w:p>
      <w:pPr>
        <w:spacing w:after="0" w:line="1" w:lineRule="exact"/>
        <w:rPr>
          <w:rFonts w:ascii="Arial" w:cs="Arial" w:eastAsia="Arial" w:hAnsi="Arial"/>
          <w:sz w:val="18"/>
          <w:szCs w:val="18"/>
          <w:color w:val="auto"/>
        </w:rPr>
      </w:pPr>
    </w:p>
    <w:p>
      <w:pPr>
        <w:jc w:val="both"/>
        <w:ind w:left="660" w:hanging="328"/>
        <w:spacing w:after="0" w:line="23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 of the Code</w:t>
      </w:r>
      <w:r>
        <w:rPr>
          <w:rFonts w:ascii="Arial" w:cs="Arial" w:eastAsia="Arial" w:hAnsi="Arial"/>
          <w:sz w:val="18"/>
          <w:szCs w:val="18"/>
          <w:color w:val="auto"/>
        </w:rPr>
        <w:t>. Notwithstanding anything in this Agreement to the contrary, any payments hereunder that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 additional or accelerated tax under Section 409A of the Code will be deferred until the earliest date that such payments may be made without the imposition of such tax.</w:t>
      </w:r>
    </w:p>
    <w:p>
      <w:pPr>
        <w:spacing w:after="0" w:line="2" w:lineRule="exact"/>
        <w:rPr>
          <w:rFonts w:ascii="Arial" w:cs="Arial" w:eastAsia="Arial" w:hAnsi="Arial"/>
          <w:sz w:val="18"/>
          <w:szCs w:val="18"/>
          <w:color w:val="auto"/>
        </w:rPr>
      </w:pPr>
    </w:p>
    <w:p>
      <w:pPr>
        <w:jc w:val="both"/>
        <w:ind w:left="660" w:hanging="328"/>
        <w:spacing w:after="0" w:line="234"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Electronic Delivery and Acceptance</w:t>
      </w:r>
      <w:r>
        <w:rPr>
          <w:rFonts w:ascii="Arial" w:cs="Arial" w:eastAsia="Arial" w:hAnsi="Arial"/>
          <w:sz w:val="18"/>
          <w:szCs w:val="18"/>
          <w:color w:val="auto"/>
        </w:rPr>
        <w:t>. The Company may deliver any documents related to this Restricted Stock Award by</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means and request 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3"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By signing the cover page of this Agreement or otherwise accepting this Agreement in a manner approved by the Company, you agree to all the terms and conditions described above and in the Plan.</w:t>
      </w:r>
    </w:p>
    <w:p>
      <w:pPr>
        <w:sectPr>
          <w:pgSz w:w="11900" w:h="16838" w:orient="portrait"/>
          <w:cols w:equalWidth="0" w:num="1">
            <w:col w:w="11240"/>
          </w:cols>
          <w:pgMar w:left="320" w:top="908"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3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31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300" w:right="20" w:hanging="320"/>
        <w:spacing w:after="0" w:line="256" w:lineRule="auto"/>
        <w:tabs>
          <w:tab w:leader="none" w:pos="129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300" w:right="300" w:hanging="320"/>
        <w:spacing w:after="0" w:line="256" w:lineRule="auto"/>
        <w:tabs>
          <w:tab w:leader="none" w:pos="1315"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0" w:lineRule="exact"/>
        <w:rPr>
          <w:rFonts w:ascii="Arial" w:cs="Arial" w:eastAsia="Arial" w:hAnsi="Arial"/>
          <w:sz w:val="18"/>
          <w:szCs w:val="18"/>
          <w:color w:val="auto"/>
        </w:rPr>
      </w:pPr>
    </w:p>
    <w:p>
      <w:pPr>
        <w:ind w:left="1300" w:right="60" w:hanging="320"/>
        <w:spacing w:after="0" w:line="256" w:lineRule="auto"/>
        <w:tabs>
          <w:tab w:leader="none" w:pos="1298"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8"/>
          <w:szCs w:val="18"/>
          <w:color w:val="auto"/>
        </w:rPr>
      </w:pPr>
    </w:p>
    <w:p>
      <w:pPr>
        <w:jc w:val="both"/>
        <w:ind w:left="1300" w:right="440" w:hanging="320"/>
        <w:spacing w:after="0" w:line="256" w:lineRule="auto"/>
        <w:tabs>
          <w:tab w:leader="none" w:pos="1311"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Arial" w:cs="Arial" w:eastAsia="Arial" w:hAnsi="Arial"/>
          <w:sz w:val="18"/>
          <w:szCs w:val="18"/>
          <w:color w:val="auto"/>
        </w:rPr>
      </w:pPr>
    </w:p>
    <w:p>
      <w:pPr>
        <w:ind w:left="1300" w:right="800" w:hanging="320"/>
        <w:spacing w:after="0" w:line="261" w:lineRule="auto"/>
        <w:tabs>
          <w:tab w:leader="none" w:pos="1298"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2020</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14605</wp:posOffset>
            </wp:positionV>
            <wp:extent cx="34207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4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Patrick H. Hawkins</w:t>
      </w:r>
    </w:p>
    <w:p>
      <w:pPr>
        <w:spacing w:after="0" w:line="5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86"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103" w:lineRule="exact"/>
        <w:rPr>
          <w:rFonts w:ascii="Arial" w:cs="Arial" w:eastAsia="Arial" w:hAnsi="Arial"/>
          <w:sz w:val="18"/>
          <w:szCs w:val="18"/>
          <w:color w:val="auto"/>
        </w:rPr>
      </w:pPr>
    </w:p>
    <w:p>
      <w:pPr>
        <w:ind w:left="660" w:right="80" w:hanging="328"/>
        <w:spacing w:after="0" w:line="256" w:lineRule="auto"/>
        <w:tabs>
          <w:tab w:leader="none" w:pos="66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120" w:hanging="328"/>
        <w:spacing w:after="0" w:line="256" w:lineRule="auto"/>
        <w:tabs>
          <w:tab w:leader="none" w:pos="66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31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Arial" w:cs="Arial" w:eastAsia="Arial" w:hAnsi="Arial"/>
          <w:sz w:val="18"/>
          <w:szCs w:val="18"/>
          <w:color w:val="auto"/>
        </w:rPr>
      </w:pPr>
    </w:p>
    <w:p>
      <w:pPr>
        <w:ind w:left="1300" w:right="20" w:hanging="644"/>
        <w:spacing w:after="0" w:line="256" w:lineRule="auto"/>
        <w:tabs>
          <w:tab w:leader="none" w:pos="1298"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Arial" w:cs="Arial" w:eastAsia="Arial" w:hAnsi="Arial"/>
          <w:sz w:val="18"/>
          <w:szCs w:val="18"/>
          <w:color w:val="auto"/>
        </w:rPr>
      </w:pPr>
    </w:p>
    <w:p>
      <w:pPr>
        <w:ind w:left="1300" w:right="300" w:hanging="644"/>
        <w:spacing w:after="0" w:line="256" w:lineRule="auto"/>
        <w:tabs>
          <w:tab w:leader="none" w:pos="1315"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8"/>
          <w:szCs w:val="18"/>
          <w:color w:val="auto"/>
        </w:rPr>
      </w:pPr>
    </w:p>
    <w:p>
      <w:pPr>
        <w:ind w:left="1300" w:right="60" w:hanging="644"/>
        <w:spacing w:after="0" w:line="256" w:lineRule="auto"/>
        <w:tabs>
          <w:tab w:leader="none" w:pos="1298"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660" w:right="340" w:hanging="328"/>
        <w:spacing w:after="0" w:line="256" w:lineRule="auto"/>
        <w:tabs>
          <w:tab w:leader="none" w:pos="66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8"/>
          <w:szCs w:val="18"/>
          <w:color w:val="auto"/>
        </w:rPr>
      </w:pPr>
    </w:p>
    <w:p>
      <w:pPr>
        <w:jc w:val="both"/>
        <w:ind w:left="1300" w:right="440" w:hanging="644"/>
        <w:spacing w:after="0" w:line="256" w:lineRule="auto"/>
        <w:tabs>
          <w:tab w:leader="none" w:pos="1311"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Arial" w:cs="Arial" w:eastAsia="Arial" w:hAnsi="Arial"/>
          <w:sz w:val="18"/>
          <w:szCs w:val="18"/>
          <w:color w:val="auto"/>
        </w:rPr>
      </w:pPr>
    </w:p>
    <w:p>
      <w:pPr>
        <w:ind w:left="1300" w:right="800" w:hanging="644"/>
        <w:spacing w:after="0" w:line="261" w:lineRule="auto"/>
        <w:tabs>
          <w:tab w:leader="none" w:pos="1298"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2020</w:t>
      </w:r>
    </w:p>
    <w:p>
      <w:pPr>
        <w:spacing w:after="0" w:line="25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261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P. Oldenkamp</w:t>
      </w:r>
    </w:p>
    <w:p>
      <w:pPr>
        <w:spacing w:after="0" w:line="5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886"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27, 2020,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8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Patrick H. Hawkins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President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21, 2020</w:t>
      </w:r>
    </w:p>
    <w:p>
      <w:pPr>
        <w:sectPr>
          <w:pgSz w:w="11900" w:h="16838" w:orient="portrait"/>
          <w:cols w:equalWidth="0" w:num="1">
            <w:col w:w="11240"/>
          </w:cols>
          <w:pgMar w:left="320" w:top="886"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27, 2020,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right="240" w:firstLine="453"/>
        <w:spacing w:after="0" w:line="261" w:lineRule="auto"/>
        <w:tabs>
          <w:tab w:leader="none" w:pos="7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7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Jeffrey P. Oldenkamp</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and Treasurer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October 21, 2020</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0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7545E146"/>
    <w:multiLevelType w:val="hybridMultilevel"/>
    <w:lvl w:ilvl="0">
      <w:lvlJc w:val="left"/>
      <w:lvlText w:val="%1."/>
      <w:numFmt w:val="decimal"/>
      <w:start w:val="8"/>
    </w:lvl>
    <w:lvl w:ilvl="1">
      <w:lvlJc w:val="left"/>
      <w:lvlText w:val="%2"/>
      <w:numFmt w:val="lowerLetter"/>
      <w:start w:val="1"/>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10"/>
    </w:lvl>
    <w:lvl w:ilvl="1">
      <w:lvlJc w:val="left"/>
      <w:lvlText w:val="%2"/>
      <w:numFmt w:val="lowerLetter"/>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2"/>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28" Type="http://schemas.openxmlformats.org/officeDocument/2006/relationships/hyperlink" Target="http://www.sec.gov/ix?doc=/Archives/edgar/data/46250/000004625020000027/hwkn-20200329.htm#i98eec1cdab1140d282c9345f8e4167eb_58" TargetMode="External"/><Relationship Id="rId56" Type="http://schemas.openxmlformats.org/officeDocument/2006/relationships/hyperlink" Target="http://www.sec.gov/Archives/edgar/data/46250/000089710110001532/hawkins103608_ex3-1.htm" TargetMode="External"/><Relationship Id="rId57" Type="http://schemas.openxmlformats.org/officeDocument/2006/relationships/hyperlink" Target="http://www.sec.gov/Archives/edgar/data/46250/000089710109002205/hawkins095018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2020-10-21T15:31:11Z</dcterms:created>
  <dcterms:modified xsi:type="dcterms:W3CDTF">2020-10-21T15:31:11Z</dcterms:modified>
</cp:coreProperties>
</file>