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217805</wp:posOffset>
            </wp:positionH>
            <wp:positionV relativeFrom="page">
              <wp:posOffset>620395</wp:posOffset>
            </wp:positionV>
            <wp:extent cx="7126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534670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-306705</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QUARTERLY REPORT PURSUANT TO SECTION 13 OR 15(d) OF THE</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28, 2014</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0-7647</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53340</wp:posOffset>
            </wp:positionV>
            <wp:extent cx="5857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7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960" w:type="dxa"/>
            <w:vAlign w:val="bottom"/>
            <w:gridSpan w:val="2"/>
          </w:tcPr>
          <w:p>
            <w:pPr>
              <w:jc w:val="center"/>
              <w:ind w:right="2262"/>
              <w:spacing w:after="0"/>
              <w:rPr>
                <w:sz w:val="20"/>
                <w:szCs w:val="20"/>
                <w:color w:val="auto"/>
              </w:rPr>
            </w:pPr>
            <w:r>
              <w:rPr>
                <w:rFonts w:ascii="Times New Roman" w:cs="Times New Roman" w:eastAsia="Times New Roman" w:hAnsi="Times New Roman"/>
                <w:sz w:val="18"/>
                <w:szCs w:val="18"/>
                <w:b w:val="1"/>
                <w:bCs w:val="1"/>
                <w:color w:val="auto"/>
                <w:w w:val="99"/>
              </w:rPr>
              <w:t>MINNESOTA</w:t>
            </w:r>
          </w:p>
        </w:tc>
        <w:tc>
          <w:tcPr>
            <w:tcW w:w="3460" w:type="dxa"/>
            <w:vAlign w:val="bottom"/>
          </w:tcPr>
          <w:p>
            <w:pPr>
              <w:jc w:val="center"/>
              <w:ind w:right="1922"/>
              <w:spacing w:after="0"/>
              <w:rPr>
                <w:sz w:val="20"/>
                <w:szCs w:val="20"/>
                <w:color w:val="auto"/>
              </w:rPr>
            </w:pPr>
            <w:r>
              <w:rPr>
                <w:rFonts w:ascii="Times New Roman" w:cs="Times New Roman" w:eastAsia="Times New Roman" w:hAnsi="Times New Roman"/>
                <w:sz w:val="18"/>
                <w:szCs w:val="18"/>
                <w:b w:val="1"/>
                <w:bCs w:val="1"/>
                <w:color w:val="auto"/>
                <w:w w:val="98"/>
              </w:rPr>
              <w:t>41-0771293</w:t>
            </w:r>
          </w:p>
        </w:tc>
      </w:tr>
      <w:tr>
        <w:trPr>
          <w:trHeight w:val="27"/>
        </w:trPr>
        <w:tc>
          <w:tcPr>
            <w:tcW w:w="34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44"/>
        </w:trPr>
        <w:tc>
          <w:tcPr>
            <w:tcW w:w="7960" w:type="dxa"/>
            <w:vAlign w:val="bottom"/>
            <w:gridSpan w:val="2"/>
          </w:tcPr>
          <w:p>
            <w:pPr>
              <w:jc w:val="center"/>
              <w:ind w:right="2262"/>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60" w:type="dxa"/>
            <w:vAlign w:val="bottom"/>
          </w:tcPr>
          <w:p>
            <w:pPr>
              <w:jc w:val="center"/>
              <w:ind w:right="1942"/>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960" w:type="dxa"/>
            <w:vAlign w:val="bottom"/>
            <w:gridSpan w:val="2"/>
          </w:tcPr>
          <w:p>
            <w:pPr>
              <w:jc w:val="center"/>
              <w:ind w:right="22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6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3"/>
        </w:trPr>
        <w:tc>
          <w:tcPr>
            <w:tcW w:w="346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2381 ROSEGATE, ROSEVILLE, MINNESOTA 55113</w:t>
            </w:r>
          </w:p>
        </w:tc>
        <w:tc>
          <w:tcPr>
            <w:tcW w:w="3460" w:type="dxa"/>
            <w:vAlign w:val="bottom"/>
          </w:tcPr>
          <w:p>
            <w:pPr>
              <w:spacing w:after="0"/>
              <w:rPr>
                <w:sz w:val="24"/>
                <w:szCs w:val="24"/>
                <w:color w:val="auto"/>
              </w:rPr>
            </w:pPr>
          </w:p>
        </w:tc>
      </w:tr>
      <w:tr>
        <w:trPr>
          <w:trHeight w:val="190"/>
        </w:trPr>
        <w:tc>
          <w:tcPr>
            <w:tcW w:w="346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3460" w:type="dxa"/>
            <w:vAlign w:val="bottom"/>
          </w:tcPr>
          <w:p>
            <w:pPr>
              <w:spacing w:after="0"/>
              <w:rPr>
                <w:sz w:val="16"/>
                <w:szCs w:val="16"/>
                <w:color w:val="auto"/>
              </w:rPr>
            </w:pPr>
          </w:p>
        </w:tc>
      </w:tr>
      <w:tr>
        <w:trPr>
          <w:trHeight w:val="510"/>
        </w:trPr>
        <w:tc>
          <w:tcPr>
            <w:tcW w:w="7960" w:type="dxa"/>
            <w:vAlign w:val="bottom"/>
            <w:gridSpan w:val="2"/>
          </w:tcPr>
          <w:p>
            <w:pPr>
              <w:jc w:val="center"/>
              <w:ind w:left="3399"/>
              <w:spacing w:after="0"/>
              <w:rPr>
                <w:sz w:val="20"/>
                <w:szCs w:val="20"/>
                <w:color w:val="auto"/>
              </w:rPr>
            </w:pPr>
            <w:r>
              <w:rPr>
                <w:rFonts w:ascii="Times New Roman" w:cs="Times New Roman" w:eastAsia="Times New Roman" w:hAnsi="Times New Roman"/>
                <w:sz w:val="18"/>
                <w:szCs w:val="18"/>
                <w:b w:val="1"/>
                <w:bCs w:val="1"/>
                <w:color w:val="auto"/>
                <w:w w:val="99"/>
              </w:rPr>
              <w:t>(612) 331-6910</w:t>
            </w:r>
          </w:p>
        </w:tc>
        <w:tc>
          <w:tcPr>
            <w:tcW w:w="3460" w:type="dxa"/>
            <w:vAlign w:val="bottom"/>
          </w:tcPr>
          <w:p>
            <w:pPr>
              <w:spacing w:after="0"/>
              <w:rPr>
                <w:sz w:val="24"/>
                <w:szCs w:val="24"/>
                <w:color w:val="auto"/>
              </w:rPr>
            </w:pPr>
          </w:p>
        </w:tc>
      </w:tr>
      <w:tr>
        <w:trPr>
          <w:trHeight w:val="225"/>
        </w:trPr>
        <w:tc>
          <w:tcPr>
            <w:tcW w:w="3460" w:type="dxa"/>
            <w:vAlign w:val="bottom"/>
          </w:tcPr>
          <w:p>
            <w:pPr>
              <w:spacing w:after="0"/>
              <w:rPr>
                <w:sz w:val="19"/>
                <w:szCs w:val="19"/>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460" w:type="dxa"/>
            <w:vAlign w:val="bottom"/>
          </w:tcPr>
          <w:p>
            <w:pPr>
              <w:spacing w:after="0"/>
              <w:rPr>
                <w:sz w:val="19"/>
                <w:szCs w:val="19"/>
                <w:color w:val="auto"/>
              </w:rPr>
            </w:pPr>
          </w:p>
        </w:tc>
      </w:tr>
    </w:tbl>
    <w:p>
      <w:pPr>
        <w:spacing w:after="0" w:line="279"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jc w:val="both"/>
        <w:ind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1420"/>
          </w:cols>
          <w:pgMar w:left="240" w:top="1024" w:right="239" w:bottom="1440" w:gutter="0" w:footer="0" w:header="0"/>
        </w:sectPr>
      </w:pPr>
    </w:p>
    <w:p>
      <w:pPr>
        <w:spacing w:after="0" w:line="29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4">
            <w:col w:w="1740" w:space="540"/>
            <w:col w:w="4620" w:space="720"/>
            <w:col w:w="2060" w:space="720"/>
            <w:col w:w="1020"/>
          </w:cols>
          <w:pgMar w:left="240" w:top="1024" w:right="239" w:bottom="1440" w:gutter="0" w:footer="0" w:header="0"/>
          <w:type w:val="continuous"/>
        </w:sectPr>
      </w:pP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3" w:lineRule="exact"/>
        <w:rPr>
          <w:sz w:val="24"/>
          <w:szCs w:val="24"/>
          <w:color w:val="auto"/>
        </w:rPr>
      </w:pPr>
    </w:p>
    <w:p>
      <w:pPr>
        <w:sectPr>
          <w:pgSz w:w="11900" w:h="16838" w:orient="portrait"/>
          <w:cols w:equalWidth="0" w:num="5">
            <w:col w:w="1640" w:space="640"/>
            <w:col w:w="160" w:space="80"/>
            <w:col w:w="4380" w:space="720"/>
            <w:col w:w="2080" w:space="700"/>
            <w:col w:w="1020"/>
          </w:cols>
          <w:pgMar w:left="240" w:top="1024"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66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356" w:lineRule="exact"/>
        <w:rPr>
          <w:sz w:val="24"/>
          <w:szCs w:val="24"/>
          <w:color w:val="auto"/>
        </w:rPr>
      </w:pPr>
    </w:p>
    <w:tbl>
      <w:tblPr>
        <w:tblLayout w:type="fixed"/>
        <w:tblInd w:w="100" w:type="dxa"/>
        <w:tblCellMar>
          <w:top w:w="0" w:type="dxa"/>
          <w:left w:w="0" w:type="dxa"/>
          <w:bottom w:w="0" w:type="dxa"/>
          <w:right w:w="0" w:type="dxa"/>
        </w:tblCellMar>
      </w:tblPr>
      <w:tr>
        <w:trPr>
          <w:trHeight w:val="193"/>
        </w:trPr>
        <w:tc>
          <w:tcPr>
            <w:tcW w:w="560" w:type="dxa"/>
            <w:vAlign w:val="bottom"/>
          </w:tcPr>
          <w:p>
            <w:pPr>
              <w:spacing w:after="0"/>
              <w:rPr>
                <w:sz w:val="16"/>
                <w:szCs w:val="16"/>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w:t>
            </w:r>
          </w:p>
        </w:tc>
        <w:tc>
          <w:tcPr>
            <w:tcW w:w="300" w:type="dxa"/>
            <w:vAlign w:val="bottom"/>
          </w:tcPr>
          <w:p>
            <w:pPr>
              <w:spacing w:after="0"/>
              <w:rPr>
                <w:sz w:val="16"/>
                <w:szCs w:val="16"/>
                <w:color w:val="auto"/>
              </w:rPr>
            </w:pPr>
          </w:p>
        </w:tc>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Shares Outstanding at January 30, 2015</w:t>
            </w:r>
          </w:p>
        </w:tc>
        <w:tc>
          <w:tcPr>
            <w:tcW w:w="540" w:type="dxa"/>
            <w:vAlign w:val="bottom"/>
          </w:tcPr>
          <w:p>
            <w:pPr>
              <w:spacing w:after="0"/>
              <w:rPr>
                <w:sz w:val="16"/>
                <w:szCs w:val="16"/>
                <w:color w:val="auto"/>
              </w:rPr>
            </w:pPr>
          </w:p>
        </w:tc>
      </w:tr>
      <w:tr>
        <w:trPr>
          <w:trHeight w:val="242"/>
        </w:trPr>
        <w:tc>
          <w:tcPr>
            <w:tcW w:w="560" w:type="dxa"/>
            <w:vAlign w:val="bottom"/>
          </w:tcPr>
          <w:p>
            <w:pPr>
              <w:spacing w:after="0"/>
              <w:rPr>
                <w:sz w:val="21"/>
                <w:szCs w:val="21"/>
                <w:color w:val="auto"/>
              </w:rPr>
            </w:pPr>
          </w:p>
        </w:tc>
        <w:tc>
          <w:tcPr>
            <w:tcW w:w="5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Common Stock, par value $.05 per share</w:t>
            </w:r>
          </w:p>
        </w:tc>
        <w:tc>
          <w:tcPr>
            <w:tcW w:w="4860" w:type="dxa"/>
            <w:vAlign w:val="bottom"/>
          </w:tcPr>
          <w:p>
            <w:pPr>
              <w:jc w:val="right"/>
              <w:ind w:right="1939"/>
              <w:spacing w:after="0"/>
              <w:rPr>
                <w:sz w:val="20"/>
                <w:szCs w:val="20"/>
                <w:color w:val="auto"/>
              </w:rPr>
            </w:pPr>
            <w:r>
              <w:rPr>
                <w:rFonts w:ascii="Times New Roman" w:cs="Times New Roman" w:eastAsia="Times New Roman" w:hAnsi="Times New Roman"/>
                <w:sz w:val="18"/>
                <w:szCs w:val="18"/>
                <w:color w:val="auto"/>
              </w:rPr>
              <w:t>10,645,189</w:t>
            </w:r>
          </w:p>
        </w:tc>
        <w:tc>
          <w:tcPr>
            <w:tcW w:w="540" w:type="dxa"/>
            <w:vAlign w:val="bottom"/>
          </w:tcPr>
          <w:p>
            <w:pPr>
              <w:spacing w:after="0"/>
              <w:rPr>
                <w:sz w:val="21"/>
                <w:szCs w:val="21"/>
                <w:color w:val="auto"/>
              </w:rPr>
            </w:pPr>
          </w:p>
        </w:tc>
      </w:tr>
      <w:tr>
        <w:trPr>
          <w:trHeight w:val="432"/>
        </w:trPr>
        <w:tc>
          <w:tcPr>
            <w:tcW w:w="5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122"/>
        </w:trPr>
        <w:tc>
          <w:tcPr>
            <w:tcW w:w="560" w:type="dxa"/>
            <w:vAlign w:val="bottom"/>
            <w:tcBorders>
              <w:bottom w:val="single" w:sz="8" w:color="auto"/>
            </w:tcBorders>
          </w:tcPr>
          <w:p>
            <w:pPr>
              <w:spacing w:after="0"/>
              <w:rPr>
                <w:sz w:val="10"/>
                <w:szCs w:val="10"/>
                <w:color w:val="auto"/>
              </w:rPr>
            </w:pPr>
          </w:p>
        </w:tc>
        <w:tc>
          <w:tcPr>
            <w:tcW w:w="49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024" w:right="239" w:bottom="1440" w:gutter="0" w:footer="0" w:header="0"/>
          <w:type w:val="continuous"/>
        </w:sectPr>
      </w:pPr>
    </w:p>
    <w:bookmarkStart w:id="1" w:name="page2"/>
    <w:bookmarkEnd w:id="1"/>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3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3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EE"/>
            </w:tcBorders>
            <w:gridSpan w:val="8"/>
          </w:tcPr>
          <w:p>
            <w:pPr>
              <w:spacing w:after="0"/>
              <w:rPr>
                <w:rFonts w:ascii="Times New Roman" w:cs="Times New Roman" w:eastAsia="Times New Roman" w:hAnsi="Times New Roman"/>
                <w:sz w:val="18"/>
                <w:szCs w:val="18"/>
                <w:b w:val="1"/>
                <w:bCs w:val="1"/>
                <w:color w:val="0000EE"/>
                <w:w w:val="98"/>
              </w:rPr>
            </w:pPr>
            <w:hyperlink w:anchor="page2">
              <w:r>
                <w:rPr>
                  <w:rFonts w:ascii="Times New Roman" w:cs="Times New Roman" w:eastAsia="Times New Roman" w:hAnsi="Times New Roman"/>
                  <w:sz w:val="18"/>
                  <w:szCs w:val="18"/>
                  <w:b w:val="1"/>
                  <w:bCs w:val="1"/>
                  <w:color w:val="0000EE"/>
                  <w:w w:val="98"/>
                </w:rPr>
                <w:t>FINANCIAL INFORMATION</w:t>
              </w:r>
            </w:hyperlink>
          </w:p>
        </w:tc>
        <w:tc>
          <w:tcPr>
            <w:tcW w:w="526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Financial Statements (unaudited):</w:t>
              </w:r>
            </w:hyperlink>
          </w:p>
        </w:tc>
        <w:tc>
          <w:tcPr>
            <w:tcW w:w="522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19"/>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 December 28, 2014 and March 30, 2014</w:t>
              </w:r>
            </w:hyperlink>
          </w:p>
        </w:tc>
        <w:tc>
          <w:tcPr>
            <w:tcW w:w="960" w:type="dxa"/>
            <w:vAlign w:val="bottom"/>
            <w:gridSpan w:val="3"/>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19"/>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Income – Three and Nine Months Ended December 28,</w:t>
              </w:r>
            </w:hyperlink>
          </w:p>
        </w:tc>
        <w:tc>
          <w:tcPr>
            <w:tcW w:w="960" w:type="dxa"/>
            <w:vAlign w:val="bottom"/>
            <w:gridSpan w:val="3"/>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4</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2014 and December 29, 2013</w:t>
              </w:r>
            </w:hyperlink>
          </w:p>
        </w:tc>
        <w:tc>
          <w:tcPr>
            <w:tcW w:w="80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19"/>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Comprehensive Income – Three and Nine Months Ended</w:t>
              </w:r>
            </w:hyperlink>
          </w:p>
        </w:tc>
        <w:tc>
          <w:tcPr>
            <w:tcW w:w="960" w:type="dxa"/>
            <w:vAlign w:val="bottom"/>
            <w:gridSpan w:val="3"/>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5</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9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December 28, 2014 and December 29, 2013</w:t>
              </w:r>
            </w:hyperlink>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19"/>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Cash Flows – Nine Months Ended December 28, 2014</w:t>
              </w:r>
            </w:hyperlink>
          </w:p>
        </w:tc>
        <w:tc>
          <w:tcPr>
            <w:tcW w:w="960" w:type="dxa"/>
            <w:vAlign w:val="bottom"/>
            <w:gridSpan w:val="3"/>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6</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and December 29, 2013</w:t>
              </w:r>
            </w:hyperlink>
          </w:p>
        </w:tc>
        <w:tc>
          <w:tcPr>
            <w:tcW w:w="86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Notes to Condensed Consolidated Financial Statements</w:t>
              </w:r>
            </w:hyperlink>
          </w:p>
        </w:tc>
        <w:tc>
          <w:tcPr>
            <w:tcW w:w="3660" w:type="dxa"/>
            <w:vAlign w:val="bottom"/>
            <w:gridSpan w:val="8"/>
          </w:tcPr>
          <w:p>
            <w:pPr>
              <w:spacing w:after="0"/>
              <w:rPr>
                <w:sz w:val="24"/>
                <w:szCs w:val="24"/>
                <w:color w:val="auto"/>
              </w:rPr>
            </w:pPr>
          </w:p>
        </w:tc>
        <w:tc>
          <w:tcPr>
            <w:tcW w:w="8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7</w:t>
              </w:r>
            </w:hyperlink>
          </w:p>
        </w:tc>
      </w:tr>
      <w:tr>
        <w:trPr>
          <w:trHeight w:val="37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7660" w:type="dxa"/>
            <w:vAlign w:val="bottom"/>
            <w:gridSpan w:val="19"/>
          </w:tcPr>
          <w:p>
            <w:pPr>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60" w:type="dxa"/>
            <w:vAlign w:val="bottom"/>
            <w:gridSpan w:val="3"/>
          </w:tcPr>
          <w:p>
            <w:pPr>
              <w:jc w:val="right"/>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13</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4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gridSpan w:val="12"/>
          </w:tcPr>
          <w:p>
            <w:pPr>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gridSpan w:val="3"/>
          </w:tcPr>
          <w:p>
            <w:pPr>
              <w:spacing w:after="0"/>
              <w:rPr>
                <w:sz w:val="24"/>
                <w:szCs w:val="24"/>
                <w:color w:val="auto"/>
              </w:rPr>
            </w:pPr>
          </w:p>
        </w:tc>
        <w:tc>
          <w:tcPr>
            <w:tcW w:w="1200" w:type="dxa"/>
            <w:vAlign w:val="bottom"/>
            <w:gridSpan w:val="4"/>
          </w:tcPr>
          <w:p>
            <w:pPr>
              <w:spacing w:after="0"/>
              <w:rPr>
                <w:sz w:val="24"/>
                <w:szCs w:val="24"/>
                <w:color w:val="auto"/>
              </w:rPr>
            </w:pPr>
          </w:p>
        </w:tc>
        <w:tc>
          <w:tcPr>
            <w:tcW w:w="960" w:type="dxa"/>
            <w:vAlign w:val="bottom"/>
            <w:gridSpan w:val="3"/>
          </w:tcPr>
          <w:p>
            <w:pPr>
              <w:jc w:val="right"/>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17</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4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5"/>
          </w:tcPr>
          <w:p>
            <w:pPr>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Controls and Procedures</w:t>
              </w:r>
            </w:hyperlink>
          </w:p>
        </w:tc>
        <w:tc>
          <w:tcPr>
            <w:tcW w:w="2540" w:type="dxa"/>
            <w:vAlign w:val="bottom"/>
            <w:gridSpan w:val="7"/>
          </w:tcPr>
          <w:p>
            <w:pPr>
              <w:spacing w:after="0"/>
              <w:rPr>
                <w:sz w:val="24"/>
                <w:szCs w:val="24"/>
                <w:color w:val="auto"/>
              </w:rPr>
            </w:pPr>
          </w:p>
        </w:tc>
        <w:tc>
          <w:tcPr>
            <w:tcW w:w="3340" w:type="dxa"/>
            <w:vAlign w:val="bottom"/>
            <w:gridSpan w:val="7"/>
          </w:tcPr>
          <w:p>
            <w:pPr>
              <w:spacing w:after="0"/>
              <w:rPr>
                <w:sz w:val="24"/>
                <w:szCs w:val="24"/>
                <w:color w:val="auto"/>
              </w:rPr>
            </w:pPr>
          </w:p>
        </w:tc>
        <w:tc>
          <w:tcPr>
            <w:tcW w:w="960" w:type="dxa"/>
            <w:vAlign w:val="bottom"/>
            <w:gridSpan w:val="3"/>
          </w:tcPr>
          <w:p>
            <w:pPr>
              <w:jc w:val="right"/>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17</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II.</w:t>
            </w:r>
          </w:p>
        </w:tc>
        <w:tc>
          <w:tcPr>
            <w:tcW w:w="7660" w:type="dxa"/>
            <w:vAlign w:val="bottom"/>
            <w:gridSpan w:val="19"/>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OTHER INFORMATION</w:t>
              </w:r>
            </w:hyperlink>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tcBorders>
            <w:gridSpan w:val="3"/>
          </w:tcPr>
          <w:p>
            <w:pPr>
              <w:spacing w:after="0"/>
              <w:rPr>
                <w:rFonts w:ascii="Times New Roman" w:cs="Times New Roman" w:eastAsia="Times New Roman" w:hAnsi="Times New Roman"/>
                <w:sz w:val="18"/>
                <w:szCs w:val="18"/>
                <w:color w:val="0000EE"/>
                <w:w w:val="98"/>
              </w:rPr>
            </w:pPr>
            <w:hyperlink w:anchor="page18">
              <w:r>
                <w:rPr>
                  <w:rFonts w:ascii="Times New Roman" w:cs="Times New Roman" w:eastAsia="Times New Roman" w:hAnsi="Times New Roman"/>
                  <w:sz w:val="18"/>
                  <w:szCs w:val="18"/>
                  <w:color w:val="0000EE"/>
                  <w:w w:val="9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5780" w:type="dxa"/>
            <w:vAlign w:val="bottom"/>
            <w:gridSpan w:val="13"/>
          </w:tcPr>
          <w:p>
            <w:pPr>
              <w:spacing w:after="0"/>
              <w:rPr>
                <w:sz w:val="24"/>
                <w:szCs w:val="24"/>
                <w:color w:val="auto"/>
              </w:rPr>
            </w:pPr>
          </w:p>
        </w:tc>
        <w:tc>
          <w:tcPr>
            <w:tcW w:w="960" w:type="dxa"/>
            <w:vAlign w:val="bottom"/>
            <w:gridSpan w:val="3"/>
          </w:tcPr>
          <w:p>
            <w:pPr>
              <w:jc w:val="right"/>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18</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1340" w:type="dxa"/>
            <w:vAlign w:val="bottom"/>
            <w:gridSpan w:val="3"/>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Risk Factors</w:t>
              </w:r>
            </w:hyperlink>
          </w:p>
        </w:tc>
        <w:tc>
          <w:tcPr>
            <w:tcW w:w="6320" w:type="dxa"/>
            <w:vAlign w:val="bottom"/>
            <w:gridSpan w:val="16"/>
          </w:tcPr>
          <w:p>
            <w:pPr>
              <w:spacing w:after="0"/>
              <w:rPr>
                <w:sz w:val="24"/>
                <w:szCs w:val="24"/>
                <w:color w:val="auto"/>
              </w:rPr>
            </w:pPr>
          </w:p>
        </w:tc>
        <w:tc>
          <w:tcPr>
            <w:tcW w:w="960" w:type="dxa"/>
            <w:vAlign w:val="bottom"/>
            <w:gridSpan w:val="3"/>
          </w:tcPr>
          <w:p>
            <w:pPr>
              <w:jc w:val="right"/>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18</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13"/>
          </w:tcPr>
          <w:p>
            <w:pPr>
              <w:spacing w:after="0"/>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Unregistered Sales of Equity Securities and Use of Proceeds</w:t>
              </w:r>
            </w:hyperlink>
          </w:p>
        </w:tc>
        <w:tc>
          <w:tcPr>
            <w:tcW w:w="3300" w:type="dxa"/>
            <w:vAlign w:val="bottom"/>
            <w:gridSpan w:val="6"/>
          </w:tcPr>
          <w:p>
            <w:pPr>
              <w:spacing w:after="0"/>
              <w:rPr>
                <w:sz w:val="24"/>
                <w:szCs w:val="24"/>
                <w:color w:val="auto"/>
              </w:rPr>
            </w:pPr>
          </w:p>
        </w:tc>
        <w:tc>
          <w:tcPr>
            <w:tcW w:w="960" w:type="dxa"/>
            <w:vAlign w:val="bottom"/>
            <w:gridSpan w:val="3"/>
          </w:tcPr>
          <w:p>
            <w:pPr>
              <w:jc w:val="right"/>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18</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4360" w:type="dxa"/>
            <w:vAlign w:val="bottom"/>
            <w:gridSpan w:val="13"/>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Exhibits</w:t>
              </w:r>
            </w:hyperlink>
          </w:p>
        </w:tc>
        <w:tc>
          <w:tcPr>
            <w:tcW w:w="3300" w:type="dxa"/>
            <w:vAlign w:val="bottom"/>
            <w:gridSpan w:val="6"/>
          </w:tcPr>
          <w:p>
            <w:pPr>
              <w:spacing w:after="0"/>
              <w:rPr>
                <w:sz w:val="24"/>
                <w:szCs w:val="24"/>
                <w:color w:val="auto"/>
              </w:rPr>
            </w:pPr>
          </w:p>
        </w:tc>
        <w:tc>
          <w:tcPr>
            <w:tcW w:w="960" w:type="dxa"/>
            <w:vAlign w:val="bottom"/>
            <w:gridSpan w:val="3"/>
          </w:tcPr>
          <w:p>
            <w:pPr>
              <w:jc w:val="right"/>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19</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760" w:type="dxa"/>
            <w:vAlign w:val="bottom"/>
          </w:tcPr>
          <w:p>
            <w:pPr>
              <w:spacing w:after="0"/>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Signatures</w:t>
              </w:r>
            </w:hyperlink>
          </w:p>
        </w:tc>
        <w:tc>
          <w:tcPr>
            <w:tcW w:w="38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gridSpan w:val="3"/>
          </w:tcPr>
          <w:p>
            <w:pPr>
              <w:jc w:val="right"/>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20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Exhibit Index</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gridSpan w:val="3"/>
          </w:tcPr>
          <w:p>
            <w:pPr>
              <w:jc w:val="right"/>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21</w:t>
              </w:r>
            </w:hyperlink>
          </w:p>
        </w:tc>
      </w:tr>
      <w:tr>
        <w:trPr>
          <w:trHeight w:val="507"/>
        </w:trPr>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20" w:type="dxa"/>
            <w:vAlign w:val="bottom"/>
            <w:gridSpan w:val="14"/>
          </w:tcPr>
          <w:p>
            <w:pPr>
              <w:ind w:left="448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0179"/>
          </w:cols>
          <w:pgMar w:left="280" w:top="57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200" w:type="dxa"/>
            <w:vAlign w:val="bottom"/>
          </w:tcPr>
          <w:p>
            <w:pPr>
              <w:spacing w:after="0"/>
              <w:rPr>
                <w:sz w:val="17"/>
                <w:szCs w:val="17"/>
                <w:color w:val="auto"/>
              </w:rPr>
            </w:pP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March 30,</w:t>
            </w:r>
          </w:p>
        </w:tc>
        <w:tc>
          <w:tcPr>
            <w:tcW w:w="0" w:type="dxa"/>
            <w:vAlign w:val="bottom"/>
          </w:tcPr>
          <w:p>
            <w:pPr>
              <w:spacing w:after="0"/>
              <w:rPr>
                <w:sz w:val="1"/>
                <w:szCs w:val="1"/>
                <w:color w:val="auto"/>
              </w:rPr>
            </w:pPr>
          </w:p>
        </w:tc>
      </w:tr>
      <w:tr>
        <w:trPr>
          <w:trHeight w:val="212"/>
        </w:trPr>
        <w:tc>
          <w:tcPr>
            <w:tcW w:w="8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2014</w:t>
            </w:r>
          </w:p>
        </w:tc>
        <w:tc>
          <w:tcPr>
            <w:tcW w:w="0" w:type="dxa"/>
            <w:vAlign w:val="bottom"/>
          </w:tcPr>
          <w:p>
            <w:pPr>
              <w:spacing w:after="0"/>
              <w:rPr>
                <w:sz w:val="1"/>
                <w:szCs w:val="1"/>
                <w:color w:val="auto"/>
              </w:rPr>
            </w:pPr>
          </w:p>
        </w:tc>
      </w:tr>
      <w:tr>
        <w:trPr>
          <w:trHeight w:val="33"/>
        </w:trPr>
        <w:tc>
          <w:tcPr>
            <w:tcW w:w="8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18,994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33,486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Investments available-for-sale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13,843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receivables — less allowance for doubtful accounts: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$375 as of December 28, 2014 and $477 as of March 30, 2014</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37,946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110,251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114,627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168,027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158,875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(68,406)</w:t>
            </w:r>
          </w:p>
        </w:tc>
        <w:tc>
          <w:tcPr>
            <w:tcW w:w="0" w:type="dxa"/>
            <w:vAlign w:val="bottom"/>
          </w:tcPr>
          <w:p>
            <w:pPr>
              <w:spacing w:after="0"/>
              <w:rPr>
                <w:sz w:val="1"/>
                <w:szCs w:val="1"/>
                <w:color w:val="auto"/>
              </w:rPr>
            </w:pPr>
          </w:p>
        </w:tc>
      </w:tr>
      <w:tr>
        <w:trPr>
          <w:trHeight w:val="237"/>
        </w:trPr>
        <w:tc>
          <w:tcPr>
            <w:tcW w:w="85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92,214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90,469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Intangible assets — less accumulated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$3,671 as of December 28, 2014 and $3,069 as of March 30, 2014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8,509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15,852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39,637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32,097</w:t>
            </w:r>
          </w:p>
        </w:tc>
        <w:tc>
          <w:tcPr>
            <w:tcW w:w="0" w:type="dxa"/>
            <w:vAlign w:val="bottom"/>
          </w:tcPr>
          <w:p>
            <w:pPr>
              <w:spacing w:after="0"/>
              <w:rPr>
                <w:sz w:val="1"/>
                <w:szCs w:val="1"/>
                <w:color w:val="auto"/>
              </w:rPr>
            </w:pPr>
          </w:p>
        </w:tc>
      </w:tr>
      <w:tr>
        <w:trPr>
          <w:trHeight w:val="237"/>
        </w:trPr>
        <w:tc>
          <w:tcPr>
            <w:tcW w:w="85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242,102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237,193</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18,306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 payable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35,829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PENSION WITHDRAWAL LIABILITY</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6,887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10,186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54,780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authorized: 30,000,000 shares of $0.05 par value; 10,569,026 and 10,562,400 shares issued</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outstanding as of December 28, 2014 and March 30, 2014, respectively</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50,502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142,705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131,427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7"/>
        </w:trPr>
        <w:tc>
          <w:tcPr>
            <w:tcW w:w="85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193,910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182,413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242,102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237,193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0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(UNAUDITED)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per-share data)</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660" w:type="dxa"/>
            <w:vAlign w:val="bottom"/>
            <w:gridSpan w:val="4"/>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44"/>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80" w:type="dxa"/>
            <w:vAlign w:val="bottom"/>
          </w:tcPr>
          <w:p>
            <w:pPr>
              <w:spacing w:after="0"/>
              <w:rPr>
                <w:sz w:val="12"/>
                <w:szCs w:val="12"/>
                <w:color w:val="auto"/>
              </w:rPr>
            </w:pPr>
          </w:p>
        </w:tc>
        <w:tc>
          <w:tcPr>
            <w:tcW w:w="128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180" w:type="dxa"/>
            <w:vAlign w:val="bottom"/>
          </w:tcPr>
          <w:p>
            <w:pPr>
              <w:spacing w:after="0"/>
              <w:rPr>
                <w:sz w:val="12"/>
                <w:szCs w:val="12"/>
                <w:color w:val="auto"/>
              </w:rPr>
            </w:pPr>
          </w:p>
        </w:tc>
        <w:tc>
          <w:tcPr>
            <w:tcW w:w="130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80" w:type="dxa"/>
            <w:vAlign w:val="bottom"/>
          </w:tcPr>
          <w:p>
            <w:pPr>
              <w:spacing w:after="0"/>
              <w:rPr>
                <w:sz w:val="12"/>
                <w:szCs w:val="12"/>
                <w:color w:val="auto"/>
              </w:rPr>
            </w:pPr>
          </w:p>
        </w:tc>
        <w:tc>
          <w:tcPr>
            <w:tcW w:w="1180" w:type="dxa"/>
            <w:vAlign w:val="bottom"/>
          </w:tcPr>
          <w:p>
            <w:pPr>
              <w:jc w:val="right"/>
              <w:ind w:right="192"/>
              <w:spacing w:after="0" w:line="145"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95"/>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83,825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81,697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270,742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263,040</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(215,689)</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13,642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13,550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50,260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47,351</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(25,430)</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24,417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21,921</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24,428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21,903</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15,314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13,799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10,564,990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10,547,882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10,564,401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10,538,595</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10,614,740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10,595,935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10,623,148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10,590,880</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1.31</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w:t>
            </w:r>
          </w:p>
        </w:tc>
      </w:tr>
      <w:tr>
        <w:trPr>
          <w:trHeight w:val="324"/>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0.36</w:t>
            </w:r>
          </w:p>
        </w:tc>
      </w:tr>
      <w:tr>
        <w:trPr>
          <w:trHeight w:val="27"/>
        </w:trPr>
        <w:tc>
          <w:tcPr>
            <w:tcW w:w="5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6"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80" w:type="dxa"/>
            <w:vAlign w:val="bottom"/>
          </w:tcPr>
          <w:p>
            <w:pPr>
              <w:spacing w:after="0"/>
              <w:rPr>
                <w:sz w:val="12"/>
                <w:szCs w:val="12"/>
                <w:color w:val="auto"/>
              </w:rPr>
            </w:pPr>
          </w:p>
        </w:tc>
        <w:tc>
          <w:tcPr>
            <w:tcW w:w="12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18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80" w:type="dxa"/>
            <w:vAlign w:val="bottom"/>
          </w:tcPr>
          <w:p>
            <w:pPr>
              <w:spacing w:after="0"/>
              <w:rPr>
                <w:sz w:val="12"/>
                <w:szCs w:val="12"/>
                <w:color w:val="auto"/>
              </w:rPr>
            </w:pPr>
          </w:p>
        </w:tc>
        <w:tc>
          <w:tcPr>
            <w:tcW w:w="1180" w:type="dxa"/>
            <w:vAlign w:val="bottom"/>
          </w:tcPr>
          <w:p>
            <w:pPr>
              <w:jc w:val="right"/>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95"/>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3,146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15,314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13,799</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gain (loss) on available-for-sale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(loss) on post-retirement liability</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15,319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13,700</w:t>
            </w:r>
          </w:p>
        </w:tc>
      </w:tr>
      <w:tr>
        <w:trPr>
          <w:trHeight w:val="27"/>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gridSpan w:val="4"/>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8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7"/>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180" w:type="dxa"/>
            <w:vAlign w:val="bottom"/>
          </w:tcPr>
          <w:p>
            <w:pPr>
              <w:spacing w:after="0"/>
              <w:rPr>
                <w:sz w:val="18"/>
                <w:szCs w:val="18"/>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29,</w:t>
            </w:r>
          </w:p>
        </w:tc>
      </w:tr>
      <w:tr>
        <w:trPr>
          <w:trHeight w:val="212"/>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13,799</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Reconciliation to cash flows: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9,678</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1,216</w:t>
            </w:r>
          </w:p>
        </w:tc>
      </w:tr>
      <w:tr>
        <w:trPr>
          <w:trHeight w:val="243"/>
        </w:trPr>
        <w:tc>
          <w:tcPr>
            <w:tcW w:w="8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946</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from property disposals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8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operating accounts providing (using) cash:</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Trade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1,708</w:t>
            </w:r>
          </w:p>
        </w:tc>
      </w:tr>
      <w:tr>
        <w:trPr>
          <w:trHeight w:val="243"/>
        </w:trPr>
        <w:tc>
          <w:tcPr>
            <w:tcW w:w="8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43"/>
        </w:trPr>
        <w:tc>
          <w:tcPr>
            <w:tcW w:w="8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402</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Income tax payable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403</w:t>
            </w:r>
          </w:p>
        </w:tc>
      </w:tr>
      <w:tr>
        <w:trPr>
          <w:trHeight w:val="243"/>
        </w:trPr>
        <w:tc>
          <w:tcPr>
            <w:tcW w:w="82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24,912</w:t>
            </w: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(10,489)</w:t>
            </w:r>
          </w:p>
        </w:tc>
      </w:tr>
      <w:tr>
        <w:trPr>
          <w:trHeight w:val="243"/>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(17,956)</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Sale and maturities of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12,185</w:t>
            </w:r>
          </w:p>
        </w:tc>
      </w:tr>
      <w:tr>
        <w:trPr>
          <w:trHeight w:val="243"/>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property disposals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w:t>
            </w:r>
          </w:p>
        </w:tc>
      </w:tr>
      <w:tr>
        <w:trPr>
          <w:trHeight w:val="237"/>
        </w:trPr>
        <w:tc>
          <w:tcPr>
            <w:tcW w:w="82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(18,562)</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dividends paid</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New shares issued</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459</w:t>
            </w:r>
          </w:p>
        </w:tc>
      </w:tr>
      <w:tr>
        <w:trPr>
          <w:trHeight w:val="243"/>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Shares surrendered for payroll taxes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w:t>
            </w:r>
          </w:p>
        </w:tc>
      </w:tr>
      <w:tr>
        <w:trPr>
          <w:trHeight w:val="243"/>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Excess tax benefit from share-based compensation</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Shares repurchased</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2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w:t>
            </w: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33,486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28,715</w:t>
            </w: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18,994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27,860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6,426</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Noncash investing activities - Capital expenditures in 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529</w:t>
            </w:r>
          </w:p>
        </w:tc>
      </w:tr>
      <w:tr>
        <w:trPr>
          <w:trHeight w:val="27"/>
        </w:trPr>
        <w:tc>
          <w:tcPr>
            <w:tcW w:w="8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76"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Annual Report on Form 10-K for the fiscal year ended March 30, 2014,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w:t>
      </w:r>
    </w:p>
    <w:p>
      <w:pPr>
        <w:spacing w:after="0" w:line="13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accounting policies we follow are set forth in “Item 8. Financial Statements and Supplementary Data, Note 1 – Nature of Business and Significant Accounting Policies” to our consolidated financial statements in our Annual Report on Form 10-K for the fiscal year ended March 30, 2014 filed with the SEC on May 29, 2014. There has been no significant change in our accounting policies since the end of fiscal 2014.</w:t>
      </w:r>
    </w:p>
    <w:p>
      <w:pPr>
        <w:spacing w:after="0" w:line="122" w:lineRule="exact"/>
        <w:rPr>
          <w:sz w:val="20"/>
          <w:szCs w:val="20"/>
          <w:color w:val="auto"/>
        </w:rPr>
      </w:pPr>
    </w:p>
    <w:p>
      <w:pPr>
        <w:ind w:right="360"/>
        <w:spacing w:after="0" w:line="438" w:lineRule="auto"/>
        <w:rPr>
          <w:sz w:val="20"/>
          <w:szCs w:val="20"/>
          <w:color w:val="auto"/>
        </w:rPr>
      </w:pPr>
      <w:r>
        <w:rPr>
          <w:rFonts w:ascii="Times New Roman" w:cs="Times New Roman" w:eastAsia="Times New Roman" w:hAnsi="Times New Roman"/>
          <w:sz w:val="18"/>
          <w:szCs w:val="18"/>
          <w:color w:val="auto"/>
        </w:rPr>
        <w:t xml:space="preserve">The results of operations for the nine months ended December 28, 2014 are not necessarily indicative of the results that may be expected for the full year. References to fiscal 2014 refer to the fiscal year ended March 30, 2014 and references to fiscal 2015 refer to the fiscal year ending March 29, 2015. </w:t>
      </w:r>
      <w:r>
        <w:rPr>
          <w:rFonts w:ascii="Times New Roman" w:cs="Times New Roman" w:eastAsia="Times New Roman" w:hAnsi="Times New Roman"/>
          <w:sz w:val="18"/>
          <w:szCs w:val="18"/>
          <w:b w:val="1"/>
          <w:bCs w:val="1"/>
          <w:color w:val="auto"/>
        </w:rPr>
        <w:t>Recently Issued Accounting Pronouncements</w:t>
      </w:r>
    </w:p>
    <w:p>
      <w:pPr>
        <w:spacing w:after="0" w:line="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May 2014, the Financial Accounting Standards Board issued new accounting requirements for recognition of revenue from contracts with customers. The requirements of the new standard will be effective for annual reporting periods beginning after December 15, 2016 (our fiscal year ending April 1, 2018), and interim periods within those annual periods. We are currently evaluating the impact of this accounting pronouncement on our results of operations and financial position.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Earnings per Share</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Basic earnings per share (“EPS”) are computed by dividing net earnings by the weighted-average number of common shares outstanding. Diluted EPS includes the incremental shares assumed to be issued upon the exercise of stock options and the incremental shares assumed to be issued as performance units and restricted stock. Basic and diluted EPS were calculated using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3460" w:type="dxa"/>
            <w:vAlign w:val="bottom"/>
            <w:gridSpan w:val="4"/>
          </w:tcPr>
          <w:p>
            <w:pPr>
              <w:ind w:lef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6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
        </w:trPr>
        <w:tc>
          <w:tcPr>
            <w:tcW w:w="47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4"/>
        </w:trPr>
        <w:tc>
          <w:tcPr>
            <w:tcW w:w="4700" w:type="dxa"/>
            <w:vAlign w:val="bottom"/>
          </w:tcPr>
          <w:p>
            <w:pPr>
              <w:spacing w:after="0"/>
              <w:rPr>
                <w:sz w:val="18"/>
                <w:szCs w:val="18"/>
                <w:color w:val="auto"/>
              </w:rPr>
            </w:pPr>
          </w:p>
        </w:tc>
        <w:tc>
          <w:tcPr>
            <w:tcW w:w="17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29,</w:t>
            </w: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5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29,</w:t>
            </w:r>
          </w:p>
        </w:tc>
      </w:tr>
      <w:tr>
        <w:trPr>
          <w:trHeight w:val="238"/>
        </w:trPr>
        <w:tc>
          <w:tcPr>
            <w:tcW w:w="470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outstanding—basic</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10,564,990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10,547,882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10,564,401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10,538,595</w:t>
            </w:r>
          </w:p>
        </w:tc>
      </w:tr>
      <w:tr>
        <w:trPr>
          <w:trHeight w:val="225"/>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Dilutive impact of stock options, performance units, and</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4"/>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49,750</w:t>
            </w:r>
          </w:p>
        </w:tc>
        <w:tc>
          <w:tcPr>
            <w:tcW w:w="12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48,053</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58,747</w:t>
            </w:r>
          </w:p>
        </w:tc>
        <w:tc>
          <w:tcPr>
            <w:tcW w:w="10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52,285</w:t>
            </w: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10,614,740</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10,595,935</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10,623,148</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10,590,880</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December 28, 2014 and December 29, 2013, there were no shares or stock options excluded from the calculation of weighted-average common shares for diluted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76"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Combinations</w:t>
      </w:r>
    </w:p>
    <w:p>
      <w:pPr>
        <w:spacing w:after="0" w:line="225"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Acquisition of The Dumont Company, Inc.</w:t>
      </w:r>
      <w:r>
        <w:rPr>
          <w:rFonts w:ascii="Times New Roman" w:cs="Times New Roman" w:eastAsia="Times New Roman" w:hAnsi="Times New Roman"/>
          <w:sz w:val="18"/>
          <w:szCs w:val="18"/>
          <w:color w:val="auto"/>
        </w:rPr>
        <w:t>: On October 20, 2014, we acquired substantially all of the assets of The Dumont Company, Inc. (“Dumont”)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terms of an asset purchase agreement with Dumont and its shareholders. We paid $10.1 million in cash including a working capital adjustment in the third quarter of fiscal 2015, using available cash on hand to fund the acquisition. Dumont was a water treatment chemical distribution company with revenues of approximately $14.0 million in calendar year 2013. Through this acquisition we added seven operating locations across Florida. The results of operations since the acquisition date, and the assets, including the goodwill associated with this acquisition, are included in our Water Treatment segment. Costs associated with this transaction were not material to our company and were expensed as incurred.</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acquisition has been accounted for under the acquisition method of accounting, under which the total purchase price is allocated to the net tangible and intangible assets of Dumont acquired in connection with the acquisition based on their estimated fair values. We estimated the fair values of the assets acquired and liabilities assumed using a discounted cash flow analysis (income approach). The following table summarizes the preliminary allocation of the purchase price to the fair values assigned to the assets acquired and liabilities assumed at the date of the Dumont acquisition: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9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Amount</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1780" w:type="dxa"/>
            <w:vAlign w:val="bottom"/>
            <w:tcBorders>
              <w:top w:val="single" w:sz="8" w:color="CCEEFF"/>
            </w:tcBorders>
            <w:shd w:val="clear" w:color="auto" w:fill="000000"/>
          </w:tcPr>
          <w:p>
            <w:pPr>
              <w:spacing w:after="0" w:line="20" w:lineRule="exact"/>
              <w:rPr>
                <w:sz w:val="1"/>
                <w:szCs w:val="1"/>
                <w:color w:val="auto"/>
              </w:rPr>
            </w:pPr>
          </w:p>
        </w:tc>
      </w:tr>
      <w:tr>
        <w:trPr>
          <w:trHeight w:val="237"/>
        </w:trPr>
        <w:tc>
          <w:tcPr>
            <w:tcW w:w="8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89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4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859</w:t>
            </w:r>
          </w:p>
        </w:tc>
      </w:tr>
      <w:tr>
        <w:trPr>
          <w:trHeight w:val="243"/>
        </w:trPr>
        <w:tc>
          <w:tcPr>
            <w:tcW w:w="8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89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702</w:t>
            </w:r>
          </w:p>
        </w:tc>
      </w:tr>
      <w:tr>
        <w:trPr>
          <w:trHeight w:val="243"/>
        </w:trPr>
        <w:tc>
          <w:tcPr>
            <w:tcW w:w="8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46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89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37"/>
        </w:trPr>
        <w:tc>
          <w:tcPr>
            <w:tcW w:w="40" w:type="dxa"/>
            <w:vAlign w:val="bottom"/>
          </w:tcPr>
          <w:p>
            <w:pPr>
              <w:spacing w:after="0"/>
              <w:rPr>
                <w:sz w:val="20"/>
                <w:szCs w:val="20"/>
                <w:color w:val="auto"/>
              </w:rPr>
            </w:pPr>
          </w:p>
        </w:tc>
        <w:tc>
          <w:tcPr>
            <w:tcW w:w="8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4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5,710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89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4,358</w:t>
            </w:r>
          </w:p>
        </w:tc>
      </w:tr>
      <w:tr>
        <w:trPr>
          <w:trHeight w:val="257"/>
        </w:trPr>
        <w:tc>
          <w:tcPr>
            <w:tcW w:w="8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purchase price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10,068</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goodwill recognized as a result of this acquisition is primarily attributable to strategic and synergistic benefits, as well as the assembled workforce. Such goodwill is expected to be deductible for tax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preliminary allocation of the purchase price to the assets acquired and liabilities assumed resulted in the recognition of the following intangible assets: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8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Amount</w:t>
            </w:r>
          </w:p>
        </w:tc>
        <w:tc>
          <w:tcPr>
            <w:tcW w:w="22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Life (in years)</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1800" w:type="dxa"/>
            <w:vAlign w:val="bottom"/>
            <w:tcBorders>
              <w:top w:val="single" w:sz="8" w:color="CCEEFF"/>
            </w:tcBorders>
            <w:shd w:val="clear" w:color="auto" w:fill="000000"/>
          </w:tcPr>
          <w:p>
            <w:pPr>
              <w:spacing w:after="0" w:line="20" w:lineRule="exact"/>
              <w:rPr>
                <w:sz w:val="1"/>
                <w:szCs w:val="1"/>
                <w:color w:val="auto"/>
              </w:rPr>
            </w:pPr>
          </w:p>
        </w:tc>
        <w:tc>
          <w:tcPr>
            <w:tcW w:w="2280" w:type="dxa"/>
            <w:vAlign w:val="bottom"/>
            <w:tcBorders>
              <w:top w:val="single" w:sz="8" w:color="CCEEFF"/>
            </w:tcBorders>
            <w:shd w:val="clear" w:color="auto" w:fill="000000"/>
          </w:tcPr>
          <w:p>
            <w:pPr>
              <w:spacing w:after="0" w:line="20" w:lineRule="exact"/>
              <w:rPr>
                <w:sz w:val="1"/>
                <w:szCs w:val="1"/>
                <w:color w:val="auto"/>
              </w:rPr>
            </w:pPr>
          </w:p>
        </w:tc>
      </w:tr>
      <w:tr>
        <w:trPr>
          <w:trHeight w:val="237"/>
        </w:trPr>
        <w:tc>
          <w:tcPr>
            <w:tcW w:w="6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2,810</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w:t>
            </w: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699</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3,509</w:t>
            </w:r>
          </w:p>
        </w:tc>
        <w:tc>
          <w:tcPr>
            <w:tcW w:w="22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9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194"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Acquisition of Advance Chemical Solutions, Inc.</w:t>
      </w:r>
      <w:r>
        <w:rPr>
          <w:rFonts w:ascii="Times New Roman" w:cs="Times New Roman" w:eastAsia="Times New Roman" w:hAnsi="Times New Roman"/>
          <w:sz w:val="18"/>
          <w:szCs w:val="18"/>
          <w:color w:val="auto"/>
        </w:rPr>
        <w:t>: On October 1, 2013, we acquired substantially all of the assets of Advance Chemical Solutions,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(“ACS”). We paid $2.4 million in cash at closing, and have paid an additional $0.4 million of a potential $0.5 million earnout through the third quarter of fiscal 2015. We may be obligated to pay the remainder of the earnout over the next two years based on the achievement of certain financial performance targets.</w:t>
      </w:r>
    </w:p>
    <w:p>
      <w:pPr>
        <w:spacing w:after="0" w:line="18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ACS acquisition was accounted for under the acquisition method of accounting, under which the total estimated purchase price is allocated to the net tangible and intangible assets acquired based on their estimated fair values. We estimated the fair values of the assets acquired and liabilities assumed to be $2.8 million using a discounted cash flow analysis (income approach).</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ACS had revenues of approximately $4.0 million for the 12 months ended September 30, 2013. The results of its operations since the acquisition date, and the assets, are included in our Water Treatment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819"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4 – Cash and Cash Equivalents and Investments</w:t>
      </w:r>
    </w:p>
    <w:p>
      <w:pPr>
        <w:spacing w:after="0" w:line="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financial assets that are measured at fair value on a recurring basis, and indicates the fair value hierarchy of the valuation techniques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5"/>
        </w:trPr>
        <w:tc>
          <w:tcPr>
            <w:tcW w:w="5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9"/>
                <w:szCs w:val="19"/>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18,994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5"/>
        </w:trPr>
        <w:tc>
          <w:tcPr>
            <w:tcW w:w="5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9"/>
                <w:szCs w:val="19"/>
                <w:color w:val="auto"/>
              </w:rPr>
            </w:pPr>
          </w:p>
        </w:tc>
        <w:tc>
          <w:tcPr>
            <w:tcW w:w="13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33,486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Municipal bonds</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1" w:lineRule="exact"/>
        <w:rPr>
          <w:sz w:val="20"/>
          <w:szCs w:val="20"/>
          <w:color w:val="auto"/>
        </w:rPr>
      </w:pPr>
    </w:p>
    <w:p>
      <w:pPr>
        <w:jc w:val="both"/>
        <w:ind w:right="340"/>
        <w:spacing w:after="0" w:line="258" w:lineRule="auto"/>
        <w:rPr>
          <w:sz w:val="20"/>
          <w:szCs w:val="20"/>
          <w:color w:val="auto"/>
        </w:rPr>
      </w:pPr>
      <w:r>
        <w:rPr>
          <w:rFonts w:ascii="Times New Roman" w:cs="Times New Roman" w:eastAsia="Times New Roman" w:hAnsi="Times New Roman"/>
          <w:sz w:val="18"/>
          <w:szCs w:val="18"/>
          <w:color w:val="auto"/>
        </w:rPr>
        <w:t>Our financial assets that are measured at fair value on a recurring basis and fall within valuation technique Level 2 are certificates of deposit (“CDs”) and municipal bonds, with original maturities ranging from three months to three years. The CDs and municipal bonds are classified as investments in current assets and noncurrent assets on the condensed consolidated balance sheets. As of December 28, 2014, the combined CDs and municipal bonds had a fair value of $16.1 million in current assets and $16.2 million in noncurrent assets compared to CDs and municipal bonds with a fair value of $13.8 million in current assets and $15.9 million in noncurrent assets as of March 30,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Inventories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at December 28, 2014 and March 30, 2014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24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30,</w:t>
            </w:r>
          </w:p>
        </w:tc>
      </w:tr>
      <w:tr>
        <w:trPr>
          <w:trHeight w:val="225"/>
        </w:trPr>
        <w:tc>
          <w:tcPr>
            <w:tcW w:w="8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9"/>
                <w:szCs w:val="19"/>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 (FIFO basis)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31,344</w:t>
            </w:r>
          </w:p>
        </w:tc>
      </w:tr>
      <w:tr>
        <w:trPr>
          <w:trHeight w:val="243"/>
        </w:trPr>
        <w:tc>
          <w:tcPr>
            <w:tcW w:w="80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LIFO reserve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inventory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37,016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26,192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first in, first out (“FIFO”) value of inventories accounted for under the last in, first out (“LIFO”) method was $38.8 million at December 28, 2014 and $28.5 million at March 30, 2014. The remainder of the inventory was valued and accounted for under the FIFO method.</w:t>
      </w:r>
    </w:p>
    <w:p>
      <w:pPr>
        <w:spacing w:after="0" w:line="162" w:lineRule="exact"/>
        <w:rPr>
          <w:sz w:val="20"/>
          <w:szCs w:val="20"/>
          <w:color w:val="auto"/>
        </w:rPr>
      </w:pPr>
    </w:p>
    <w:p>
      <w:pPr>
        <w:ind w:right="780"/>
        <w:spacing w:after="0" w:line="261" w:lineRule="auto"/>
        <w:rPr>
          <w:sz w:val="20"/>
          <w:szCs w:val="20"/>
          <w:color w:val="auto"/>
        </w:rPr>
      </w:pPr>
      <w:r>
        <w:rPr>
          <w:rFonts w:ascii="Times New Roman" w:cs="Times New Roman" w:eastAsia="Times New Roman" w:hAnsi="Times New Roman"/>
          <w:sz w:val="18"/>
          <w:szCs w:val="18"/>
          <w:color w:val="auto"/>
        </w:rPr>
        <w:t>The LIFO reserve increased $0.3 million during the three months ended December 28, 2014, and changed nominally during the three months ended December 29, 2013. During the nine months ended December 28, 2014, the LIFO reserve increased</w:t>
      </w:r>
    </w:p>
    <w:p>
      <w:pPr>
        <w:ind w:right="560"/>
        <w:spacing w:after="0" w:line="261" w:lineRule="auto"/>
        <w:rPr>
          <w:sz w:val="20"/>
          <w:szCs w:val="20"/>
          <w:color w:val="auto"/>
        </w:rPr>
      </w:pPr>
      <w:r>
        <w:rPr>
          <w:rFonts w:ascii="Times New Roman" w:cs="Times New Roman" w:eastAsia="Times New Roman" w:hAnsi="Times New Roman"/>
          <w:sz w:val="18"/>
          <w:szCs w:val="18"/>
          <w:color w:val="auto"/>
        </w:rPr>
        <w:t>$0.9 million, and for the nine months ended December 29, 2013 the LIFO reserve decreased $0.2 million. The valuation of LIFO inventory for interim periods is based on our estimates of year-end inventory levels and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792"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6 – Goodwill and Intangible Assets</w:t>
      </w:r>
    </w:p>
    <w:p>
      <w:pPr>
        <w:spacing w:after="0" w:line="9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carrying amount of goodwill was $11.7 million as of December 28, 2014 and $7.4 million as of March 30, 2014. The increase in goodwill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goodwill recorded in conjunction with the acquisition of Dumont as discussed in Note 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A summary of our intangible assets as of December 28, 2014 and March 30, 2014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28, 2014</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March 30, 2014</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2"/>
                <w:szCs w:val="12"/>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2"/>
                <w:szCs w:val="12"/>
                <w:color w:val="auto"/>
              </w:rPr>
            </w:pPr>
          </w:p>
        </w:tc>
        <w:tc>
          <w:tcPr>
            <w:tcW w:w="820" w:type="dxa"/>
            <w:vAlign w:val="bottom"/>
          </w:tcPr>
          <w:p>
            <w:pPr>
              <w:jc w:val="right"/>
              <w:ind w:right="254"/>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2"/>
                <w:szCs w:val="12"/>
                <w:color w:val="auto"/>
              </w:rPr>
            </w:pPr>
          </w:p>
        </w:tc>
        <w:tc>
          <w:tcPr>
            <w:tcW w:w="1220" w:type="dxa"/>
            <w:vAlign w:val="bottom"/>
          </w:tcPr>
          <w:p>
            <w:pPr>
              <w:jc w:val="right"/>
              <w:ind w:right="215"/>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7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60"/>
        </w:trPr>
        <w:tc>
          <w:tcPr>
            <w:tcW w:w="38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74"/>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3"/>
                <w:szCs w:val="13"/>
                <w:color w:val="auto"/>
              </w:rPr>
            </w:pPr>
          </w:p>
        </w:tc>
        <w:tc>
          <w:tcPr>
            <w:tcW w:w="1220" w:type="dxa"/>
            <w:vAlign w:val="bottom"/>
          </w:tcPr>
          <w:p>
            <w:pPr>
              <w:jc w:val="right"/>
              <w:ind w:right="215"/>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8,148</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6,913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(1,292)</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Trademark</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1,335</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(421)</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Trade secrets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962</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(768)</w:t>
            </w: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Carrier relationships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800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(257)</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341</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(331)</w:t>
            </w: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10,189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10,351</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(3,069)</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7,282</w:t>
            </w:r>
          </w:p>
        </w:tc>
        <w:tc>
          <w:tcPr>
            <w:tcW w:w="0" w:type="dxa"/>
            <w:vAlign w:val="bottom"/>
          </w:tcPr>
          <w:p>
            <w:pPr>
              <w:spacing w:after="0"/>
              <w:rPr>
                <w:sz w:val="1"/>
                <w:szCs w:val="1"/>
                <w:color w:val="auto"/>
              </w:rPr>
            </w:pPr>
          </w:p>
        </w:tc>
      </w:tr>
      <w:tr>
        <w:trPr>
          <w:trHeight w:val="243"/>
        </w:trPr>
        <w:tc>
          <w:tcPr>
            <w:tcW w:w="3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Indefinite-life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1,227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1,227</w:t>
            </w:r>
          </w:p>
        </w:tc>
        <w:tc>
          <w:tcPr>
            <w:tcW w:w="26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11,416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11,578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(3,069)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Accumulated Other Comprehensive Loss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accumulated other comprehensive loss on our consolidated balance sheet, net of tax, are as follows:</w:t>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26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30,</w:t>
            </w:r>
          </w:p>
        </w:tc>
      </w:tr>
      <w:tr>
        <w:trPr>
          <w:trHeight w:val="225"/>
        </w:trPr>
        <w:tc>
          <w:tcPr>
            <w:tcW w:w="75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9"/>
                <w:szCs w:val="19"/>
                <w:color w:val="auto"/>
              </w:rPr>
            </w:pP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4"/>
        </w:trPr>
        <w:tc>
          <w:tcPr>
            <w:tcW w:w="75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loss on:</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Post-retirement plan liability</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7"/>
        </w:trPr>
        <w:tc>
          <w:tcPr>
            <w:tcW w:w="7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Share-Based Compensation</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Performance-Based Restricted Stock Units. </w:t>
      </w:r>
      <w:r>
        <w:rPr>
          <w:rFonts w:ascii="Times New Roman" w:cs="Times New Roman" w:eastAsia="Times New Roman" w:hAnsi="Times New Roman"/>
          <w:sz w:val="18"/>
          <w:szCs w:val="18"/>
          <w:color w:val="auto"/>
        </w:rPr>
        <w:t>Our Board of Directors (the “Board”) approved a performance-based equity compensation arrangement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during the first quarters of each of fiscal 2015 and 2014.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50,874 shares in the aggregate for fiscal 2015. The restricted shares issued will fully vest two years after the last day of the fiscal year on which the performance is based. We are recording the compensation expense for the outstanding performance share units and the converted restricted stock over the life of the awards.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restricted stock activity for the nine months ended December 28, 2014:</w:t>
      </w:r>
    </w:p>
    <w:p>
      <w:pPr>
        <w:spacing w:after="0" w:line="15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36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356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49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52,104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36.99</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9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24,932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34.45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4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49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53,580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37.55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bottom w:val="single" w:sz="8" w:color="CCEEFF"/>
            </w:tcBorders>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388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792" w:right="479" w:bottom="1440" w:gutter="0" w:footer="0" w:header="0"/>
        </w:sectPr>
      </w:pPr>
    </w:p>
    <w:bookmarkStart w:id="10" w:name="page11"/>
    <w:bookmarkEnd w:id="10"/>
    <w:p>
      <w:pPr>
        <w:ind w:right="40"/>
        <w:spacing w:after="0" w:line="261" w:lineRule="auto"/>
        <w:rPr>
          <w:sz w:val="20"/>
          <w:szCs w:val="20"/>
          <w:color w:val="auto"/>
        </w:rPr>
      </w:pPr>
      <w:r>
        <w:rPr>
          <w:rFonts w:ascii="Times New Roman" w:cs="Times New Roman" w:eastAsia="Times New Roman" w:hAnsi="Times New Roman"/>
          <w:sz w:val="18"/>
          <w:szCs w:val="18"/>
          <w:color w:val="auto"/>
        </w:rPr>
        <w:t>We recorded compensation expense of $0.3 million and $0.9 million related to performance share units and restricted stock for the three and nine months ended December 28, 2014. We recorded compensation expense of $0.2 million and $0.6 million related to performance share units and restricted stock for the three and nine months ended December 29, 2013. Substantially all of the compensation expense was recorded in selling, general and administrative expenses in the condensed consolidated statements of income.</w:t>
      </w:r>
    </w:p>
    <w:p>
      <w:pPr>
        <w:spacing w:after="0" w:line="17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As part of their retainer, each non-employee director receives an annual grant of restricted stock for their Board services.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awards are expensed over the requisite vesting period, which is one year from the date of issuance, based on the market value on the date of grant. As of December 28, 2014, there were 7,077 shares of restricted stock with a weighted averaged grant date fair value of $34.61 outstanding under this program. Compensation expense for the three and nine months ended December 28, 2014 and December 29, 2013 related to restricted stock awards to the Board was $0.1 million and $0.2 million, respectively.</w:t>
      </w:r>
    </w:p>
    <w:p>
      <w:pPr>
        <w:spacing w:after="0" w:line="18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Stock Option Awards. </w:t>
      </w:r>
      <w:r>
        <w:rPr>
          <w:rFonts w:ascii="Times New Roman" w:cs="Times New Roman" w:eastAsia="Times New Roman" w:hAnsi="Times New Roman"/>
          <w:sz w:val="18"/>
          <w:szCs w:val="18"/>
          <w:color w:val="auto"/>
        </w:rPr>
        <w:t>The Board previously approved a long-term incentive equity compensation arrangement for our executive officers that provided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of non-qualified stock options that vested at the end of a three-year period. No stock options have been granted since our fiscal year ended March 28, 2010 and as of December 28, 2014, we had no stock options outstanding. During the nine months ended December 28, 2014, 9,333 options were exercised with an exercise price of $19.90. No expense was recorded for the three and nine months ended December 28, 2014 and December 29, 2013 related to the value of stock options.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 Repurchase Program</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May 29, 2014, our Board authorized a share repurchase program of up to 300,000 shares of our outstanding common shares. Under the program, we are authorized to repurchase shares for cash on the open market or in privately negotiated transactions subject to applicable securities laws and regulations. Upon repurchase of the shares, we reduced our common stock for the par value of the shares with the excess applied against additional paid-in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nine months of fiscal 2015 we repurchased 40,020 shares of common stock with an aggregate purchase price of $1.5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Litigation, Commitments and Contingencies</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no material pending legal proceedings, other than ordinary routine litigation incidental to the business, to which we or any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are a party or of which any of our property is the subject. Legal fees associated with such matters are expensed as incurred.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two reportable segments: Industrial and Water Treatment. The accounting policies of the segments are the same as those described in the summary of significant accounting policies as disclosed in our fiscal 2014 Annual Report on Form 10-K.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the nature of our business, it is not practical to disclose revenues from external customers for each product or each group of similar products. No single customer’s revenues amounted to 10% or more of our total revenue. Sales are primarily within the United States and all assets are located within the United States.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74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Water</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5"/>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Industrial</w:t>
            </w: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Treatment</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4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December 28, 2014:</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Sales</w:t>
            </w:r>
          </w:p>
        </w:tc>
        <w:tc>
          <w:tcPr>
            <w:tcW w:w="1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57,811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26,014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83,825</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13,642</w:t>
            </w:r>
          </w:p>
        </w:tc>
      </w:tr>
      <w:tr>
        <w:trPr>
          <w:trHeight w:val="243"/>
        </w:trPr>
        <w:tc>
          <w:tcPr>
            <w:tcW w:w="20" w:type="dxa"/>
            <w:vAlign w:val="bottom"/>
          </w:tcPr>
          <w:p>
            <w:pPr>
              <w:spacing w:after="0"/>
              <w:rPr>
                <w:sz w:val="21"/>
                <w:szCs w:val="21"/>
                <w:color w:val="auto"/>
              </w:rPr>
            </w:pPr>
          </w:p>
        </w:tc>
        <w:tc>
          <w:tcPr>
            <w:tcW w:w="4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8,697</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4,945</w:t>
            </w:r>
          </w:p>
        </w:tc>
      </w:tr>
      <w:tr>
        <w:trPr>
          <w:trHeight w:val="243"/>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Three months ended December 29, 2013:</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w:t>
            </w:r>
          </w:p>
        </w:tc>
        <w:tc>
          <w:tcPr>
            <w:tcW w:w="1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81,697</w:t>
            </w:r>
          </w:p>
        </w:tc>
      </w:tr>
      <w:tr>
        <w:trPr>
          <w:trHeight w:val="243"/>
        </w:trPr>
        <w:tc>
          <w:tcPr>
            <w:tcW w:w="20" w:type="dxa"/>
            <w:vAlign w:val="bottom"/>
          </w:tcPr>
          <w:p>
            <w:pPr>
              <w:spacing w:after="0"/>
              <w:rPr>
                <w:sz w:val="21"/>
                <w:szCs w:val="21"/>
                <w:color w:val="auto"/>
              </w:rPr>
            </w:pPr>
          </w:p>
        </w:tc>
        <w:tc>
          <w:tcPr>
            <w:tcW w:w="4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13,550</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8,167</w:t>
            </w:r>
          </w:p>
        </w:tc>
      </w:tr>
      <w:tr>
        <w:trPr>
          <w:trHeight w:val="243"/>
        </w:trPr>
        <w:tc>
          <w:tcPr>
            <w:tcW w:w="20" w:type="dxa"/>
            <w:vAlign w:val="bottom"/>
          </w:tcPr>
          <w:p>
            <w:pPr>
              <w:spacing w:after="0"/>
              <w:rPr>
                <w:sz w:val="21"/>
                <w:szCs w:val="21"/>
                <w:color w:val="auto"/>
              </w:rPr>
            </w:pPr>
          </w:p>
        </w:tc>
        <w:tc>
          <w:tcPr>
            <w:tcW w:w="4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5,383</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December 28, 2014:</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Sales</w:t>
            </w:r>
          </w:p>
        </w:tc>
        <w:tc>
          <w:tcPr>
            <w:tcW w:w="1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183,292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87,450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270,742</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50,260</w:t>
            </w:r>
          </w:p>
        </w:tc>
      </w:tr>
      <w:tr>
        <w:trPr>
          <w:trHeight w:val="243"/>
        </w:trPr>
        <w:tc>
          <w:tcPr>
            <w:tcW w:w="20" w:type="dxa"/>
            <w:vAlign w:val="bottom"/>
          </w:tcPr>
          <w:p>
            <w:pPr>
              <w:spacing w:after="0"/>
              <w:rPr>
                <w:sz w:val="21"/>
                <w:szCs w:val="21"/>
                <w:color w:val="auto"/>
              </w:rPr>
            </w:pPr>
          </w:p>
        </w:tc>
        <w:tc>
          <w:tcPr>
            <w:tcW w:w="4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25,843</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24,417</w:t>
            </w:r>
          </w:p>
        </w:tc>
      </w:tr>
      <w:tr>
        <w:trPr>
          <w:trHeight w:val="243"/>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Nine months ended December 29, 2013:</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w:t>
            </w:r>
          </w:p>
        </w:tc>
        <w:tc>
          <w:tcPr>
            <w:tcW w:w="1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182,224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80,816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263,040</w:t>
            </w:r>
          </w:p>
        </w:tc>
      </w:tr>
      <w:tr>
        <w:trPr>
          <w:trHeight w:val="243"/>
        </w:trPr>
        <w:tc>
          <w:tcPr>
            <w:tcW w:w="20" w:type="dxa"/>
            <w:vAlign w:val="bottom"/>
          </w:tcPr>
          <w:p>
            <w:pPr>
              <w:spacing w:after="0"/>
              <w:rPr>
                <w:sz w:val="21"/>
                <w:szCs w:val="21"/>
                <w:color w:val="auto"/>
              </w:rPr>
            </w:pPr>
          </w:p>
        </w:tc>
        <w:tc>
          <w:tcPr>
            <w:tcW w:w="4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47,351</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25,430</w:t>
            </w:r>
          </w:p>
        </w:tc>
      </w:tr>
      <w:tr>
        <w:trPr>
          <w:trHeight w:val="243"/>
        </w:trPr>
        <w:tc>
          <w:tcPr>
            <w:tcW w:w="20" w:type="dxa"/>
            <w:vAlign w:val="bottom"/>
          </w:tcPr>
          <w:p>
            <w:pPr>
              <w:spacing w:after="0"/>
              <w:rPr>
                <w:sz w:val="21"/>
                <w:szCs w:val="21"/>
                <w:color w:val="auto"/>
              </w:rPr>
            </w:pPr>
          </w:p>
        </w:tc>
        <w:tc>
          <w:tcPr>
            <w:tcW w:w="4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21,921</w:t>
            </w:r>
          </w:p>
        </w:tc>
      </w:tr>
      <w:tr>
        <w:trPr>
          <w:trHeight w:val="48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400"/>
          </w:cols>
          <w:pgMar w:left="760" w:top="738" w:right="739" w:bottom="1440" w:gutter="0" w:footer="0" w:header="0"/>
        </w:sectPr>
      </w:pPr>
    </w:p>
    <w:bookmarkStart w:id="12" w:name="page13"/>
    <w:bookmarkEnd w:id="12"/>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color w:val="auto"/>
        </w:rPr>
        <w:t>MANAGEMENT’S DISCUSSION AND ANALYSIS OF FINANCIAL CONDITION AND RESULTS OF OPERATIONS</w:t>
      </w:r>
    </w:p>
    <w:p>
      <w:pPr>
        <w:spacing w:after="0" w:line="3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is a discussion and analysis of our financial condition and results of operations for the three and nine months ended December 28, 2014 as compared to December 29, 2013. This discussion should be read in conjunction with the Condensed Consolidated Financial Statements and Notes to Condensed Consolidated Financial Statements included in this Form 10-Q and Item 8 of our Annual Report on Form 10-K for the fiscal year ended March 30, 2014 (“fiscal 2014”). References to fiscal 2015 refer to the fiscal year ending March 29, 2015.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9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derive substantially all of our revenues from the sale of chemicals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products, including repackaging, blending, and manufacturing certain products.</w:t>
      </w:r>
    </w:p>
    <w:p>
      <w:pPr>
        <w:spacing w:after="0" w:line="25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On October 20, 2014, we acquired substantially all of the assets of The Dumont Company, Inc. (“Dumont”) under the terms of an asset purchase agreement with Dumont and its shareholders. We paid $10.1 million in cash including a working capital adjustment, using available cash on hand to fund the acquisition. Dumont was a water treatment chemical distribution company with revenues of approximately $14.0 million in calendar year 2013. Through this acquisition we added seven operating locations across Florida serving municipal water and wastewater treatment, private utilities, commercial swimming pools, irrigation water treatment and food processing chemical markets. The results of operations since the acquisition date are included in our Water Treatment Segment.</w:t>
      </w:r>
    </w:p>
    <w:p>
      <w:pPr>
        <w:spacing w:after="0" w:line="1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third quarter of fiscal 2014, we acquired substantially all the assets of Advance Chemical Solutions, Inc. (“ACS”). We paid $2.4 million in cash at closing, and have paid an additional $0.4 million of a potential $0.5 million earnout through the third quarter of fiscal 2015. We may be obligated to pay the remainder of the earnout over the next two years based on the achievement of certain financial performance targets. ACS had revenues of approximately $4.0 million for the 12 months ended September 30, 2013. The results of its operations since the acquisition date are included in our Water Treatment segment.</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fiscal 2014, we exited a leased facility used to serve our bulk pharmaceutical customers. As a result, in the first half of fiscal 2014 we recorded a pre-tax charge of approximately $0.8 million in cost of sales in our Industrial segment (approximately $0.5 million after tax) primarily related to accelerated depreciation charges related to exiting this facility.</w:t>
      </w:r>
    </w:p>
    <w:p>
      <w:pPr>
        <w:spacing w:after="0" w:line="176"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In the first quarter of fiscal 2015, our Board of Directors authorized a share repurchase program of up to 300,000 shares of our outstanding common stock. The shares may be repurchased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the first nine months of fiscal 2015 we repurchased 40,020 shares of common stock with an aggregate purchase price of $1.5 million.</w:t>
      </w:r>
    </w:p>
    <w:p>
      <w:pPr>
        <w:spacing w:after="0" w:line="18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We use the last in, first out (“LIFO”) method for valuing substantially all our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We recorded a $0.3 million increase in our LIFO reserve for the three months ended December 28, 2014 and a $0.9 million increase in our LIFO reserve for the nine months ended December 28, 2014, both of which decreased our gross profit in those periods by those amounts. The LIFO reserve for the three months ended December 29, 2013 changed nominally and we recorded a $0.2 million decrease in our LIFO reserve for the nine months ended December 29, 2013, which increased our reported gross profit by that amount.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disclose the sales of our bulk commodity products as a percentage of total sales dollars. We define bulk commodity products to consist of products that we do not modify in any way, but receive, store, and ship from our facilities, or direct ship to our customers in large quantities.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percentage relationship of certain items to sales for the period indicated: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360" w:type="dxa"/>
            <w:vAlign w:val="bottom"/>
            <w:gridSpan w:val="4"/>
          </w:tcPr>
          <w:p>
            <w:pPr>
              <w:ind w:lef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4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
        </w:trPr>
        <w:tc>
          <w:tcPr>
            <w:tcW w:w="48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28, 2014</w:t>
            </w: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29, 2013</w:t>
            </w: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28, 2014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29, 2013</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6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400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Three Months Ended December 28, 2014 Compared to the Three Months Ended December 29, 2013 </w:t>
      </w:r>
      <w:r>
        <w:rPr>
          <w:rFonts w:ascii="Times New Roman" w:cs="Times New Roman" w:eastAsia="Times New Roman" w:hAnsi="Times New Roman"/>
          <w:sz w:val="18"/>
          <w:szCs w:val="18"/>
          <w:i w:val="1"/>
          <w:iCs w:val="1"/>
          <w:color w:val="auto"/>
        </w:rPr>
        <w:t>Sales</w:t>
      </w:r>
    </w:p>
    <w:p>
      <w:pPr>
        <w:spacing w:after="0" w:line="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Sales increased $2.1 million, or 2.6%, to $83.8 million for the three months ended December 28, 2014, as compared to $81.7 million for the same period of the prior year. Sales of bulk commodity products accounted for approximately 23% of sales dollars during each of the three-month periods ended December 28, 2014 and December 29, 2013.</w:t>
      </w:r>
    </w:p>
    <w:p>
      <w:pPr>
        <w:spacing w:after="0" w:line="12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Industrial Segment. </w:t>
      </w:r>
      <w:r>
        <w:rPr>
          <w:rFonts w:ascii="Times New Roman" w:cs="Times New Roman" w:eastAsia="Times New Roman" w:hAnsi="Times New Roman"/>
          <w:sz w:val="18"/>
          <w:szCs w:val="18"/>
          <w:color w:val="auto"/>
        </w:rPr>
        <w:t>Industrial segment sales decreased $0.7 million, or 1.2%, to $57.8 million for the three months ended December 28, 2014,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$58.5 million for the same period of the prior year. Our overall volumes increased from the same period a year ago; however, the product mix for the quarter shifted to products with lower per-unit selling prices. Additionally, lower raw material prices resulted in lower per-unit selling prices.</w:t>
      </w:r>
    </w:p>
    <w:p>
      <w:pPr>
        <w:spacing w:after="0" w:line="120"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Water Treatment Segment. </w:t>
      </w:r>
      <w:r>
        <w:rPr>
          <w:rFonts w:ascii="Times New Roman" w:cs="Times New Roman" w:eastAsia="Times New Roman" w:hAnsi="Times New Roman"/>
          <w:sz w:val="18"/>
          <w:szCs w:val="18"/>
          <w:color w:val="auto"/>
        </w:rPr>
        <w:t>Water Treatment segment sales increased $2.8 million, or 12.2%, to $26.0 million, as compared to $23.2 million for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the prior year. The increase was primarily driven by sales of $2.5 million from our newly-acquired Florida locations.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7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Gross profit was $13.6 million, or 16.3% of sales, for the three months ended December 28, 2014, unchanged from $13.6 million, or 16.6% of sales, for the same period of the prior year. The LIFO method of valuing inventory decreased gross profit by $0.3 million for the three months ended December 28, 2014 and had a nominal impact on gross profit for the three months ended December 29, 2013.</w:t>
      </w:r>
    </w:p>
    <w:p>
      <w:pPr>
        <w:spacing w:after="0" w:line="120"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Industrial Segment. </w:t>
      </w:r>
      <w:r>
        <w:rPr>
          <w:rFonts w:ascii="Times New Roman" w:cs="Times New Roman" w:eastAsia="Times New Roman" w:hAnsi="Times New Roman"/>
          <w:sz w:val="18"/>
          <w:szCs w:val="18"/>
          <w:color w:val="auto"/>
        </w:rPr>
        <w:t>Gross profit for the Industrial segment decreased $0.3 million to $7.0 million, or 12.1% of sales, for the three months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 2014, as compared to $7.3 million, or 12.6% of sales, for the same period of the prior year. While sales volumes increased year-over-year, the decline in gross profit was a result of a mix shift to products that carry lower per-unit margins. The LIFO method of valuing inventory decreased year-over-year gross profit by $0.3 million.</w:t>
      </w:r>
    </w:p>
    <w:p>
      <w:pPr>
        <w:spacing w:after="0" w:line="12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Water Treatment Segment. </w:t>
      </w:r>
      <w:r>
        <w:rPr>
          <w:rFonts w:ascii="Times New Roman" w:cs="Times New Roman" w:eastAsia="Times New Roman" w:hAnsi="Times New Roman"/>
          <w:sz w:val="18"/>
          <w:szCs w:val="18"/>
          <w:color w:val="auto"/>
        </w:rPr>
        <w:t>Gross profit for the Water Treatment segment increased $0.4 million to $6.6 million, or 25.5% of sales,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28, 2014, as compared to $6.2 million, or 26.7% of sales, for the same period of the prior year. The increase in gross profit dollars was primarily a result of our newly-acquired Florida locations. However, gross profit as a percentage of sales decreased primarily due to the addition of these seven new branches that have lower per-branch revenues and the costs to operate represent a higher percentage of their sales than many of our existing branches. The LIFO method of valuing inventory had a negligible year-over-year impact on this segment’s gross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792"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$8.7 million, or 10.4% of sales for the three months ended December 28, 2014 as compared to $8.2 million, or 10.0% of sales, for the same period of the prior year. The increased expenses were primarily a result of operating the newly-acquired Water Treatment locations in Florida.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73"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Operating income was $4.9 million for the three months ended December 28, 2014 as compared to $5.4 million for the same period of the prior year. Operating income for the Industrial segment decreased $0.3 million, due to the decrease in gross profit described above. Operating income for the Water Treatment segment decreased $0.2 million, as the increase in gross profit was more than offset by higher selling, general and administrative expenses.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7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effective income tax rate was 36.6% for the three months ended December 28, 2014 compared to 35.5% for the same period of the prior year. The effective tax rate is impacted by projected levels of annual taxable income, permanent items, and state taxes.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December 28, 2014 Compared to the Nine Months Ended December 29, 2013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22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Sale increased $7.7 million, or 2.9%, to $270.7 million for the nine months ended December 28, 2014, as compared to $263.0 million for the same period of the prior year. Sales of bulk chemicals accounted for approximately 21% of sales dollars during the nine months ended December 28, 2014, as compared to 22% during the same period of the prior year.</w:t>
      </w:r>
    </w:p>
    <w:p>
      <w:pPr>
        <w:spacing w:after="0" w:line="17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Industrial Segment. </w:t>
      </w:r>
      <w:r>
        <w:rPr>
          <w:rFonts w:ascii="Times New Roman" w:cs="Times New Roman" w:eastAsia="Times New Roman" w:hAnsi="Times New Roman"/>
          <w:sz w:val="18"/>
          <w:szCs w:val="18"/>
          <w:color w:val="auto"/>
        </w:rPr>
        <w:t>Industrial segment sales increased $1.1 million, or 0.6%, to $183.3 million for the nine months ended December 28, 2014,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$182.2 million for the same period of the prior year. Our overall volumes increased from the same period a year ago; however, competitive pricing pressures and lower raw material prices resulted in lower per-unit selling prices.</w:t>
      </w:r>
    </w:p>
    <w:p>
      <w:pPr>
        <w:spacing w:after="0" w:line="17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Water Treatment Segment. </w:t>
      </w:r>
      <w:r>
        <w:rPr>
          <w:rFonts w:ascii="Times New Roman" w:cs="Times New Roman" w:eastAsia="Times New Roman" w:hAnsi="Times New Roman"/>
          <w:sz w:val="18"/>
          <w:szCs w:val="18"/>
          <w:color w:val="auto"/>
        </w:rPr>
        <w:t>Water Treatment segment sales increased $6.6 million, or 8.2%, to $87.5 million for the nine months ended December 28, 2014,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$80.8 million for the same period of the prior year. Our recently-acquired Florida and Oklahoma locations contributed $4.4 million to the increase in sales for the period. In addition, growth in our newer branches and increased sales of specialty chemicals were partially offset by lower sales at certain of our larger branches in our more mature markets where we believe the weather caused reduced municipal pumping rates during the summer months.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right="2660"/>
        <w:spacing w:after="0" w:line="261" w:lineRule="auto"/>
        <w:rPr>
          <w:sz w:val="20"/>
          <w:szCs w:val="20"/>
          <w:color w:val="auto"/>
        </w:rPr>
      </w:pPr>
      <w:r>
        <w:rPr>
          <w:rFonts w:ascii="Times New Roman" w:cs="Times New Roman" w:eastAsia="Times New Roman" w:hAnsi="Times New Roman"/>
          <w:sz w:val="18"/>
          <w:szCs w:val="18"/>
          <w:color w:val="auto"/>
        </w:rPr>
        <w:t>Gross profit increased $2.9 million to $50.3 million, or 18.6% of sales, for the nine months ended December 28, 2014, as compared to $47.4 million, or 18.0% of sales, for the same period of the prior year. The prior year's gross profit</w:t>
      </w:r>
    </w:p>
    <w:p>
      <w:pPr>
        <w:spacing w:after="0" w:line="255" w:lineRule="auto"/>
        <w:rPr>
          <w:sz w:val="20"/>
          <w:szCs w:val="20"/>
          <w:color w:val="auto"/>
        </w:rPr>
      </w:pPr>
      <w:r>
        <w:rPr>
          <w:rFonts w:ascii="Times New Roman" w:cs="Times New Roman" w:eastAsia="Times New Roman" w:hAnsi="Times New Roman"/>
          <w:sz w:val="18"/>
          <w:szCs w:val="18"/>
          <w:color w:val="auto"/>
        </w:rPr>
        <w:t>was negatively impacted by $0.8 million of charges related to exiting a leased facility used to serve our bulk pharmaceutical customers. The LIFO method of valuing inventory decreased gross profit by $0.9 million for the nine months ended December 28, 2014, and increased gross profit by $0.2 million for the nine months ended December 29, 2013.</w:t>
      </w:r>
    </w:p>
    <w:p>
      <w:pPr>
        <w:spacing w:after="0" w:line="184" w:lineRule="exact"/>
        <w:rPr>
          <w:sz w:val="20"/>
          <w:szCs w:val="20"/>
          <w:color w:val="auto"/>
        </w:rPr>
      </w:pPr>
    </w:p>
    <w:p>
      <w:pPr>
        <w:ind w:right="230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Industrial Segment. </w:t>
      </w:r>
      <w:r>
        <w:rPr>
          <w:rFonts w:ascii="Times New Roman" w:cs="Times New Roman" w:eastAsia="Times New Roman" w:hAnsi="Times New Roman"/>
          <w:sz w:val="18"/>
          <w:szCs w:val="18"/>
          <w:color w:val="auto"/>
        </w:rPr>
        <w:t>Gross profit for the Industrial segment increased $0.9 million to $24.7 million, or 13.5% of sales,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December 28, 2014, as compared to $23.9 million, or 13.1% of sales, for the same period of the prior year.</w:t>
      </w:r>
    </w:p>
    <w:p>
      <w:pPr>
        <w:spacing w:after="0" w:line="1"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7"/>
          <w:szCs w:val="17"/>
          <w:color w:val="auto"/>
        </w:rPr>
        <w:t>The increase in gross profit was driven by higher sales volumes for the first nine months of fiscal 2015 compared to the same period of the prior year as well as operational overhead efficiencies, partially offset by lower per-unit margins due to continued competitive pricing pressures. Gross profit for the first nine months of fiscal 2014 was negatively impacted by $0.8 million in costs incurred to exit the leased facility used to serve our bulk pharmaceutical customers.</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LIFO method of valuing inventory decreased the Industrial segment’s gross profit by $0.7 million for the nine months ended December 28, 2014, while it increased gross profit by $0.2 million for the same period of the prior year.</w:t>
      </w:r>
    </w:p>
    <w:p>
      <w:pPr>
        <w:spacing w:after="0" w:line="17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Water Treatment Segment. </w:t>
      </w:r>
      <w:r>
        <w:rPr>
          <w:rFonts w:ascii="Times New Roman" w:cs="Times New Roman" w:eastAsia="Times New Roman" w:hAnsi="Times New Roman"/>
          <w:sz w:val="18"/>
          <w:szCs w:val="18"/>
          <w:color w:val="auto"/>
        </w:rPr>
        <w:t>Gross profit for the Water Treatment segment increased $2.0 million to $25.5 million, or 29.2% of sales,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28, 2014, as compared to $23.5 million, or 29.1% of sales, for the same period of the prior year. Higher sales volumes due to growth in our newer branches, in particular the addition of our recently-acquired Florida and Oklahoma locations, along with increased sales of specialty chemicals, were partially offset by lower profits from</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740" w:right="259" w:bottom="1440" w:gutter="0" w:footer="0" w:header="0"/>
        </w:sectPr>
      </w:pPr>
    </w:p>
    <w:bookmarkStart w:id="15" w:name="page16"/>
    <w:bookmarkEnd w:id="15"/>
    <w:p>
      <w:pPr>
        <w:ind w:right="200"/>
        <w:spacing w:after="0" w:line="282" w:lineRule="auto"/>
        <w:rPr>
          <w:sz w:val="20"/>
          <w:szCs w:val="20"/>
          <w:color w:val="auto"/>
        </w:rPr>
      </w:pPr>
      <w:r>
        <w:rPr>
          <w:rFonts w:ascii="Times New Roman" w:cs="Times New Roman" w:eastAsia="Times New Roman" w:hAnsi="Times New Roman"/>
          <w:sz w:val="18"/>
          <w:szCs w:val="18"/>
          <w:color w:val="auto"/>
        </w:rPr>
        <w:t>certain of our larger branches in more mature markets. The LIFO method of valuing inventory decreased gross profit in this segment by $0.2 million for the nine months ended December 28, 2014, while it had a nominal impact on gross profit in this segment for the nine months ended December 29, 2013.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$25.8 million, or 9.5% of sales, for the nine months ended December 28, 2014, as compared to $25.4 million, or 9.7% of sales, for the same period of the prior year. Increased expenses in our Water Treatment segment, including expenses from our newly-acquired Florida locations, were partially offset by reductions in expenses in our Industrial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Operating income was $24.4 million for the nine months ended December 28, 2014 and $21.9 million for the same period of the prior year. Operating income for the Industrial segment increased $1.5 million as a result of the increase in gross profit combined with reduced selling, general and administrative expenses. Operating income for the Water Treatment segment increased $1.0 million, as the increase in gross profit was partially offset by increased selling, general and administrative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effective income tax rate was 37.3% for the nine months ended December 28, 2014 and 37.0% for the same period of the prior year. The effective tax rate is impacted by projected levels of annual taxable income, permanent items, and state taxes.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for the nine months ended December 28, 2014 was $17.0 million compared to $24.9 million for the same period of the prior year. The decrease in cash provided by operating activities was primarily due to the timing of inventory purchases, with increased levels of inventory on hand at December 28, 2014 as compared to a year ago. Due to the nature of our operations, which includes purchases of large quantities of bulk chemicals, timing of purchases can result in significant changes in working capital investment and the resulting operating cash flow. Typically, our cash requirements increase during the period from April through November as caustic soda inventory levels increase as the majority of barges are received during this period. Additionally, due to the seasonality of the water treatment business, our accounts receivable balance is generally higher during the period of April through September.</w:t>
      </w:r>
    </w:p>
    <w:p>
      <w:pPr>
        <w:spacing w:after="0" w:line="13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Capital expenditures were $10.1 million for the nine months ended December 28, 2014, as compared to $10.5 million in the same period of the prior fiscal year. Included in capital expenditures for the first nine months of fiscal 2015 was $4.4 million related to business expansion, inventory storage and process improvement projects. Other capital spending included new and replacement containers and Water Treatment trucks.</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$8.9 million for the nine months ended December 28, 2014, as compared to $7.2 million in the same period of the prior fiscal year, with the increase in the current year driven by common stock repurchases of $1.5 million.</w:t>
      </w:r>
    </w:p>
    <w:p>
      <w:pPr>
        <w:spacing w:after="0" w:line="10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Cash and investments were $51.3 million at December 28, 2014, a decrease of $11.9 million as compared with the $63.2 million available as of March 30, 2014, due to cash outflows for the Dumont acquisition, dividend payments, capital expenditures, and the share repurchase program described above exceeding the cash flows generated from operations during the nine months ended December 28, 2014.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cash balances and cash flows from operations will be sufficient to fund our cash requirements including acquisitions or other strategic relationships for the foreseeable future. We periodically evaluate opportunities to borrow funds or sell additional equity or debt securities for strategic reasons or to further strengthen our financial position.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set forth in Note 1 to our consolidated financial statements in our Annual Report on Form 10-K for the fiscal year ended March 30, 2014. The accounting policies used in preparing our interim fiscal 2015 condensed consolidated financial statements are the same as those described in our Annual Report.</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March 30, 2014.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19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QUANTITATIVE AND QUALITATIVE DISCLOSURES ABOUT MARKET RISK</w:t>
      </w:r>
    </w:p>
    <w:p>
      <w:pPr>
        <w:spacing w:after="0" w:line="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December 28, 2014, our investment portfolio included $32.3 million of certificates of deposit and municipal bonds classified as fixed income securities and cash and cash equivalents of $19.0 million. The fixed income securities, like all fixed income instruments, are subject to interest rate risks and will decline in value if market interest rates increase. However, while the value of the investment may fluctuate in any given period, we intend to hold our fixed income investments until recovery. Consequently, we would not expect to recognize an adverse impact on net income or cash flows during the holding period. We adjust the carrying value of our investments if impairment occurs that is other than temporary.</w:t>
      </w:r>
    </w:p>
    <w:p>
      <w:pPr>
        <w:spacing w:after="0" w:line="13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are subject to the risk inherent in the cyclical nature of commodity chemical prices. We do not currently purchase forward contracts or otherwise engage in hedging activities with respect to the purchase of commodity chemicals. We attempt to pass changes in material prices on to our customers, however, there are no assurances that we will be able to pass on cost increases as our pricing must be competitive.</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color w:val="auto"/>
        </w:rPr>
        <w:t>CONTROLS AND PROCEDURES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third quarter of fiscal 2015 that has materially affected, or is reasonably likely to materially affect, our internal control over financial reporting.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738" w:right="259" w:bottom="1440" w:gutter="0" w:footer="0" w:header="0"/>
        </w:sectPr>
      </w:pPr>
    </w:p>
    <w:bookmarkStart w:id="17" w:name="page18"/>
    <w:bookmarkEnd w:id="1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8"/>
          <w:szCs w:val="18"/>
          <w:color w:val="auto"/>
        </w:rPr>
        <w:t>LEGAL PROCEEDINGS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6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7"/>
          <w:szCs w:val="17"/>
          <w:color w:val="auto"/>
        </w:rPr>
        <w:t>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risk factors from those disclosed in our Annual Report on Form 10-K for the fiscal year ended March 30, 2014.</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8"/>
          <w:szCs w:val="18"/>
          <w:color w:val="auto"/>
        </w:rPr>
        <w:t>UNREGISTERED SALES OF EQUITY SECURITIES AND USE OF PROCEEDS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May 29, 2014, our Board of Directors authorized a share repurchase program of up to 300,000 shares of our outstanding common stock. The shares may be repurchased on the open market or in privately negotiated transactions subject to applicable securities laws and regulations. The following table sets forth information concerning purchases of our common stock for the quarter ended December 28, 2014:</w:t>
      </w:r>
    </w:p>
    <w:p>
      <w:pPr>
        <w:sectPr>
          <w:pgSz w:w="11900" w:h="16838" w:orient="portrait"/>
          <w:cols w:equalWidth="0" w:num="1">
            <w:col w:w="11300"/>
          </w:cols>
          <w:pgMar w:left="240" w:top="576" w:right="359" w:bottom="1440" w:gutter="0" w:footer="0" w:header="0"/>
        </w:sectPr>
      </w:pPr>
    </w:p>
    <w:p>
      <w:pPr>
        <w:spacing w:after="0" w:line="338"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Number of Shares</w:t>
            </w:r>
          </w:p>
        </w:tc>
      </w:tr>
      <w:tr>
        <w:trPr>
          <w:trHeight w:val="216"/>
        </w:trPr>
        <w:tc>
          <w:tcPr>
            <w:tcW w:w="2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Purchased as Part of a</w:t>
            </w:r>
          </w:p>
        </w:tc>
      </w:tr>
      <w:tr>
        <w:trPr>
          <w:trHeight w:val="216"/>
        </w:trPr>
        <w:tc>
          <w:tcPr>
            <w:tcW w:w="248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Number of Shares</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Average Price Paid Per</w:t>
            </w:r>
          </w:p>
        </w:tc>
        <w:tc>
          <w:tcPr>
            <w:tcW w:w="2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Publicly Announced Plan or</w:t>
            </w: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w:t>
            </w:r>
          </w:p>
        </w:tc>
        <w:tc>
          <w:tcPr>
            <w:tcW w:w="2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Program</w:t>
            </w:r>
          </w:p>
        </w:tc>
      </w:tr>
      <w:tr>
        <w:trPr>
          <w:trHeight w:val="27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9/29/2014-10/26/2014</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10/27/2014-11/23/2014</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850</w:t>
            </w:r>
          </w:p>
        </w:tc>
      </w:tr>
      <w:tr>
        <w:trPr>
          <w:trHeight w:val="27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11/24/2014-12/28/2014</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4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2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7"/>
          <w:szCs w:val="17"/>
          <w:color w:val="auto"/>
        </w:rPr>
        <w:t>Maximum Number of Shares that May Yet be Purchased under Plans or Programs</w:t>
      </w:r>
    </w:p>
    <w:p>
      <w:pPr>
        <w:spacing w:after="0" w:line="1"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259,980</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w:t>
      </w:r>
    </w:p>
    <w:p>
      <w:pPr>
        <w:spacing w:after="0" w:line="511" w:lineRule="exact"/>
        <w:rPr>
          <w:sz w:val="20"/>
          <w:szCs w:val="20"/>
          <w:color w:val="auto"/>
        </w:rPr>
      </w:pPr>
    </w:p>
    <w:p>
      <w:pPr>
        <w:sectPr>
          <w:pgSz w:w="11900" w:h="16838" w:orient="portrait"/>
          <w:cols w:equalWidth="0" w:num="2">
            <w:col w:w="8860" w:space="40"/>
            <w:col w:w="2400"/>
          </w:cols>
          <w:pgMar w:left="240" w:top="576" w:right="35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00"/>
          </w:cols>
          <w:pgMar w:left="240" w:top="576" w:right="35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6"/>
              </w:rPr>
              <w:t>ITEM 6.</w:t>
            </w:r>
          </w:p>
        </w:tc>
        <w:tc>
          <w:tcPr>
            <w:tcW w:w="87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EXHIBITS</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Exhibit Index</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Exhibit</w:t>
            </w:r>
          </w:p>
        </w:tc>
        <w:tc>
          <w:tcPr>
            <w:tcW w:w="400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Method of Filing</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40" w:type="dxa"/>
            <w:vAlign w:val="bottom"/>
            <w:vMerge w:val="restart"/>
          </w:tcPr>
          <w:p>
            <w:pPr>
              <w:spacing w:after="0" w:line="20" w:lineRule="exact"/>
              <w:rPr>
                <w:sz w:val="1"/>
                <w:szCs w:val="1"/>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8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Amended and Restated Articles of Incorporation. (1)</w:t>
            </w: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40" w:type="dxa"/>
            <w:vAlign w:val="bottom"/>
            <w:vMerge w:val="continue"/>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720" w:type="dxa"/>
            <w:vAlign w:val="bottom"/>
            <w:gridSpan w:val="3"/>
            <w:vMerge w:val="continue"/>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Incorporated by Reference</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8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By-Laws. (2)</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Incorporated by Reference</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31.1</w:t>
            </w:r>
          </w:p>
        </w:tc>
        <w:tc>
          <w:tcPr>
            <w:tcW w:w="8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Certification by Chief Executive Officer pursuant to Rule 13a-14(a) of the Exchange Act.</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31.2</w:t>
            </w:r>
          </w:p>
        </w:tc>
        <w:tc>
          <w:tcPr>
            <w:tcW w:w="8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Certification by Chief Financial Officer pursuant to Rule 13a-14(a) of the Exchange Act.</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32.1</w:t>
            </w:r>
          </w:p>
        </w:tc>
        <w:tc>
          <w:tcPr>
            <w:tcW w:w="8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Section 1350 Certification by Chief Executive Officer.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270"/>
        </w:trPr>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32.2</w:t>
            </w:r>
          </w:p>
        </w:tc>
        <w:tc>
          <w:tcPr>
            <w:tcW w:w="8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Section 1350 Certification by Chief Financial Officer.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252"/>
        </w:trPr>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8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Financial statements from the Quarterly Report on Form 10-Q of Hawkins, Inc. for the period ended December 28,</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2014 filed with the SEC on February 3, 2015, formatted in Extensible Business Reporting Language (XBRL); (i) the</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Condensed Consolidated Balance Sheets at December 28, 2014 and March 30, 2014, (ii) the Condensed Consolidated</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Statements of Income for the Three and Nine Months Ended December 28, 2014 and December 29, 2013, (iii) the</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00" w:right="2200"/>
        <w:spacing w:after="0" w:line="255" w:lineRule="auto"/>
        <w:rPr>
          <w:sz w:val="20"/>
          <w:szCs w:val="20"/>
          <w:color w:val="auto"/>
        </w:rPr>
      </w:pPr>
      <w:r>
        <w:rPr>
          <w:rFonts w:ascii="Times New Roman" w:cs="Times New Roman" w:eastAsia="Times New Roman" w:hAnsi="Times New Roman"/>
          <w:sz w:val="18"/>
          <w:szCs w:val="18"/>
          <w:color w:val="auto"/>
        </w:rPr>
        <w:t>Condensed Consolidated Statements of Comprehensive Income for the Three and Nine Months Ended December 28, 2014 and December 29, 2013, (iv) the Condensed Consolidated Statements of Cash Flows for the Nine Months Ended December 28, 2014 and December 29, 2013, and (v) Notes to Condensed Consolidated Financial Statements.</w:t>
      </w:r>
    </w:p>
    <w:p>
      <w:pPr>
        <w:spacing w:after="0" w:line="186" w:lineRule="exact"/>
        <w:rPr>
          <w:sz w:val="20"/>
          <w:szCs w:val="20"/>
          <w:color w:val="auto"/>
        </w:rPr>
      </w:pPr>
    </w:p>
    <w:p>
      <w:pPr>
        <w:ind w:left="540" w:hanging="316"/>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the Company’s Quarterly Report on Form 10-Q for the period ended June 30, 2010, filed on July 29, 2010.</w:t>
      </w:r>
    </w:p>
    <w:p>
      <w:pPr>
        <w:spacing w:after="0" w:line="2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the Company’s Current Report on Form 8-K dated October 28, 2009 and filed November 3, 2009.</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80" w:right="239" w:bottom="1440" w:gutter="0" w:footer="0" w:header="0"/>
        </w:sectPr>
      </w:pPr>
    </w:p>
    <w:bookmarkStart w:id="19" w:name="page20"/>
    <w:bookmarkEnd w:id="19"/>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HAWKINS, INC.</w:t>
      </w:r>
    </w:p>
    <w:p>
      <w:pPr>
        <w:spacing w:after="0" w:line="185" w:lineRule="exact"/>
        <w:rPr>
          <w:sz w:val="20"/>
          <w:szCs w:val="20"/>
          <w:color w:val="auto"/>
        </w:rPr>
      </w:pPr>
    </w:p>
    <w:p>
      <w:pPr>
        <w:ind w:left="6420"/>
        <w:spacing w:after="0"/>
        <w:tabs>
          <w:tab w:leader="none" w:pos="8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34290</wp:posOffset>
            </wp:positionV>
            <wp:extent cx="269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Kathleen P. Pepski</w:t>
      </w:r>
    </w:p>
    <w:p>
      <w:pPr>
        <w:spacing w:after="0" w:line="63"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pacing w:after="0" w:line="6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(On behalf of the registrant and as principal financial</w:t>
      </w:r>
    </w:p>
    <w:p>
      <w:pPr>
        <w:spacing w:after="0" w:line="27"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3, 2015</w:t>
      </w:r>
    </w:p>
    <w:p>
      <w:pPr>
        <w:spacing w:after="0" w:line="2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240" w:top="576" w:right="439" w:bottom="1440" w:gutter="0" w:footer="0" w:header="0"/>
        </w:sectPr>
      </w:pPr>
    </w:p>
    <w:bookmarkStart w:id="20" w:name="page21"/>
    <w:bookmarkEnd w:id="20"/>
    <w:p>
      <w:pPr>
        <w:ind w:left="50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27" w:lineRule="exact"/>
        <w:rPr>
          <w:sz w:val="20"/>
          <w:szCs w:val="20"/>
          <w:color w:val="auto"/>
        </w:rPr>
      </w:pPr>
    </w:p>
    <w:p>
      <w:pPr>
        <w:spacing w:after="0"/>
        <w:tabs>
          <w:tab w:leader="none" w:pos="4300"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46" w:lineRule="exact"/>
        <w:rPr>
          <w:sz w:val="20"/>
          <w:szCs w:val="20"/>
          <w:color w:val="auto"/>
        </w:rPr>
      </w:pPr>
    </w:p>
    <w:p>
      <w:pPr>
        <w:ind w:left="200"/>
        <w:spacing w:after="0"/>
        <w:tabs>
          <w:tab w:leader="none" w:pos="6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Amended and Restated Articles of Incorporation.</w:t>
      </w:r>
    </w:p>
    <w:p>
      <w:pPr>
        <w:spacing w:after="0" w:line="77" w:lineRule="exact"/>
        <w:rPr>
          <w:sz w:val="20"/>
          <w:szCs w:val="20"/>
          <w:color w:val="auto"/>
        </w:rPr>
      </w:pPr>
    </w:p>
    <w:p>
      <w:pPr>
        <w:ind w:left="200"/>
        <w:spacing w:after="0"/>
        <w:tabs>
          <w:tab w:leader="none" w:pos="6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Amended and Restated By-Laws.</w:t>
      </w:r>
    </w:p>
    <w:p>
      <w:pPr>
        <w:spacing w:after="0" w:line="63" w:lineRule="exact"/>
        <w:rPr>
          <w:sz w:val="20"/>
          <w:szCs w:val="20"/>
          <w:color w:val="auto"/>
        </w:rPr>
      </w:pPr>
    </w:p>
    <w:p>
      <w:pPr>
        <w:ind w:left="120"/>
        <w:spacing w:after="0"/>
        <w:tabs>
          <w:tab w:leader="none" w:pos="6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by Chief Executive Officer pursuant to Rule 13a-14(a) of the Exchange Act.</w:t>
      </w:r>
    </w:p>
    <w:p>
      <w:pPr>
        <w:spacing w:after="0" w:line="63" w:lineRule="exact"/>
        <w:rPr>
          <w:sz w:val="20"/>
          <w:szCs w:val="20"/>
          <w:color w:val="auto"/>
        </w:rPr>
      </w:pPr>
    </w:p>
    <w:p>
      <w:pPr>
        <w:ind w:left="120"/>
        <w:spacing w:after="0"/>
        <w:tabs>
          <w:tab w:leader="none" w:pos="6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Certification by Chief Financial Officer pursuant to Rule 13a-14(a) of the Exchange Act.</w:t>
      </w:r>
    </w:p>
    <w:p>
      <w:pPr>
        <w:spacing w:after="0" w:line="63" w:lineRule="exact"/>
        <w:rPr>
          <w:sz w:val="20"/>
          <w:szCs w:val="20"/>
          <w:color w:val="auto"/>
        </w:rPr>
      </w:pPr>
    </w:p>
    <w:p>
      <w:pPr>
        <w:ind w:left="120"/>
        <w:spacing w:after="0"/>
        <w:tabs>
          <w:tab w:leader="none" w:pos="6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Section 1350 Certification by Chief Executive Officer.</w:t>
      </w:r>
    </w:p>
    <w:p>
      <w:pPr>
        <w:spacing w:after="0" w:line="63" w:lineRule="exact"/>
        <w:rPr>
          <w:sz w:val="20"/>
          <w:szCs w:val="20"/>
          <w:color w:val="auto"/>
        </w:rPr>
      </w:pPr>
    </w:p>
    <w:p>
      <w:pPr>
        <w:ind w:left="120"/>
        <w:spacing w:after="0"/>
        <w:tabs>
          <w:tab w:leader="none" w:pos="6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Section 1350 Certification by Chief Financial Officer.</w:t>
      </w:r>
    </w:p>
    <w:p>
      <w:pPr>
        <w:spacing w:after="0" w:line="63" w:lineRule="exact"/>
        <w:rPr>
          <w:sz w:val="20"/>
          <w:szCs w:val="20"/>
          <w:color w:val="auto"/>
        </w:rPr>
      </w:pPr>
    </w:p>
    <w:p>
      <w:pPr>
        <w:ind w:left="700" w:hanging="541"/>
        <w:spacing w:after="0" w:line="255"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from the Quarterly Report on Form 10-Q of Hawkins, Inc. for the period ended December 28, 2014 filed with the SEC on February 3, 2015, formatted in Extensible Business Reporting Language (XBRL); (i) the Condensed Consolidated Balance Sheets at December 28, 2014 and March 30, 2014, (ii) the Condensed Consolidated Statements of Income for the Three and Nine Months Ended December 28, 2014 and December 29, 2013, (iii) the Condensed Consolidated Statements of Comprehensive Income for the Three and Nine Months Ended December 28, 2014 and December 29, 2013, (iv) the Condensed Consolidated Statements of Cash Flows for the Nine Months Ended December 28, 2014 and December 29, 2013, and (v)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23495</wp:posOffset>
            </wp:positionV>
            <wp:extent cx="15862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9" w:lineRule="exact"/>
        <w:rPr>
          <w:sz w:val="20"/>
          <w:szCs w:val="20"/>
          <w:color w:val="auto"/>
        </w:rPr>
      </w:pPr>
    </w:p>
    <w:p>
      <w:pPr>
        <w:jc w:val="center"/>
        <w:spacing w:after="0" w:line="318" w:lineRule="auto"/>
        <w:rPr>
          <w:sz w:val="20"/>
          <w:szCs w:val="20"/>
          <w:color w:val="auto"/>
        </w:rPr>
      </w:pPr>
      <w:r>
        <w:rPr>
          <w:rFonts w:ascii="Times New Roman" w:cs="Times New Roman" w:eastAsia="Times New Roman" w:hAnsi="Times New Roman"/>
          <w:sz w:val="18"/>
          <w:szCs w:val="18"/>
          <w:color w:val="auto"/>
        </w:rPr>
        <w:t>Incorporated by Reference Incorporated by Reference Filed Electronically Filed Electronically Filed Electronically Filed Electronically Filed Electronically</w:t>
      </w:r>
    </w:p>
    <w:p>
      <w:pPr>
        <w:sectPr>
          <w:pgSz w:w="11900" w:h="16838" w:orient="portrait"/>
          <w:cols w:equalWidth="0" w:num="2">
            <w:col w:w="8540" w:space="520"/>
            <w:col w:w="1920"/>
          </w:cols>
          <w:pgMar w:left="400" w:top="576" w:right="51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Hawkins, Inc.;</w:t>
      </w:r>
    </w:p>
    <w:p>
      <w:pPr>
        <w:spacing w:after="0" w:line="90"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300" w:right="200" w:hanging="320"/>
        <w:spacing w:after="0" w:line="266"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680" w:hanging="320"/>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360" w:hanging="320"/>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2015</w:t>
      </w:r>
    </w:p>
    <w:p>
      <w:pPr>
        <w:spacing w:after="0" w:line="36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ectPr>
          <w:pgSz w:w="11900" w:h="16838" w:orient="portrait"/>
          <w:cols w:equalWidth="0" w:num="1">
            <w:col w:w="11420"/>
          </w:cols>
          <w:pgMar w:left="240" w:top="576" w:right="2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Kathleen P. Pepski, certify that:</w:t>
      </w:r>
    </w:p>
    <w:p>
      <w:pPr>
        <w:spacing w:after="0" w:line="30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Hawkins, Inc.;</w:t>
      </w:r>
    </w:p>
    <w:p>
      <w:pPr>
        <w:spacing w:after="0" w:line="90"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Times New Roman" w:cs="Times New Roman" w:eastAsia="Times New Roman" w:hAnsi="Times New Roman"/>
          <w:sz w:val="18"/>
          <w:szCs w:val="18"/>
          <w:color w:val="auto"/>
        </w:rPr>
      </w:pPr>
    </w:p>
    <w:p>
      <w:pPr>
        <w:ind w:left="1300" w:right="200" w:hanging="644"/>
        <w:spacing w:after="0" w:line="266"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4" w:lineRule="exact"/>
        <w:rPr>
          <w:rFonts w:ascii="Times New Roman" w:cs="Times New Roman" w:eastAsia="Times New Roman" w:hAnsi="Times New Roman"/>
          <w:sz w:val="18"/>
          <w:szCs w:val="18"/>
          <w:color w:val="auto"/>
        </w:rPr>
      </w:pPr>
    </w:p>
    <w:p>
      <w:pPr>
        <w:jc w:val="both"/>
        <w:ind w:left="1300" w:right="380" w:hanging="644"/>
        <w:spacing w:after="0" w:line="281"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1" w:lineRule="exact"/>
        <w:rPr>
          <w:rFonts w:ascii="Times New Roman" w:cs="Times New Roman" w:eastAsia="Times New Roman" w:hAnsi="Times New Roman"/>
          <w:sz w:val="18"/>
          <w:szCs w:val="18"/>
          <w:color w:val="auto"/>
        </w:rPr>
      </w:pPr>
    </w:p>
    <w:p>
      <w:pPr>
        <w:ind w:left="660" w:right="180" w:hanging="328"/>
        <w:spacing w:after="0" w:line="28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680" w:hanging="644"/>
        <w:spacing w:after="0" w:line="281"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2015</w:t>
      </w:r>
    </w:p>
    <w:p>
      <w:pPr>
        <w:spacing w:after="0" w:line="36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u w:val="single" w:color="auto"/>
          <w:color w:val="auto"/>
        </w:rPr>
        <w:t>/s/ Kathleen P. Pepski</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Kathleen P. Pepski</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ectPr>
          <w:pgSz w:w="11900" w:h="16838" w:orient="portrait"/>
          <w:cols w:equalWidth="0" w:num="1">
            <w:col w:w="11420"/>
          </w:cols>
          <w:pgMar w:left="240" w:top="576" w:right="2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Hawkins, Inc. (the Company) on Form 10-Q for the period ended December 28, 2014,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Company.</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3, 2015</w:t>
      </w:r>
    </w:p>
    <w:p>
      <w:pPr>
        <w:sectPr>
          <w:pgSz w:w="11900" w:h="16838" w:orient="portrait"/>
          <w:cols w:equalWidth="0" w:num="1">
            <w:col w:w="11420"/>
          </w:cols>
          <w:pgMar w:left="240" w:top="576" w:right="2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Hawkins, Inc. (the Company) on Form 10-Q for the period ended December 28, 2014,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Company.</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/s/ Kathleen P. Pepski</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Kathleen P. Pepski</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3, 2015</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0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2019-12-29T19:26:20Z</dcterms:created>
  <dcterms:modified xsi:type="dcterms:W3CDTF">2019-12-29T19:26:20Z</dcterms:modified>
</cp:coreProperties>
</file>