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May 28, 2014</w:t>
      </w:r>
    </w:p>
    <w:p>
      <w:pPr>
        <w:spacing w:after="0" w:line="200" w:lineRule="exact"/>
        <w:rPr>
          <w:sz w:val="24"/>
          <w:szCs w:val="24"/>
          <w:color w:val="auto"/>
        </w:rPr>
      </w:pPr>
    </w:p>
    <w:p>
      <w:pPr>
        <w:spacing w:after="0" w:line="355"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May 28, 2014, Hawkins, Inc. issued a press release announcing financial results for its fiscal year ended March 30, 2014. A copy of the press release issued by the Registrant is furnished herewith as Exhibit 99.1 hereto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Exhibit 99.1—Press Release, dated May 28, 2014, announcing financial results of Hawkins, Inc. for its fiscal year ended March 30, 2014.</w:t>
      </w:r>
    </w:p>
    <w:p>
      <w:pPr>
        <w:sectPr>
          <w:pgSz w:w="11900" w:h="16838" w:orient="portrait"/>
          <w:cols w:equalWidth="0" w:num="1">
            <w:col w:w="11420"/>
          </w:cols>
          <w:pgMar w:left="240" w:top="58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May 28,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Press Release, dated May 28, 2014,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year ended March 30, 2014.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40" w:space="720"/>
            <w:col w:w="446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May 28, 2014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QUARTER, FISCAL 2014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Minneapolis, MN, May 28, 2014 – Hawkins, Inc. (Nasdaq: HWKN) today announced fourth quarter and full-year results for its fiscal year ended March 30, 2014. Sales of $348.3 million for fiscal 2014 represented a decrease of 0.6% from $350.4 million for the prior fiscal year. Net income from continuing operations was $18.1 million for the year, or $1.71 per share, fully diluted, compared to adjusted net income from continuing operations of $23.6 million, or $2.24 per share, fully diluted, for fiscal 2013. Adjusted net income from continuing operations for fiscal 2013 excludes nonrecurring pretax charges totaling $10.4 million (approximately $6.5 million after tax, or $0.62 per share, fully diluted), consisting of a pension withdrawal charge as well as a litigation settlement charge. Including these items, net income from continuing operations for fiscal 2013 was $17.1 million, or $1.62 per share, fully diluted (see reconciliation table).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fourth quarter of fiscal 2014, the Company reported sales of $85.2 million as compared to $87.6 million for the same period a year ago. Net income from continuing operations for the fourth quarter of fiscal 2014 was $4.3 million, or $0.40 per share, fully diluted, compared to net income from continuing operations of $4.2 million, or $0.39 per share, fully diluted, for the same period in fiscal 2013.</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difficult weather this last quarter demonstrated the value of the investments in infrastructure and storage we have made over the years. The extreme and prolonged winter led to disruptions in rail transportation and deliveries to our facilities but, despite these logistical challenges, we were able to meet all of our customer requirements due to the focused and diligent efforts of our employees and the bulk storage infrastructure we have in place,” said Patrick Hawkins, Chief Executive Officer and President. “While these investments have an impact on our earnings, we believe they are necessary to position the Company for future growth.”</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Hawkins continued, “Our Water Treatment segment has continued to deliver steady growth through its specialty products and geographic expansion. We have invested in this business by adding staff and branch locations to expand our market share and those investments are paying off. We believe that our high-service business model coupled with our broad product offering allows us to successfully support our existing customers and gives us a competitive advantage to gain new business.”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fiscal 2014, Industrial segment sales were $244.9 million, a decrease of 1.5% from fiscal 2013 sales of $248.6 million. Overall volumes increased slightly year-over-year, with the increase driven by higher volumes of bulk commodity products sold, which generally carry lower per-unit selling prices and margins. In addition, competitive pricing pressures resulted in lower overall per-unit selling prices. Water Treatment segment sales were $103.4 million for the year, an increase of 1.5% over last year’s sales of $101.8 million. Sales volumes in this segment were largely unchanged as compared to the prior year. Sales growth in our newer branches, including the Oklahoma branch we acquired in connection with an acquisition, together with increased sales of certain specialty chemical products and equipment, more than offset the negative impact of unfavorable weather conditions during the majority of the spring and summer months and reduced sales volumes of bulk commodity products.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Company-wide gross profit for fiscal 2014 was $61.6 million, or 17.7% of sales, compared to $56.9 million, or 16.2% of sales, for the same period of the prior year. In fiscal 2013, gross profit was adversely impacted by the nonrecurring charges totaling $10.4 million, which charges together constituted 3.0% of sales for the fiscal year. The LIFO method of valuing inventory increased gross profit by $1.9 million for fiscal 2014 and $0.4 million for fiscal 2013, primarily due to lower levels of inventory of many of our products at year-end.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74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0" w:lineRule="exact"/>
        <w:rPr>
          <w:sz w:val="20"/>
          <w:szCs w:val="20"/>
          <w:color w:val="auto"/>
        </w:rPr>
      </w:pP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for the Industrial segment was $32.0 million, or 13.1% of sales, for the year, as compared to $28.9 million, or 11.6% of sales, for the prior year. The prior year’s gross profit for this segment was negatively impacted by a $7.2 million pension withdrawal charge and a $3.2 million litigation settlement charge, which charges together constituted 4.2% of Industrial segment sales for the fiscal year. Gross profit for fiscal 2014 was adversely impacted by $1.7 million in incremental costs to operate our new Rosemount manufacturing facility as compared to fiscal 2013, and a $0.4 million year-over-year difference in costs incurred to exit the leased facility used to serve our bulk pharmaceutical customers. Despite slightly higher overall sales volumes, gross profit was also negatively impacted by competitive pricing pressures and higher volumes of lower margin products sold as compared to the prior year. The LIFO method of valuing inventory increased gross profit by $1.6 million in fiscal 2014 and increased gross profit by $0.4 million in fiscal 2013.</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Water Treatment segment was $29.6 million, or 28.6% of sales, for the year, as compared to $28.1 million, or 27.6% of sales, for the prior year. Growth at our newer branches, including the Oklahoma branch we acquired in connection with an acquisition, along with a favorable product mix shift to specialty chemical products from bulk commodities, more than offset the impact to gross profit of unfavorable weather conditions during the spring and summer months. The LIFO method of valuing inventory increased gross profit by $0.3 million in fiscal 2014 and had a nominal impact on gross profit in fiscal 2013.</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Company-wide SG&amp;A expenses were $33.5 million for the year compared to $31.6 million for the prior year. The increase in expenses was driven by incremental costs of $1.0 million related to our new headquarters facility, as well as additional sales and infrastructure support staffing costs in the Water Treatment segment, including our new Oklahoma branch.</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Hawkins, Inc. distributes, blends and manufactures chemicals for its customers in a wide variety of industries. Headquartered in Roseville, Minnesota, and with 29 facilities in 14 states, the Company creates value for its customers through superb customer service and support, quality products and personalized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95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00" w:lineRule="exact"/>
        <w:rPr>
          <w:sz w:val="20"/>
          <w:szCs w:val="20"/>
          <w:color w:val="auto"/>
        </w:rPr>
      </w:pP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 reconciliation of each non-GAAP financial measure used in this release to its most directly comparable financial measure calculated in accordance with GAAP is presented below. For the three month periods ended March 30, 2014 and March 31, 2013, there were no adjustments to net income.</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Fiscal year ended March 30, 2014</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Fiscal year ended March 31, 2013</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5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4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Diluted earnings per</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3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26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5"/>
              </w:rPr>
              <w:t>Diluted earnings per</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auto"/>
                <w:w w:val="97"/>
              </w:rPr>
              <w:t>continuing</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auto"/>
                <w:w w:val="93"/>
              </w:rPr>
              <w:t>continuing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share from</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auto"/>
                <w:w w:val="93"/>
              </w:rPr>
              <w:t>continuing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auto"/>
                <w:w w:val="93"/>
              </w:rPr>
              <w:t>continuing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share from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share and per share</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before</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net of</w:t>
            </w: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continuing</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before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net of</w:t>
            </w: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continuing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Arial" w:cs="Arial" w:eastAsia="Arial" w:hAnsi="Arial"/>
                <w:sz w:val="14"/>
                <w:szCs w:val="14"/>
                <w:i w:val="1"/>
                <w:iCs w:val="1"/>
                <w:color w:val="auto"/>
              </w:rPr>
              <w:t>data)</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income taxes</w:t>
            </w:r>
          </w:p>
        </w:tc>
        <w:tc>
          <w:tcPr>
            <w:tcW w:w="660" w:type="dxa"/>
            <w:vAlign w:val="bottom"/>
          </w:tcPr>
          <w:p>
            <w:pPr>
              <w:ind w:left="40"/>
              <w:spacing w:after="0"/>
              <w:rPr>
                <w:sz w:val="20"/>
                <w:szCs w:val="20"/>
                <w:color w:val="auto"/>
              </w:rPr>
            </w:pPr>
            <w:r>
              <w:rPr>
                <w:rFonts w:ascii="Arial" w:cs="Arial" w:eastAsia="Arial" w:hAnsi="Arial"/>
                <w:sz w:val="14"/>
                <w:szCs w:val="14"/>
                <w:color w:val="auto"/>
              </w:rPr>
              <w:t>tax</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0"/>
              </w:rPr>
              <w:t>operations (1)</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income taxes</w:t>
            </w:r>
          </w:p>
        </w:tc>
        <w:tc>
          <w:tcPr>
            <w:tcW w:w="640" w:type="dxa"/>
            <w:vAlign w:val="bottom"/>
          </w:tcPr>
          <w:p>
            <w:pPr>
              <w:ind w:left="20"/>
              <w:spacing w:after="0"/>
              <w:rPr>
                <w:sz w:val="20"/>
                <w:szCs w:val="20"/>
                <w:color w:val="auto"/>
              </w:rPr>
            </w:pPr>
            <w:r>
              <w:rPr>
                <w:rFonts w:ascii="Arial" w:cs="Arial" w:eastAsia="Arial" w:hAnsi="Arial"/>
                <w:sz w:val="14"/>
                <w:szCs w:val="14"/>
                <w:color w:val="auto"/>
              </w:rPr>
              <w:t>tax</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color w:val="auto"/>
                <w:w w:val="90"/>
              </w:rPr>
              <w:t>operations (2)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8"/>
                <w:szCs w:val="18"/>
                <w:b w:val="1"/>
                <w:bCs w:val="1"/>
                <w:color w:val="auto"/>
              </w:rPr>
              <w:t>As Reported</w:t>
            </w: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7"/>
              </w:rPr>
              <w:t>28,061</w:t>
            </w:r>
          </w:p>
        </w:tc>
        <w:tc>
          <w:tcPr>
            <w:tcW w:w="220" w:type="dxa"/>
            <w:vAlign w:val="bottom"/>
          </w:tcPr>
          <w:p>
            <w:pPr>
              <w:spacing w:after="0"/>
              <w:rPr>
                <w:sz w:val="21"/>
                <w:szCs w:val="2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18,094</w:t>
            </w:r>
          </w:p>
        </w:tc>
        <w:tc>
          <w:tcPr>
            <w:tcW w:w="220" w:type="dxa"/>
            <w:vAlign w:val="bottom"/>
          </w:tcPr>
          <w:p>
            <w:pPr>
              <w:spacing w:after="0"/>
              <w:rPr>
                <w:sz w:val="21"/>
                <w:szCs w:val="21"/>
                <w:color w:val="auto"/>
              </w:rPr>
            </w:pP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1.71</w:t>
            </w:r>
          </w:p>
        </w:tc>
        <w:tc>
          <w:tcPr>
            <w:tcW w:w="200" w:type="dxa"/>
            <w:vAlign w:val="bottom"/>
          </w:tcPr>
          <w:p>
            <w:pPr>
              <w:spacing w:after="0"/>
              <w:rPr>
                <w:sz w:val="21"/>
                <w:szCs w:val="2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7"/>
              </w:rPr>
              <w:t>25,414</w:t>
            </w:r>
          </w:p>
        </w:tc>
        <w:tc>
          <w:tcPr>
            <w:tcW w:w="220" w:type="dxa"/>
            <w:vAlign w:val="bottom"/>
          </w:tcPr>
          <w:p>
            <w:pPr>
              <w:spacing w:after="0"/>
              <w:rPr>
                <w:sz w:val="21"/>
                <w:szCs w:val="21"/>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17,108</w:t>
            </w:r>
          </w:p>
        </w:tc>
        <w:tc>
          <w:tcPr>
            <w:tcW w:w="100" w:type="dxa"/>
            <w:vAlign w:val="bottom"/>
          </w:tcPr>
          <w:p>
            <w:pPr>
              <w:spacing w:after="0"/>
              <w:rPr>
                <w:sz w:val="21"/>
                <w:szCs w:val="21"/>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1.62</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Add Impact of Litigation</w:t>
            </w: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Settlement</w:t>
            </w:r>
          </w:p>
        </w:tc>
        <w:tc>
          <w:tcPr>
            <w:tcW w:w="6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0.19</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Add Impact of Pension Withdrawal</w:t>
            </w:r>
          </w:p>
        </w:tc>
        <w:tc>
          <w:tcPr>
            <w:tcW w:w="660" w:type="dxa"/>
            <w:vAlign w:val="bottom"/>
          </w:tcPr>
          <w:p>
            <w:pPr>
              <w:spacing w:after="0"/>
              <w:rPr>
                <w:sz w:val="23"/>
                <w:szCs w:val="2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3"/>
                <w:szCs w:val="23"/>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7,210</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0.43</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As Adjusted</w:t>
            </w: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28,061</w:t>
            </w:r>
          </w:p>
        </w:tc>
        <w:tc>
          <w:tcPr>
            <w:tcW w:w="22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18,094</w:t>
            </w:r>
          </w:p>
        </w:tc>
        <w:tc>
          <w:tcPr>
            <w:tcW w:w="2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1.71</w:t>
            </w:r>
          </w:p>
        </w:tc>
        <w:tc>
          <w:tcPr>
            <w:tcW w:w="20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35,824</w:t>
            </w:r>
          </w:p>
        </w:tc>
        <w:tc>
          <w:tcPr>
            <w:tcW w:w="2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23,583</w:t>
            </w:r>
          </w:p>
        </w:tc>
        <w:tc>
          <w:tcPr>
            <w:tcW w:w="10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2.24</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10,599,755 shares used in calculating earnings per share.</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10,541,142 shares used in calculating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-276860</wp:posOffset>
            </wp:positionV>
            <wp:extent cx="5428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420"/>
          </w:cols>
          <w:pgMar w:left="240" w:top="580" w:right="239" w:bottom="1440" w:gutter="0" w:footer="0" w:header="0"/>
        </w:sectPr>
      </w:pPr>
    </w:p>
    <w:p>
      <w:pPr>
        <w:spacing w:after="0" w:line="216"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5840"/>
        <w:spacing w:after="0"/>
        <w:tabs>
          <w:tab w:leader="none" w:pos="7300" w:val="left"/>
        </w:tabs>
        <w:rPr>
          <w:sz w:val="20"/>
          <w:szCs w:val="20"/>
          <w:color w:val="auto"/>
        </w:rPr>
      </w:pPr>
      <w:r>
        <w:rPr>
          <w:rFonts w:ascii="Arial" w:cs="Arial" w:eastAsia="Arial" w:hAnsi="Arial"/>
          <w:sz w:val="14"/>
          <w:szCs w:val="14"/>
          <w:b w:val="1"/>
          <w:bCs w:val="1"/>
          <w:color w:val="auto"/>
        </w:rPr>
        <w:t>March 30, 2014</w:t>
      </w:r>
      <w:r>
        <w:rPr>
          <w:sz w:val="20"/>
          <w:szCs w:val="20"/>
          <w:color w:val="auto"/>
        </w:rPr>
        <w:tab/>
      </w:r>
      <w:r>
        <w:rPr>
          <w:rFonts w:ascii="Arial" w:cs="Arial" w:eastAsia="Arial" w:hAnsi="Arial"/>
          <w:sz w:val="13"/>
          <w:szCs w:val="13"/>
          <w:b w:val="1"/>
          <w:bCs w:val="1"/>
          <w:color w:val="auto"/>
        </w:rPr>
        <w:t>March 31, 2013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23495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March 30, 2014</w:t>
      </w:r>
      <w:r>
        <w:rPr>
          <w:sz w:val="20"/>
          <w:szCs w:val="20"/>
          <w:color w:val="auto"/>
        </w:rPr>
        <w:tab/>
      </w:r>
      <w:r>
        <w:rPr>
          <w:rFonts w:ascii="Arial" w:cs="Arial" w:eastAsia="Arial" w:hAnsi="Arial"/>
          <w:sz w:val="13"/>
          <w:szCs w:val="13"/>
          <w:b w:val="1"/>
          <w:bCs w:val="1"/>
          <w:color w:val="auto"/>
        </w:rPr>
        <w:t>March 31, 2013</w:t>
      </w:r>
    </w:p>
    <w:p>
      <w:pPr>
        <w:spacing w:after="0" w:line="25" w:lineRule="exact"/>
        <w:rPr>
          <w:sz w:val="20"/>
          <w:szCs w:val="20"/>
          <w:color w:val="auto"/>
        </w:rPr>
      </w:pPr>
    </w:p>
    <w:p>
      <w:pPr>
        <w:sectPr>
          <w:pgSz w:w="11900" w:h="16838" w:orient="portrait"/>
          <w:cols w:equalWidth="0" w:num="2">
            <w:col w:w="8280" w:space="500"/>
            <w:col w:w="26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5500" w:type="dxa"/>
            <w:vAlign w:val="bottom"/>
            <w:tcBorders>
              <w:top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85,223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87,601</w:t>
            </w:r>
          </w:p>
        </w:tc>
        <w:tc>
          <w:tcPr>
            <w:tcW w:w="100" w:type="dxa"/>
            <w:vAlign w:val="bottom"/>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348,263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350,387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(286,663)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(286,241)</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56,936</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25,330</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25,414</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17,108</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17,126</w:t>
            </w:r>
          </w:p>
        </w:tc>
        <w:tc>
          <w:tcPr>
            <w:tcW w:w="0" w:type="dxa"/>
            <w:vAlign w:val="bottom"/>
          </w:tcPr>
          <w:p>
            <w:pPr>
              <w:spacing w:after="0"/>
              <w:rPr>
                <w:sz w:val="1"/>
                <w:szCs w:val="1"/>
                <w:color w:val="auto"/>
              </w:rPr>
            </w:pPr>
          </w:p>
        </w:tc>
      </w:tr>
      <w:tr>
        <w:trPr>
          <w:trHeight w:val="67"/>
        </w:trPr>
        <w:tc>
          <w:tcPr>
            <w:tcW w:w="562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outstanding-basic</w:t>
            </w:r>
          </w:p>
        </w:tc>
        <w:tc>
          <w:tcPr>
            <w:tcW w:w="120" w:type="dxa"/>
            <w:vAlign w:val="bottom"/>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10,562,081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10,495,268</w:t>
            </w:r>
          </w:p>
        </w:tc>
        <w:tc>
          <w:tcPr>
            <w:tcW w:w="100" w:type="dxa"/>
            <w:vAlign w:val="bottom"/>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10,544,467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10,464,820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12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10,620,128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10,568,079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10,599,755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10,541,142</w:t>
            </w:r>
          </w:p>
        </w:tc>
        <w:tc>
          <w:tcPr>
            <w:tcW w:w="0" w:type="dxa"/>
            <w:vAlign w:val="bottom"/>
          </w:tcPr>
          <w:p>
            <w:pPr>
              <w:spacing w:after="0"/>
              <w:rPr>
                <w:sz w:val="1"/>
                <w:szCs w:val="1"/>
                <w:color w:val="auto"/>
              </w:rPr>
            </w:pPr>
          </w:p>
        </w:tc>
      </w:tr>
      <w:tr>
        <w:trPr>
          <w:trHeight w:val="67"/>
        </w:trPr>
        <w:tc>
          <w:tcPr>
            <w:tcW w:w="562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67"/>
        </w:trPr>
        <w:tc>
          <w:tcPr>
            <w:tcW w:w="562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2019-12-05T10:14:50Z</dcterms:created>
  <dcterms:modified xsi:type="dcterms:W3CDTF">2019-12-05T10:14:50Z</dcterms:modified>
</cp:coreProperties>
</file>