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2, 2023</w:t>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specifed in its charter)</w:t>
      </w:r>
    </w:p>
    <w:p>
      <w:pPr>
        <w:sectPr>
          <w:pgSz w:w="11900" w:h="16838" w:orient="portrait"/>
          <w:cols w:equalWidth="0" w:num="1">
            <w:col w:w="11240"/>
          </w:cols>
          <w:pgMar w:left="320" w:top="1012"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47" w:lineRule="exact"/>
        <w:rPr>
          <w:sz w:val="24"/>
          <w:szCs w:val="24"/>
          <w:color w:val="auto"/>
        </w:rPr>
      </w:pPr>
    </w:p>
    <w:p>
      <w:pPr>
        <w:sectPr>
          <w:pgSz w:w="11900" w:h="16838" w:orient="portrait"/>
          <w:cols w:equalWidth="0" w:num="3">
            <w:col w:w="4540" w:space="720"/>
            <w:col w:w="2820" w:space="720"/>
            <w:col w:w="2440"/>
          </w:cols>
          <w:pgMar w:left="320" w:top="1012" w:right="339" w:bottom="1440" w:gutter="0" w:footer="0" w:header="0"/>
          <w:type w:val="continuous"/>
        </w:sectPr>
      </w:pPr>
    </w:p>
    <w:p>
      <w:pPr>
        <w:ind w:left="280"/>
        <w:spacing w:after="0"/>
        <w:rPr>
          <w:sz w:val="20"/>
          <w:szCs w:val="20"/>
          <w:color w:val="auto"/>
        </w:rPr>
      </w:pPr>
      <w:r>
        <w:rPr>
          <w:rFonts w:ascii="Arial" w:cs="Arial" w:eastAsia="Arial" w:hAnsi="Arial"/>
          <w:sz w:val="12"/>
          <w:szCs w:val="12"/>
          <w:b w:val="1"/>
          <w:bCs w:val="1"/>
          <w:color w:val="auto"/>
        </w:rPr>
        <w:t>(State or other Jurisdicton of Incorporaton)</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Identfcaton No.)</w:t>
      </w:r>
    </w:p>
    <w:p>
      <w:pPr>
        <w:spacing w:after="0" w:line="200" w:lineRule="exact"/>
        <w:rPr>
          <w:sz w:val="24"/>
          <w:szCs w:val="24"/>
          <w:color w:val="auto"/>
        </w:rPr>
      </w:pPr>
    </w:p>
    <w:p>
      <w:pPr>
        <w:sectPr>
          <w:pgSz w:w="11900" w:h="16838" w:orient="portrait"/>
          <w:cols w:equalWidth="0" w:num="3">
            <w:col w:w="4020" w:space="720"/>
            <w:col w:w="2820" w:space="720"/>
            <w:col w:w="2960"/>
          </w:cols>
          <w:pgMar w:left="320" w:top="1012" w:right="339" w:bottom="1440" w:gutter="0" w:footer="0" w:header="0"/>
          <w:type w:val="continuous"/>
        </w:sectPr>
      </w:pPr>
    </w:p>
    <w:p>
      <w:pPr>
        <w:spacing w:after="0" w:line="41" w:lineRule="exact"/>
        <w:rPr>
          <w:sz w:val="24"/>
          <w:szCs w:val="24"/>
          <w:color w:val="auto"/>
        </w:rPr>
      </w:pPr>
    </w:p>
    <w:p>
      <w:pPr>
        <w:ind w:left="880"/>
        <w:spacing w:after="0"/>
        <w:rPr>
          <w:sz w:val="20"/>
          <w:szCs w:val="20"/>
          <w:color w:val="auto"/>
        </w:rPr>
      </w:pPr>
      <w:r>
        <w:rPr>
          <w:rFonts w:ascii="Arial" w:cs="Arial" w:eastAsia="Arial" w:hAnsi="Arial"/>
          <w:sz w:val="15"/>
          <w:szCs w:val="15"/>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55113</w:t>
      </w:r>
    </w:p>
    <w:p>
      <w:pPr>
        <w:spacing w:after="0" w:line="47" w:lineRule="exact"/>
        <w:rPr>
          <w:sz w:val="24"/>
          <w:szCs w:val="24"/>
          <w:color w:val="auto"/>
        </w:rPr>
      </w:pPr>
    </w:p>
    <w:p>
      <w:pPr>
        <w:sectPr>
          <w:pgSz w:w="11900" w:h="16838" w:orient="portrait"/>
          <w:cols w:equalWidth="0" w:num="3">
            <w:col w:w="2760" w:space="400"/>
            <w:col w:w="5440" w:space="720"/>
            <w:col w:w="1920"/>
          </w:cols>
          <w:pgMar w:left="320" w:top="1012" w:right="339" w:bottom="1440" w:gutter="0" w:footer="0" w:header="0"/>
          <w:type w:val="continuous"/>
        </w:sectPr>
      </w:pPr>
    </w:p>
    <w:p>
      <w:pPr>
        <w:ind w:left="1240"/>
        <w:spacing w:after="0"/>
        <w:rPr>
          <w:sz w:val="20"/>
          <w:szCs w:val="20"/>
          <w:color w:val="auto"/>
        </w:rPr>
      </w:pPr>
      <w:r>
        <w:rPr>
          <w:rFonts w:ascii="Arial" w:cs="Arial" w:eastAsia="Arial" w:hAnsi="Arial"/>
          <w:sz w:val="12"/>
          <w:szCs w:val="12"/>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8520" w:space="720"/>
            <w:col w:w="2000"/>
          </w:cols>
          <w:pgMar w:left="320" w:top="1012" w:right="339" w:bottom="1440" w:gutter="0" w:footer="0" w:header="0"/>
          <w:type w:val="continuous"/>
        </w:sect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5" w:lineRule="exact"/>
        <w:rPr>
          <w:sz w:val="24"/>
          <w:szCs w:val="24"/>
          <w:color w:val="auto"/>
        </w:rPr>
      </w:pPr>
    </w:p>
    <w:p>
      <w:pPr>
        <w:ind w:right="240" w:firstLine="446"/>
        <w:spacing w:after="0" w:line="258" w:lineRule="auto"/>
        <w:rPr>
          <w:sz w:val="20"/>
          <w:szCs w:val="20"/>
          <w:color w:val="auto"/>
        </w:rPr>
      </w:pPr>
      <w:r>
        <w:rPr>
          <w:rFonts w:ascii="Arial" w:cs="Arial" w:eastAsia="Arial" w:hAnsi="Arial"/>
          <w:sz w:val="18"/>
          <w:szCs w:val="18"/>
          <w:color w:val="auto"/>
        </w:rPr>
        <w:t>Check the appropriate box below if the Form 8-K fling is intended to simultaneously satsfy the fling obligaton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Instructon A.2. below):</w:t>
      </w:r>
    </w:p>
    <w:p>
      <w:pPr>
        <w:spacing w:after="0" w:line="27"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Writen communicatons pursuant to Rule 425 under the Securites Act (17 CFR 230.425)</w:t>
      </w:r>
    </w:p>
    <w:p>
      <w:pPr>
        <w:spacing w:after="0" w:line="90"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communicatons pursuant to Rule 14d-2(b) under the Exchange Act (17 CFR 240.14d-2(b))</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Securites registered pursuant to Secton 12(b) of the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720" w:type="dxa"/>
            <w:vAlign w:val="bottom"/>
          </w:tcPr>
          <w:p>
            <w:pPr>
              <w:ind w:left="1160"/>
              <w:spacing w:after="0"/>
              <w:rPr>
                <w:sz w:val="20"/>
                <w:szCs w:val="20"/>
                <w:color w:val="auto"/>
              </w:rPr>
            </w:pPr>
            <w:r>
              <w:rPr>
                <w:rFonts w:ascii="Arial" w:cs="Arial" w:eastAsia="Arial" w:hAnsi="Arial"/>
                <w:sz w:val="16"/>
                <w:szCs w:val="16"/>
                <w:b w:val="1"/>
                <w:bCs w:val="1"/>
                <w:color w:val="auto"/>
              </w:rPr>
              <w:t>Title of each class</w:t>
            </w:r>
          </w:p>
        </w:tc>
        <w:tc>
          <w:tcPr>
            <w:tcW w:w="3060" w:type="dxa"/>
            <w:vAlign w:val="bottom"/>
          </w:tcPr>
          <w:p>
            <w:pPr>
              <w:jc w:val="center"/>
              <w:ind w:left="99"/>
              <w:spacing w:after="0"/>
              <w:rPr>
                <w:sz w:val="20"/>
                <w:szCs w:val="20"/>
                <w:color w:val="auto"/>
              </w:rPr>
            </w:pPr>
            <w:r>
              <w:rPr>
                <w:rFonts w:ascii="Arial" w:cs="Arial" w:eastAsia="Arial" w:hAnsi="Arial"/>
                <w:sz w:val="16"/>
                <w:szCs w:val="16"/>
                <w:b w:val="1"/>
                <w:bCs w:val="1"/>
                <w:color w:val="auto"/>
                <w:w w:val="85"/>
              </w:rPr>
              <w:t>Trading Symbol(s)</w:t>
            </w:r>
          </w:p>
        </w:tc>
        <w:tc>
          <w:tcPr>
            <w:tcW w:w="4240" w:type="dxa"/>
            <w:vAlign w:val="bottom"/>
          </w:tcPr>
          <w:p>
            <w:pPr>
              <w:jc w:val="center"/>
              <w:ind w:left="319"/>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39"/>
        </w:trPr>
        <w:tc>
          <w:tcPr>
            <w:tcW w:w="372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3060" w:type="dxa"/>
            <w:vAlign w:val="bottom"/>
          </w:tcPr>
          <w:p>
            <w:pPr>
              <w:jc w:val="center"/>
              <w:ind w:left="99"/>
              <w:spacing w:after="0"/>
              <w:rPr>
                <w:sz w:val="20"/>
                <w:szCs w:val="20"/>
                <w:color w:val="auto"/>
              </w:rPr>
            </w:pPr>
            <w:r>
              <w:rPr>
                <w:rFonts w:ascii="Arial" w:cs="Arial" w:eastAsia="Arial" w:hAnsi="Arial"/>
                <w:sz w:val="16"/>
                <w:szCs w:val="16"/>
                <w:color w:val="auto"/>
                <w:w w:val="89"/>
              </w:rPr>
              <w:t>HWKN</w:t>
            </w:r>
          </w:p>
        </w:tc>
        <w:tc>
          <w:tcPr>
            <w:tcW w:w="4240" w:type="dxa"/>
            <w:vAlign w:val="bottom"/>
          </w:tcPr>
          <w:p>
            <w:pPr>
              <w:jc w:val="center"/>
              <w:ind w:left="319"/>
              <w:spacing w:after="0"/>
              <w:rPr>
                <w:sz w:val="20"/>
                <w:szCs w:val="20"/>
                <w:color w:val="auto"/>
              </w:rPr>
            </w:pPr>
            <w:r>
              <w:rPr>
                <w:rFonts w:ascii="Arial" w:cs="Arial" w:eastAsia="Arial" w:hAnsi="Arial"/>
                <w:sz w:val="16"/>
                <w:szCs w:val="16"/>
                <w:color w:val="auto"/>
                <w:w w:val="87"/>
              </w:rPr>
              <w:t>Nasdaq Stock Market LLC</w:t>
            </w:r>
          </w:p>
        </w:tc>
      </w:tr>
    </w:tbl>
    <w:p>
      <w:pPr>
        <w:spacing w:after="0" w:line="345" w:lineRule="exact"/>
        <w:rPr>
          <w:sz w:val="24"/>
          <w:szCs w:val="24"/>
          <w:color w:val="auto"/>
        </w:rPr>
      </w:pPr>
    </w:p>
    <w:p>
      <w:pPr>
        <w:ind w:right="260"/>
        <w:spacing w:after="0" w:line="266" w:lineRule="auto"/>
        <w:rPr>
          <w:sz w:val="20"/>
          <w:szCs w:val="20"/>
          <w:color w:val="auto"/>
        </w:rPr>
      </w:pPr>
      <w:r>
        <w:rPr>
          <w:rFonts w:ascii="Arial" w:cs="Arial" w:eastAsia="Arial" w:hAnsi="Arial"/>
          <w:sz w:val="18"/>
          <w:szCs w:val="18"/>
          <w:color w:val="auto"/>
        </w:rPr>
        <w:t>Indicate by check mark whether the registrant is an emerging growth company as defned in Rule 405 of the Securites Act of 1933 (17 CFR 230.405) or Rule 12b-2 of the Securites Exchange Act of 1934 (17 CFR 240.12b-2).</w:t>
      </w:r>
    </w:p>
    <w:p>
      <w:pPr>
        <w:spacing w:after="0" w:line="1" w:lineRule="exact"/>
        <w:rPr>
          <w:sz w:val="24"/>
          <w:szCs w:val="24"/>
          <w:color w:val="auto"/>
        </w:rPr>
      </w:pPr>
    </w:p>
    <w:p>
      <w:pPr>
        <w:ind w:left="90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7" w:lineRule="exact"/>
        <w:rPr>
          <w:sz w:val="24"/>
          <w:szCs w:val="24"/>
          <w:color w:val="auto"/>
        </w:rPr>
      </w:pPr>
    </w:p>
    <w:p>
      <w:pPr>
        <w:ind w:right="20"/>
        <w:spacing w:after="0" w:line="24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Maters to a Vote of Security Holders.</w:t>
      </w:r>
    </w:p>
    <w:p>
      <w:pPr>
        <w:spacing w:after="0" w:line="119" w:lineRule="exact"/>
        <w:rPr>
          <w:sz w:val="20"/>
          <w:szCs w:val="20"/>
          <w:color w:val="auto"/>
        </w:rPr>
      </w:pPr>
    </w:p>
    <w:p>
      <w:pPr>
        <w:ind w:right="300" w:firstLine="648"/>
        <w:spacing w:after="0" w:line="273" w:lineRule="auto"/>
        <w:rPr>
          <w:rFonts w:ascii="Arial" w:cs="Arial" w:eastAsia="Arial" w:hAnsi="Arial"/>
          <w:sz w:val="18"/>
          <w:szCs w:val="18"/>
          <w:color w:val="0000FF"/>
        </w:rPr>
      </w:pPr>
      <w:hyperlink r:id="rId9">
        <w:r>
          <w:rPr>
            <w:rFonts w:ascii="Arial" w:cs="Arial" w:eastAsia="Arial" w:hAnsi="Arial"/>
            <w:sz w:val="18"/>
            <w:szCs w:val="18"/>
            <w:color w:val="auto"/>
          </w:rPr>
          <w:t xml:space="preserve">At our annual meetng of shareholders held August 2, 2023, the following proposals, each as described in further detail in the </w:t>
        </w:r>
        <w:r>
          <w:rPr>
            <w:rFonts w:ascii="Arial" w:cs="Arial" w:eastAsia="Arial" w:hAnsi="Arial"/>
            <w:sz w:val="18"/>
            <w:szCs w:val="18"/>
            <w:u w:val="single" w:color="auto"/>
            <w:color w:val="0000FF"/>
          </w:rPr>
          <w:t>defnitve proxy</w:t>
        </w:r>
      </w:hyperlink>
      <w:r>
        <w:rPr>
          <w:rFonts w:ascii="Arial" w:cs="Arial" w:eastAsia="Arial" w:hAnsi="Arial"/>
          <w:sz w:val="18"/>
          <w:szCs w:val="18"/>
          <w:color w:val="auto"/>
        </w:rPr>
        <w:t xml:space="preserve"> </w:t>
      </w:r>
      <w:hyperlink r:id="rId9">
        <w:r>
          <w:rPr>
            <w:rFonts w:ascii="Arial" w:cs="Arial" w:eastAsia="Arial" w:hAnsi="Arial"/>
            <w:sz w:val="18"/>
            <w:szCs w:val="18"/>
            <w:u w:val="single" w:color="auto"/>
            <w:color w:val="0000FF"/>
          </w:rPr>
          <w:t>statement fled by our company on June 20, 2023</w:t>
        </w:r>
        <w:r>
          <w:rPr>
            <w:rFonts w:ascii="Arial" w:cs="Arial" w:eastAsia="Arial" w:hAnsi="Arial"/>
            <w:sz w:val="18"/>
            <w:szCs w:val="18"/>
            <w:color w:val="000000"/>
          </w:rPr>
          <w:t>, were voted upon by our shareholders as set forth below:</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One – Electon of Directors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elected each of the eight nominees to our Board of Directors, based on the following votes: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0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Director Nominee</w:t>
            </w:r>
          </w:p>
        </w:tc>
        <w:tc>
          <w:tcPr>
            <w:tcW w:w="14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For</w:t>
            </w:r>
          </w:p>
        </w:tc>
        <w:tc>
          <w:tcPr>
            <w:tcW w:w="160" w:type="dxa"/>
            <w:vAlign w:val="bottom"/>
          </w:tcPr>
          <w:p>
            <w:pPr>
              <w:spacing w:after="0"/>
              <w:rPr>
                <w:sz w:val="21"/>
                <w:szCs w:val="21"/>
                <w:color w:val="auto"/>
              </w:rPr>
            </w:pPr>
          </w:p>
        </w:tc>
        <w:tc>
          <w:tcPr>
            <w:tcW w:w="26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Withheld</w:t>
            </w:r>
          </w:p>
        </w:tc>
        <w:tc>
          <w:tcPr>
            <w:tcW w:w="14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Broker Non-Vote</w:t>
            </w:r>
          </w:p>
        </w:tc>
      </w:tr>
      <w:tr>
        <w:trPr>
          <w:trHeight w:val="224"/>
        </w:trPr>
        <w:tc>
          <w:tcPr>
            <w:tcW w:w="2700" w:type="dxa"/>
            <w:vAlign w:val="bottom"/>
          </w:tcPr>
          <w:p>
            <w:pPr>
              <w:ind w:left="20"/>
              <w:spacing w:after="0"/>
              <w:rPr>
                <w:sz w:val="20"/>
                <w:szCs w:val="20"/>
                <w:color w:val="auto"/>
              </w:rPr>
            </w:pPr>
            <w:r>
              <w:rPr>
                <w:rFonts w:ascii="Arial" w:cs="Arial" w:eastAsia="Arial" w:hAnsi="Arial"/>
                <w:sz w:val="18"/>
                <w:szCs w:val="18"/>
                <w:color w:val="auto"/>
              </w:rPr>
              <w:t>James A. Faulconbridge</w:t>
            </w:r>
          </w:p>
        </w:tc>
        <w:tc>
          <w:tcPr>
            <w:tcW w:w="14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14,491,872</w:t>
            </w:r>
          </w:p>
        </w:tc>
        <w:tc>
          <w:tcPr>
            <w:tcW w:w="16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1,459,403</w:t>
            </w:r>
          </w:p>
        </w:tc>
        <w:tc>
          <w:tcPr>
            <w:tcW w:w="14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1,927,043</w:t>
            </w:r>
          </w:p>
        </w:tc>
      </w:tr>
      <w:tr>
        <w:trPr>
          <w:trHeight w:val="227"/>
        </w:trPr>
        <w:tc>
          <w:tcPr>
            <w:tcW w:w="2700" w:type="dxa"/>
            <w:vAlign w:val="bottom"/>
          </w:tcPr>
          <w:p>
            <w:pPr>
              <w:ind w:left="20"/>
              <w:spacing w:after="0"/>
              <w:rPr>
                <w:sz w:val="20"/>
                <w:szCs w:val="20"/>
                <w:color w:val="auto"/>
              </w:rPr>
            </w:pPr>
            <w:r>
              <w:rPr>
                <w:rFonts w:ascii="Arial" w:cs="Arial" w:eastAsia="Arial" w:hAnsi="Arial"/>
                <w:sz w:val="18"/>
                <w:szCs w:val="18"/>
                <w:color w:val="auto"/>
              </w:rPr>
              <w:t>Patrick H. Hawkins</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15,573,440</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377,835</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1,927,043</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Yi "Faith" Tang</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15,830,151</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121,124</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1,927,043</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Mary J. Schumacher</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15,412,694</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538,581</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1,927,043</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Daniel J. Stauber</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15,246,625</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704,650</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1,927,043</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James T. Thompson</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15,353,674</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597,601</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1,927,043</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Jefrey L. Wright</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15,389,737</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561,538</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1,927,043</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Jefrey E. Spethmann</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15,780,310</w:t>
            </w:r>
          </w:p>
        </w:tc>
        <w:tc>
          <w:tcPr>
            <w:tcW w:w="28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170,965</w:t>
            </w:r>
          </w:p>
        </w:tc>
        <w:tc>
          <w:tcPr>
            <w:tcW w:w="28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1,927,043</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Two – Vote to Ratfy the Appointment of Grant Thornton LLP</w:t>
      </w:r>
    </w:p>
    <w:p>
      <w:pPr>
        <w:spacing w:after="0" w:line="119" w:lineRule="exact"/>
        <w:rPr>
          <w:sz w:val="20"/>
          <w:szCs w:val="20"/>
          <w:color w:val="auto"/>
        </w:rPr>
      </w:pPr>
    </w:p>
    <w:p>
      <w:pPr>
        <w:ind w:right="220" w:firstLine="648"/>
        <w:spacing w:after="0" w:line="288" w:lineRule="auto"/>
        <w:rPr>
          <w:sz w:val="20"/>
          <w:szCs w:val="20"/>
          <w:color w:val="auto"/>
        </w:rPr>
      </w:pPr>
      <w:r>
        <w:rPr>
          <w:rFonts w:ascii="Arial" w:cs="Arial" w:eastAsia="Arial" w:hAnsi="Arial"/>
          <w:sz w:val="17"/>
          <w:szCs w:val="17"/>
          <w:color w:val="auto"/>
        </w:rPr>
        <w:t>Our shareholders ratfed the appointment of Grant Thornton LLP to serve as the Company's independent registered public accountng frm for the fscal year ending March 31, 2024 as disclosed in the above-referenced proxy statement, based on the votes listed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For</w:t>
            </w:r>
          </w:p>
        </w:tc>
        <w:tc>
          <w:tcPr>
            <w:tcW w:w="14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Against</w:t>
            </w:r>
          </w:p>
        </w:tc>
        <w:tc>
          <w:tcPr>
            <w:tcW w:w="160" w:type="dxa"/>
            <w:vAlign w:val="bottom"/>
          </w:tcPr>
          <w:p>
            <w:pPr>
              <w:spacing w:after="0"/>
              <w:rPr>
                <w:sz w:val="21"/>
                <w:szCs w:val="21"/>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Abstain</w:t>
            </w:r>
          </w:p>
        </w:tc>
        <w:tc>
          <w:tcPr>
            <w:tcW w:w="14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Broker Non-Vote</w:t>
            </w:r>
          </w:p>
        </w:tc>
      </w:tr>
      <w:tr>
        <w:trPr>
          <w:trHeight w:val="227"/>
        </w:trPr>
        <w:tc>
          <w:tcPr>
            <w:tcW w:w="2700" w:type="dxa"/>
            <w:vAlign w:val="bottom"/>
          </w:tcPr>
          <w:p>
            <w:pPr>
              <w:jc w:val="right"/>
              <w:ind w:right="850"/>
              <w:spacing w:after="0"/>
              <w:rPr>
                <w:sz w:val="20"/>
                <w:szCs w:val="20"/>
                <w:color w:val="auto"/>
              </w:rPr>
            </w:pPr>
            <w:r>
              <w:rPr>
                <w:rFonts w:ascii="Arial" w:cs="Arial" w:eastAsia="Arial" w:hAnsi="Arial"/>
                <w:sz w:val="18"/>
                <w:szCs w:val="18"/>
                <w:color w:val="auto"/>
              </w:rPr>
              <w:t>17,813,559</w:t>
            </w:r>
          </w:p>
        </w:tc>
        <w:tc>
          <w:tcPr>
            <w:tcW w:w="140" w:type="dxa"/>
            <w:vAlign w:val="bottom"/>
          </w:tcPr>
          <w:p>
            <w:pPr>
              <w:spacing w:after="0"/>
              <w:rPr>
                <w:sz w:val="19"/>
                <w:szCs w:val="19"/>
                <w:color w:val="auto"/>
              </w:rPr>
            </w:pPr>
          </w:p>
        </w:tc>
        <w:tc>
          <w:tcPr>
            <w:tcW w:w="2680" w:type="dxa"/>
            <w:vAlign w:val="bottom"/>
          </w:tcPr>
          <w:p>
            <w:pPr>
              <w:jc w:val="right"/>
              <w:ind w:right="990"/>
              <w:spacing w:after="0"/>
              <w:rPr>
                <w:sz w:val="20"/>
                <w:szCs w:val="20"/>
                <w:color w:val="auto"/>
              </w:rPr>
            </w:pPr>
            <w:r>
              <w:rPr>
                <w:rFonts w:ascii="Arial" w:cs="Arial" w:eastAsia="Arial" w:hAnsi="Arial"/>
                <w:sz w:val="18"/>
                <w:szCs w:val="18"/>
                <w:color w:val="auto"/>
              </w:rPr>
              <w:t>43,439</w:t>
            </w:r>
          </w:p>
        </w:tc>
        <w:tc>
          <w:tcPr>
            <w:tcW w:w="160" w:type="dxa"/>
            <w:vAlign w:val="bottom"/>
          </w:tcPr>
          <w:p>
            <w:pPr>
              <w:spacing w:after="0"/>
              <w:rPr>
                <w:sz w:val="19"/>
                <w:szCs w:val="19"/>
                <w:color w:val="auto"/>
              </w:rPr>
            </w:pPr>
          </w:p>
        </w:tc>
        <w:tc>
          <w:tcPr>
            <w:tcW w:w="2720" w:type="dxa"/>
            <w:vAlign w:val="bottom"/>
          </w:tcPr>
          <w:p>
            <w:pPr>
              <w:jc w:val="right"/>
              <w:ind w:right="1030"/>
              <w:spacing w:after="0"/>
              <w:rPr>
                <w:sz w:val="20"/>
                <w:szCs w:val="20"/>
                <w:color w:val="auto"/>
              </w:rPr>
            </w:pPr>
            <w:r>
              <w:rPr>
                <w:rFonts w:ascii="Arial" w:cs="Arial" w:eastAsia="Arial" w:hAnsi="Arial"/>
                <w:sz w:val="18"/>
                <w:szCs w:val="18"/>
                <w:color w:val="auto"/>
              </w:rPr>
              <w:t>21,320</w:t>
            </w:r>
          </w:p>
        </w:tc>
        <w:tc>
          <w:tcPr>
            <w:tcW w:w="14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Three – Advisory Vote to Approve Executve Compensaton</w:t>
      </w:r>
    </w:p>
    <w:p>
      <w:pPr>
        <w:spacing w:after="0" w:line="119"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Our shareholders approved, on an advisory basis, the compensaton of our executve ofcers ("say-on-pay") as disclosed in the above-referenced proxy statement, based on the votes listed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For</w:t>
            </w:r>
          </w:p>
        </w:tc>
        <w:tc>
          <w:tcPr>
            <w:tcW w:w="140" w:type="dxa"/>
            <w:vAlign w:val="bottom"/>
          </w:tcPr>
          <w:p>
            <w:pPr>
              <w:spacing w:after="0"/>
              <w:rPr>
                <w:sz w:val="21"/>
                <w:szCs w:val="21"/>
                <w:color w:val="auto"/>
              </w:rPr>
            </w:pPr>
          </w:p>
        </w:tc>
        <w:tc>
          <w:tcPr>
            <w:tcW w:w="26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Against</w:t>
            </w:r>
          </w:p>
        </w:tc>
        <w:tc>
          <w:tcPr>
            <w:tcW w:w="160" w:type="dxa"/>
            <w:vAlign w:val="bottom"/>
          </w:tcPr>
          <w:p>
            <w:pPr>
              <w:spacing w:after="0"/>
              <w:rPr>
                <w:sz w:val="21"/>
                <w:szCs w:val="21"/>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Abstain</w:t>
            </w:r>
          </w:p>
        </w:tc>
        <w:tc>
          <w:tcPr>
            <w:tcW w:w="14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Broker Non-Vote</w:t>
            </w:r>
          </w:p>
        </w:tc>
      </w:tr>
      <w:tr>
        <w:trPr>
          <w:trHeight w:val="227"/>
        </w:trPr>
        <w:tc>
          <w:tcPr>
            <w:tcW w:w="2700" w:type="dxa"/>
            <w:vAlign w:val="bottom"/>
          </w:tcPr>
          <w:p>
            <w:pPr>
              <w:jc w:val="right"/>
              <w:ind w:right="850"/>
              <w:spacing w:after="0"/>
              <w:rPr>
                <w:sz w:val="20"/>
                <w:szCs w:val="20"/>
                <w:color w:val="auto"/>
              </w:rPr>
            </w:pPr>
            <w:r>
              <w:rPr>
                <w:rFonts w:ascii="Arial" w:cs="Arial" w:eastAsia="Arial" w:hAnsi="Arial"/>
                <w:sz w:val="18"/>
                <w:szCs w:val="18"/>
                <w:color w:val="auto"/>
              </w:rPr>
              <w:t>14,956,381</w:t>
            </w:r>
          </w:p>
        </w:tc>
        <w:tc>
          <w:tcPr>
            <w:tcW w:w="140" w:type="dxa"/>
            <w:vAlign w:val="bottom"/>
          </w:tcPr>
          <w:p>
            <w:pPr>
              <w:spacing w:after="0"/>
              <w:rPr>
                <w:sz w:val="19"/>
                <w:szCs w:val="19"/>
                <w:color w:val="auto"/>
              </w:rPr>
            </w:pPr>
          </w:p>
        </w:tc>
        <w:tc>
          <w:tcPr>
            <w:tcW w:w="2680" w:type="dxa"/>
            <w:vAlign w:val="bottom"/>
          </w:tcPr>
          <w:p>
            <w:pPr>
              <w:ind w:left="1040"/>
              <w:spacing w:after="0"/>
              <w:rPr>
                <w:sz w:val="20"/>
                <w:szCs w:val="20"/>
                <w:color w:val="auto"/>
              </w:rPr>
            </w:pPr>
            <w:r>
              <w:rPr>
                <w:rFonts w:ascii="Arial" w:cs="Arial" w:eastAsia="Arial" w:hAnsi="Arial"/>
                <w:sz w:val="18"/>
                <w:szCs w:val="18"/>
                <w:color w:val="auto"/>
              </w:rPr>
              <w:t>948,422</w:t>
            </w:r>
          </w:p>
        </w:tc>
        <w:tc>
          <w:tcPr>
            <w:tcW w:w="160" w:type="dxa"/>
            <w:vAlign w:val="bottom"/>
          </w:tcPr>
          <w:p>
            <w:pPr>
              <w:spacing w:after="0"/>
              <w:rPr>
                <w:sz w:val="19"/>
                <w:szCs w:val="19"/>
                <w:color w:val="auto"/>
              </w:rPr>
            </w:pPr>
          </w:p>
        </w:tc>
        <w:tc>
          <w:tcPr>
            <w:tcW w:w="2720" w:type="dxa"/>
            <w:vAlign w:val="bottom"/>
          </w:tcPr>
          <w:p>
            <w:pPr>
              <w:jc w:val="right"/>
              <w:ind w:right="1030"/>
              <w:spacing w:after="0"/>
              <w:rPr>
                <w:sz w:val="20"/>
                <w:szCs w:val="20"/>
                <w:color w:val="auto"/>
              </w:rPr>
            </w:pPr>
            <w:r>
              <w:rPr>
                <w:rFonts w:ascii="Arial" w:cs="Arial" w:eastAsia="Arial" w:hAnsi="Arial"/>
                <w:sz w:val="18"/>
                <w:szCs w:val="18"/>
                <w:color w:val="auto"/>
              </w:rPr>
              <w:t>46,472</w:t>
            </w:r>
          </w:p>
        </w:tc>
        <w:tc>
          <w:tcPr>
            <w:tcW w:w="140" w:type="dxa"/>
            <w:vAlign w:val="bottom"/>
          </w:tcPr>
          <w:p>
            <w:pPr>
              <w:spacing w:after="0"/>
              <w:rPr>
                <w:sz w:val="19"/>
                <w:szCs w:val="19"/>
                <w:color w:val="auto"/>
              </w:rPr>
            </w:pPr>
          </w:p>
        </w:tc>
        <w:tc>
          <w:tcPr>
            <w:tcW w:w="2680" w:type="dxa"/>
            <w:vAlign w:val="bottom"/>
          </w:tcPr>
          <w:p>
            <w:pPr>
              <w:jc w:val="right"/>
              <w:ind w:right="890"/>
              <w:spacing w:after="0"/>
              <w:rPr>
                <w:sz w:val="20"/>
                <w:szCs w:val="20"/>
                <w:color w:val="auto"/>
              </w:rPr>
            </w:pPr>
            <w:r>
              <w:rPr>
                <w:rFonts w:ascii="Arial" w:cs="Arial" w:eastAsia="Arial" w:hAnsi="Arial"/>
                <w:sz w:val="18"/>
                <w:szCs w:val="18"/>
                <w:color w:val="auto"/>
              </w:rPr>
              <w:t>1,927,043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Four – Advisory Vote to Recommend the Frequency of Votes to Approve Executve Compensaton</w:t>
      </w:r>
    </w:p>
    <w:p>
      <w:pPr>
        <w:spacing w:after="0" w:line="11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8"/>
          <w:szCs w:val="18"/>
          <w:color w:val="auto"/>
        </w:rPr>
        <w:t>Our shareholders voted to recommend, on an advisory basis, the frequency of future votes to approve executve compensaton ("say-when-on-pay" vote) as disclosed in the above-referenced proxy statement, based on the votes listed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5"/>
              </w:rPr>
              <w:t>1 Year</w:t>
            </w:r>
          </w:p>
        </w:tc>
        <w:tc>
          <w:tcPr>
            <w:tcW w:w="140" w:type="dxa"/>
            <w:vAlign w:val="bottom"/>
          </w:tcPr>
          <w:p>
            <w:pPr>
              <w:spacing w:after="0"/>
              <w:rPr>
                <w:sz w:val="20"/>
                <w:szCs w:val="20"/>
                <w:color w:val="auto"/>
              </w:rPr>
            </w:pPr>
          </w:p>
        </w:tc>
        <w:tc>
          <w:tcPr>
            <w:tcW w:w="2160" w:type="dxa"/>
            <w:vAlign w:val="bottom"/>
          </w:tcPr>
          <w:p>
            <w:pPr>
              <w:ind w:left="820"/>
              <w:spacing w:after="0"/>
              <w:rPr>
                <w:sz w:val="20"/>
                <w:szCs w:val="20"/>
                <w:color w:val="auto"/>
              </w:rPr>
            </w:pPr>
            <w:r>
              <w:rPr>
                <w:rFonts w:ascii="Arial" w:cs="Arial" w:eastAsia="Arial" w:hAnsi="Arial"/>
                <w:sz w:val="18"/>
                <w:szCs w:val="18"/>
                <w:b w:val="1"/>
                <w:bCs w:val="1"/>
                <w:color w:val="auto"/>
              </w:rPr>
              <w:t>2 Years</w:t>
            </w:r>
          </w:p>
        </w:tc>
        <w:tc>
          <w:tcPr>
            <w:tcW w:w="1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1"/>
              </w:rPr>
              <w:t>3 Years</w:t>
            </w:r>
          </w:p>
        </w:tc>
        <w:tc>
          <w:tcPr>
            <w:tcW w:w="16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4"/>
              </w:rPr>
              <w:t>Abstain</w:t>
            </w: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6"/>
              </w:rPr>
              <w:t>Broker Non-Vote</w:t>
            </w:r>
          </w:p>
        </w:tc>
        <w:tc>
          <w:tcPr>
            <w:tcW w:w="0" w:type="dxa"/>
            <w:vAlign w:val="bottom"/>
          </w:tcPr>
          <w:p>
            <w:pPr>
              <w:spacing w:after="0"/>
              <w:rPr>
                <w:sz w:val="1"/>
                <w:szCs w:val="1"/>
                <w:color w:val="auto"/>
              </w:rPr>
            </w:pPr>
          </w:p>
        </w:tc>
      </w:tr>
      <w:tr>
        <w:trPr>
          <w:trHeight w:val="33"/>
        </w:trPr>
        <w:tc>
          <w:tcPr>
            <w:tcW w:w="21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140" w:type="dxa"/>
            <w:vAlign w:val="bottom"/>
          </w:tcPr>
          <w:p>
            <w:pPr>
              <w:jc w:val="right"/>
              <w:ind w:right="570"/>
              <w:spacing w:after="0"/>
              <w:rPr>
                <w:sz w:val="20"/>
                <w:szCs w:val="20"/>
                <w:color w:val="auto"/>
              </w:rPr>
            </w:pPr>
            <w:r>
              <w:rPr>
                <w:rFonts w:ascii="Arial" w:cs="Arial" w:eastAsia="Arial" w:hAnsi="Arial"/>
                <w:sz w:val="18"/>
                <w:szCs w:val="18"/>
                <w:color w:val="auto"/>
              </w:rPr>
              <w:t>14,627,367</w:t>
            </w:r>
          </w:p>
        </w:tc>
        <w:tc>
          <w:tcPr>
            <w:tcW w:w="140" w:type="dxa"/>
            <w:vAlign w:val="bottom"/>
            <w:vMerge w:val="continue"/>
          </w:tcPr>
          <w:p>
            <w:pPr>
              <w:spacing w:after="0"/>
              <w:rPr>
                <w:sz w:val="19"/>
                <w:szCs w:val="19"/>
                <w:color w:val="auto"/>
              </w:rPr>
            </w:pPr>
          </w:p>
        </w:tc>
        <w:tc>
          <w:tcPr>
            <w:tcW w:w="2160" w:type="dxa"/>
            <w:vAlign w:val="bottom"/>
          </w:tcPr>
          <w:p>
            <w:pPr>
              <w:ind w:left="840"/>
              <w:spacing w:after="0"/>
              <w:rPr>
                <w:sz w:val="20"/>
                <w:szCs w:val="20"/>
                <w:color w:val="auto"/>
              </w:rPr>
            </w:pPr>
            <w:r>
              <w:rPr>
                <w:rFonts w:ascii="Arial" w:cs="Arial" w:eastAsia="Arial" w:hAnsi="Arial"/>
                <w:sz w:val="18"/>
                <w:szCs w:val="18"/>
                <w:color w:val="auto"/>
              </w:rPr>
              <w:t>16,238</w:t>
            </w:r>
          </w:p>
        </w:tc>
        <w:tc>
          <w:tcPr>
            <w:tcW w:w="140" w:type="dxa"/>
            <w:vAlign w:val="bottom"/>
            <w:vMerge w:val="continue"/>
          </w:tcPr>
          <w:p>
            <w:pPr>
              <w:spacing w:after="0"/>
              <w:rPr>
                <w:sz w:val="19"/>
                <w:szCs w:val="19"/>
                <w:color w:val="auto"/>
              </w:rPr>
            </w:pPr>
          </w:p>
        </w:tc>
        <w:tc>
          <w:tcPr>
            <w:tcW w:w="2160" w:type="dxa"/>
            <w:vAlign w:val="bottom"/>
          </w:tcPr>
          <w:p>
            <w:pPr>
              <w:jc w:val="right"/>
              <w:ind w:right="630"/>
              <w:spacing w:after="0"/>
              <w:rPr>
                <w:sz w:val="20"/>
                <w:szCs w:val="20"/>
                <w:color w:val="auto"/>
              </w:rPr>
            </w:pPr>
            <w:r>
              <w:rPr>
                <w:rFonts w:ascii="Arial" w:cs="Arial" w:eastAsia="Arial" w:hAnsi="Arial"/>
                <w:sz w:val="18"/>
                <w:szCs w:val="18"/>
                <w:color w:val="auto"/>
              </w:rPr>
              <w:t>1,299,213</w:t>
            </w:r>
          </w:p>
        </w:tc>
        <w:tc>
          <w:tcPr>
            <w:tcW w:w="160" w:type="dxa"/>
            <w:vAlign w:val="bottom"/>
            <w:vMerge w:val="continue"/>
          </w:tcPr>
          <w:p>
            <w:pPr>
              <w:spacing w:after="0"/>
              <w:rPr>
                <w:sz w:val="19"/>
                <w:szCs w:val="19"/>
                <w:color w:val="auto"/>
              </w:rPr>
            </w:pPr>
          </w:p>
        </w:tc>
        <w:tc>
          <w:tcPr>
            <w:tcW w:w="2140" w:type="dxa"/>
            <w:vAlign w:val="bottom"/>
          </w:tcPr>
          <w:p>
            <w:pPr>
              <w:jc w:val="right"/>
              <w:ind w:right="770"/>
              <w:spacing w:after="0"/>
              <w:rPr>
                <w:sz w:val="20"/>
                <w:szCs w:val="20"/>
                <w:color w:val="auto"/>
              </w:rPr>
            </w:pPr>
            <w:r>
              <w:rPr>
                <w:rFonts w:ascii="Arial" w:cs="Arial" w:eastAsia="Arial" w:hAnsi="Arial"/>
                <w:sz w:val="18"/>
                <w:szCs w:val="18"/>
                <w:color w:val="auto"/>
              </w:rPr>
              <w:t>8,457</w:t>
            </w:r>
          </w:p>
        </w:tc>
        <w:tc>
          <w:tcPr>
            <w:tcW w:w="100" w:type="dxa"/>
            <w:vAlign w:val="bottom"/>
            <w:vMerge w:val="continue"/>
          </w:tcPr>
          <w:p>
            <w:pPr>
              <w:spacing w:after="0"/>
              <w:rPr>
                <w:sz w:val="19"/>
                <w:szCs w:val="19"/>
                <w:color w:val="auto"/>
              </w:rPr>
            </w:pP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1,927,043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240" w:firstLine="648"/>
        <w:spacing w:after="0" w:line="273" w:lineRule="auto"/>
        <w:rPr>
          <w:sz w:val="20"/>
          <w:szCs w:val="20"/>
          <w:color w:val="auto"/>
        </w:rPr>
      </w:pPr>
      <w:r>
        <w:rPr>
          <w:rFonts w:ascii="Arial" w:cs="Arial" w:eastAsia="Arial" w:hAnsi="Arial"/>
          <w:sz w:val="18"/>
          <w:szCs w:val="18"/>
          <w:color w:val="auto"/>
        </w:rPr>
        <w:t>Based on the votng results, the Board of Directors has determined to include a shareholder vote to approve the executve compensaton in its proxy materials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300" w:firstLine="446"/>
        <w:spacing w:after="0" w:line="273" w:lineRule="auto"/>
        <w:rPr>
          <w:sz w:val="20"/>
          <w:szCs w:val="20"/>
          <w:color w:val="auto"/>
        </w:rPr>
      </w:pPr>
      <w:r>
        <w:rPr>
          <w:rFonts w:ascii="Arial" w:cs="Arial" w:eastAsia="Arial" w:hAnsi="Arial"/>
          <w:sz w:val="18"/>
          <w:szCs w:val="18"/>
          <w:color w:val="auto"/>
        </w:rPr>
        <w:t>Pursuant to the requirements of the Securites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20" w:type="dxa"/>
            <w:vAlign w:val="bottom"/>
          </w:tcPr>
          <w:p>
            <w:pPr>
              <w:spacing w:after="0"/>
              <w:rPr>
                <w:sz w:val="19"/>
                <w:szCs w:val="19"/>
                <w:color w:val="auto"/>
              </w:rPr>
            </w:pPr>
          </w:p>
        </w:tc>
        <w:tc>
          <w:tcPr>
            <w:tcW w:w="3020" w:type="dxa"/>
            <w:vAlign w:val="bottom"/>
            <w:gridSpan w:val="2"/>
          </w:tcPr>
          <w:p>
            <w:pPr>
              <w:ind w:left="1480"/>
              <w:spacing w:after="0"/>
              <w:rPr>
                <w:sz w:val="20"/>
                <w:szCs w:val="20"/>
                <w:color w:val="auto"/>
              </w:rPr>
            </w:pPr>
            <w:r>
              <w:rPr>
                <w:rFonts w:ascii="Arial" w:cs="Arial" w:eastAsia="Arial" w:hAnsi="Arial"/>
                <w:sz w:val="18"/>
                <w:szCs w:val="18"/>
                <w:color w:val="auto"/>
              </w:rPr>
              <w:t>HAWKINS, INC.</w:t>
            </w:r>
          </w:p>
        </w:tc>
        <w:tc>
          <w:tcPr>
            <w:tcW w:w="5180" w:type="dxa"/>
            <w:vAlign w:val="bottom"/>
          </w:tcPr>
          <w:p>
            <w:pPr>
              <w:spacing w:after="0"/>
              <w:rPr>
                <w:sz w:val="19"/>
                <w:szCs w:val="19"/>
                <w:color w:val="auto"/>
              </w:rPr>
            </w:pPr>
          </w:p>
        </w:tc>
      </w:tr>
      <w:tr>
        <w:trPr>
          <w:trHeight w:val="297"/>
        </w:trPr>
        <w:tc>
          <w:tcPr>
            <w:tcW w:w="3020" w:type="dxa"/>
            <w:vAlign w:val="bottom"/>
          </w:tcPr>
          <w:p>
            <w:pPr>
              <w:spacing w:after="0"/>
              <w:rPr>
                <w:sz w:val="20"/>
                <w:szCs w:val="20"/>
                <w:color w:val="auto"/>
              </w:rPr>
            </w:pPr>
            <w:r>
              <w:rPr>
                <w:rFonts w:ascii="Arial" w:cs="Arial" w:eastAsia="Arial" w:hAnsi="Arial"/>
                <w:sz w:val="18"/>
                <w:szCs w:val="18"/>
                <w:color w:val="auto"/>
              </w:rPr>
              <w:t>Date: August 3, 2022</w:t>
            </w:r>
          </w:p>
        </w:tc>
        <w:tc>
          <w:tcPr>
            <w:tcW w:w="3020" w:type="dxa"/>
            <w:vAlign w:val="bottom"/>
            <w:gridSpan w:val="2"/>
          </w:tcPr>
          <w:p>
            <w:pPr>
              <w:ind w:left="1480"/>
              <w:spacing w:after="0"/>
              <w:rPr>
                <w:sz w:val="20"/>
                <w:szCs w:val="20"/>
                <w:color w:val="auto"/>
              </w:rPr>
            </w:pPr>
            <w:r>
              <w:rPr>
                <w:rFonts w:ascii="Arial" w:cs="Arial" w:eastAsia="Arial" w:hAnsi="Arial"/>
                <w:sz w:val="18"/>
                <w:szCs w:val="18"/>
                <w:color w:val="auto"/>
              </w:rPr>
              <w:t>By:</w:t>
            </w:r>
          </w:p>
        </w:tc>
        <w:tc>
          <w:tcPr>
            <w:tcW w:w="5180" w:type="dxa"/>
            <w:vAlign w:val="bottom"/>
          </w:tcPr>
          <w:p>
            <w:pPr>
              <w:jc w:val="center"/>
              <w:ind w:right="830"/>
              <w:spacing w:after="0"/>
              <w:rPr>
                <w:sz w:val="20"/>
                <w:szCs w:val="20"/>
                <w:color w:val="auto"/>
              </w:rPr>
            </w:pPr>
            <w:r>
              <w:rPr>
                <w:rFonts w:ascii="Arial" w:cs="Arial" w:eastAsia="Arial" w:hAnsi="Arial"/>
                <w:sz w:val="18"/>
                <w:szCs w:val="18"/>
                <w:color w:val="auto"/>
                <w:w w:val="89"/>
              </w:rPr>
              <w:t>/s/ Richard G. Erstad</w:t>
            </w:r>
          </w:p>
        </w:tc>
      </w:tr>
      <w:tr>
        <w:trPr>
          <w:trHeight w:val="22"/>
        </w:trPr>
        <w:tc>
          <w:tcPr>
            <w:tcW w:w="3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204"/>
        </w:trPr>
        <w:tc>
          <w:tcPr>
            <w:tcW w:w="30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180" w:type="dxa"/>
            <w:vAlign w:val="bottom"/>
          </w:tcPr>
          <w:p>
            <w:pPr>
              <w:jc w:val="center"/>
              <w:ind w:right="850"/>
              <w:spacing w:after="0" w:line="204" w:lineRule="exact"/>
              <w:rPr>
                <w:sz w:val="20"/>
                <w:szCs w:val="20"/>
                <w:color w:val="auto"/>
              </w:rPr>
            </w:pPr>
            <w:r>
              <w:rPr>
                <w:rFonts w:ascii="Arial" w:cs="Arial" w:eastAsia="Arial" w:hAnsi="Arial"/>
                <w:sz w:val="18"/>
                <w:szCs w:val="18"/>
                <w:color w:val="auto"/>
                <w:w w:val="86"/>
              </w:rPr>
              <w:t>Richard G. Erstad</w:t>
            </w:r>
          </w:p>
        </w:tc>
      </w:tr>
      <w:tr>
        <w:trPr>
          <w:trHeight w:val="227"/>
        </w:trPr>
        <w:tc>
          <w:tcPr>
            <w:tcW w:w="3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180" w:type="dxa"/>
            <w:vAlign w:val="bottom"/>
          </w:tcPr>
          <w:p>
            <w:pPr>
              <w:jc w:val="center"/>
              <w:ind w:right="850"/>
              <w:spacing w:after="0"/>
              <w:rPr>
                <w:sz w:val="20"/>
                <w:szCs w:val="20"/>
                <w:color w:val="auto"/>
              </w:rPr>
            </w:pPr>
            <w:r>
              <w:rPr>
                <w:rFonts w:ascii="Arial" w:cs="Arial" w:eastAsia="Arial" w:hAnsi="Arial"/>
                <w:sz w:val="18"/>
                <w:szCs w:val="18"/>
                <w:color w:val="auto"/>
                <w:w w:val="88"/>
              </w:rPr>
              <w:t>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9" Type="http://schemas.openxmlformats.org/officeDocument/2006/relationships/hyperlink" Target="https://www.sec.gov/ix?doc=/Archives/edgar/data/46250/000004625023000019/hwkn-202306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2023-08-03T15:19:31Z</dcterms:created>
  <dcterms:modified xsi:type="dcterms:W3CDTF">2023-08-03T15:19:31Z</dcterms:modified>
</cp:coreProperties>
</file>