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18, 2022</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30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620" w:space="720"/>
            <w:col w:w="2860" w:space="720"/>
            <w:col w:w="2320"/>
          </w:cols>
          <w:pgMar w:left="320" w:top="1035" w:right="339" w:bottom="1440" w:gutter="0" w:footer="0" w:header="0"/>
          <w:type w:val="continuous"/>
        </w:sectPr>
      </w:pPr>
    </w:p>
    <w:p>
      <w:pPr>
        <w:ind w:left="84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980" w:space="720"/>
            <w:col w:w="2860" w:space="720"/>
            <w:col w:w="2960"/>
          </w:cols>
          <w:pgMar w:left="320" w:top="1035" w:right="339" w:bottom="1440" w:gutter="0" w:footer="0" w:header="0"/>
          <w:type w:val="continuous"/>
        </w:sect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tab/>
        <w:t>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640" w:space="720"/>
            <w:col w:w="188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jc w:val="both"/>
        <w:ind w:right="2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On May 18, 2022, Hawkins, Inc. issued a press release announcing financial results for its fourth quarter and fiscal year ended April 3, 2022. A copy of the press release issued by the Registrant is furnished herewith as Exhibit 99.1 hereto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160" w:type="dxa"/>
            <w:vAlign w:val="bottom"/>
          </w:tcPr>
          <w:p>
            <w:pPr>
              <w:spacing w:after="0"/>
              <w:rPr>
                <w:sz w:val="14"/>
                <w:szCs w:val="14"/>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1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r>
      <w:tr>
        <w:trPr>
          <w:trHeight w:val="222"/>
        </w:trPr>
        <w:tc>
          <w:tcPr>
            <w:tcW w:w="1420" w:type="dxa"/>
            <w:vAlign w:val="bottom"/>
            <w:gridSpan w:val="3"/>
          </w:tcPr>
          <w:p>
            <w:pPr>
              <w:ind w:left="1060"/>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16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Arial" w:cs="Arial" w:eastAsia="Arial" w:hAnsi="Arial"/>
                <w:sz w:val="18"/>
                <w:szCs w:val="18"/>
                <w:color w:val="auto"/>
              </w:rPr>
              <w:t>Press Release, dated May 18, 2022, announcing financial results of Hawkins, Inc. for its</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06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fourth quarter and fiscal year ended April 3, 2022.</w:t>
            </w:r>
          </w:p>
        </w:tc>
        <w:tc>
          <w:tcPr>
            <w:tcW w:w="2040" w:type="dxa"/>
            <w:vAlign w:val="bottom"/>
          </w:tcPr>
          <w:p>
            <w:pPr>
              <w:spacing w:after="0"/>
              <w:rPr>
                <w:sz w:val="17"/>
                <w:szCs w:val="17"/>
                <w:color w:val="auto"/>
              </w:rPr>
            </w:pPr>
          </w:p>
        </w:tc>
      </w:tr>
      <w:tr>
        <w:trPr>
          <w:trHeight w:val="229"/>
        </w:trPr>
        <w:tc>
          <w:tcPr>
            <w:tcW w:w="1400" w:type="dxa"/>
            <w:vAlign w:val="bottom"/>
            <w:gridSpan w:val="2"/>
          </w:tcPr>
          <w:p>
            <w:pPr>
              <w:ind w:left="10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2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1222"/>
        </w:trPr>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p>
      <w:pPr>
        <w:ind w:left="20"/>
        <w:spacing w:after="0"/>
        <w:tabs>
          <w:tab w:leader="none" w:pos="4480" w:val="left"/>
          <w:tab w:leader="none" w:pos="7140" w:val="left"/>
        </w:tabs>
        <w:rPr>
          <w:sz w:val="20"/>
          <w:szCs w:val="20"/>
          <w:color w:val="auto"/>
        </w:rPr>
      </w:pPr>
      <w:r>
        <w:rPr>
          <w:rFonts w:ascii="Arial" w:cs="Arial" w:eastAsia="Arial" w:hAnsi="Arial"/>
          <w:sz w:val="18"/>
          <w:szCs w:val="18"/>
          <w:color w:val="auto"/>
        </w:rPr>
        <w:t>Date: May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6350</wp:posOffset>
            </wp:positionV>
            <wp:extent cx="3900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860"/>
          </w:cols>
          <w:pgMar w:left="320" w:top="886" w:right="71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18, 2022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Fiscal Year 2022 Results</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ROSEVILLE, Minn., May 18, 2022 – Hawkins, Inc. (Nasdaq: HWKN), a leading specialty chemical and ingredients company, today announced fourth quarter and full-year results for its fiscal year ended April 3,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Year 2022 Highlights:</w:t>
      </w:r>
    </w:p>
    <w:p>
      <w:pPr>
        <w:spacing w:after="0" w:line="26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Record quarterly sales in the fourth quarter of $223.0 million, a 37% year-over-year increase.</w:t>
      </w:r>
    </w:p>
    <w:p>
      <w:pPr>
        <w:spacing w:after="0" w:line="12" w:lineRule="exact"/>
        <w:rPr>
          <w:rFonts w:ascii="Arial" w:cs="Arial" w:eastAsia="Arial" w:hAnsi="Arial"/>
          <w:sz w:val="22"/>
          <w:szCs w:val="22"/>
          <w:color w:val="auto"/>
        </w:rPr>
      </w:pPr>
    </w:p>
    <w:p>
      <w:pPr>
        <w:ind w:left="660" w:right="20" w:hanging="328"/>
        <w:spacing w:after="0" w:line="21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Gross profit of $36.3 million for the quarter, a 14% increase over the same period of the prior year, while absorbing $8.2 million in incremental LIFO expense in the quarter.</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Record fourth quarter diluted earnings per share (EPS) of $0.50, which was 16% higher than the same period of the prior year.</w:t>
      </w:r>
    </w:p>
    <w:p>
      <w:pPr>
        <w:spacing w:after="0" w:line="13"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Adjusted earnings before interest, taxes, depreciation, and amortization (adjusted EBITDA), a non-GAAP measure, of $22.3 million, an 11% increase over the same period of the prior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Fiscal Year 2022 Highlights:</w:t>
      </w:r>
    </w:p>
    <w:p>
      <w:pPr>
        <w:spacing w:after="0" w:line="2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annual sales of $774.5 million for fiscal 2022, a 30% year-over-year increase.</w:t>
      </w:r>
    </w:p>
    <w:p>
      <w:pPr>
        <w:spacing w:after="0" w:line="12"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gross profit of $146.5 million for the year, an 18% increase over the prior year, which contributed to a 27% year-over-year increase in operating income.</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diluted EPS of $2.44, which was $0.51, or 26%, higher than fiscal 2021.</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adjusted EBITDA, a non-GAAP measure, of $99.7 million, an increase of 19% over fiscal 2021.</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Full year net income increased 26% over the prior year.</w:t>
      </w:r>
    </w:p>
    <w:p>
      <w:pPr>
        <w:spacing w:after="0" w:line="10" w:lineRule="exact"/>
        <w:rPr>
          <w:rFonts w:ascii="Arial" w:cs="Arial" w:eastAsia="Arial" w:hAnsi="Arial"/>
          <w:sz w:val="22"/>
          <w:szCs w:val="22"/>
          <w:color w:val="auto"/>
        </w:rPr>
      </w:pPr>
    </w:p>
    <w:p>
      <w:pPr>
        <w:ind w:left="660" w:right="20" w:hanging="328"/>
        <w:spacing w:after="0" w:line="20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Paid cash dividends of $0.5225 per share for the year, representing an increase of 11% over the prior year. This marks the 37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of paying a dividend.</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Completed three acquisitions during the year.</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Ended the year with net debt of $123 million and a leverage ratio of 1.25x.</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Issued our second annual ESG report, with a goal of being carbon neutral by 2040.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4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third year in a row we generated record operating income, net income, diluted EPS, and adjusted EBITDA, while achieving record sales of $775 million and adjusted EBITDA of $100 million in fiscal 2022. This strong three-year run has delivered compounded EPS growth of 29% over that timeframe. This performance is the result of the hard work by our many employees, our innovative solutions to the opportunities that have arisen, as well as outstanding relationships with our customers and suppliers, which we never take for granted. In fiscal 2022, we made significant investments in added personnel and other resources that we expect to leverage in the coming years to grow the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Mr. Hawkins, continued, “We had 30% revenue growth for the year, which included the results of our six acquisitions over the past 18 months</w:t>
      </w:r>
    </w:p>
    <w:p>
      <w:pPr>
        <w:spacing w:after="0" w:line="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a 27% organic growth from our existing business, with all three reporting segments growing over the prior year. Sales in our Industrial segment grew 42% over the prior year, with more than half of the year-over-year growth coming from our higher-margin business in agricultural, pharmaceutical and food ingredient product lines. Our margins continued to be impacted by macro-economic pressures, including inflation and global supply chain disruptions. Despite these headwinds, we generated $71 million of operating income, an increase of $15 million over the prior year and included a LIFO impact of nearly $16 million in fiscal 2022 due to unprecedented rising raw material costs. We look forward to continuing our topline growth into fiscal 2023 and managing our cost structure to drive our bottom line.”</w:t>
      </w:r>
    </w:p>
    <w:p>
      <w:pPr>
        <w:sectPr>
          <w:pgSz w:w="11900" w:h="16838" w:orient="portrait"/>
          <w:cols w:equalWidth="0" w:num="1">
            <w:col w:w="11240"/>
          </w:cols>
          <w:pgMar w:left="320" w:top="94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Fourth Quarter and Fiscal Year Financial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fourth quarter of fiscal 2022, the Company reported net income of $10.6 million, or $0.50 per diluted share, compared to net income for the fourth quarter of fiscal 2021 of $9.1 million, or $0.43 per diluted share.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full year, the Company reported record net income of $51.5 million, or $2.44 per diluted share, compared to net income for fiscal 2021 of $41.0 million, or $1.93 per diluted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6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For the fourth quarter of fiscal 2022, sales were $223.0 million, an increase of $60.0 million, or 37%, from sales of $163.0 million a year ago. Industrial segment sales increased $41.0 million, or 54%, to $117.4 million for the current quarter, as compared to $76.3 million for the same period a year ago. We estimate the impact of the extra week in the quarter to be approximately $10.0 million in additional sales in the Industrial segment. In addition, the increase in sales was driven by increased selling prices on many of our products driven by higher costs on many of our raw materials, as well as increased sales volumes of our bulk and our manufactured, blended and repackaged products. Water Treatment segment sales increased $18.5 million, or 45%, to $60.0 million for the current quarter, as compared to $41.5 million for the same period a year ago. We estimate the impact of the extra week in the quarter to be approximately $4.0 million in additional sales in the Water Treatment segment. In addition, sales increased as a result of increased demand for our products as well as the added sales from acquisitions. Health and Nutrition segment sales increased $0.4 million, or 1%, to $45.6 million for the current quarter, as compared to $45.2 million for the same period a year ago. We estimate the impact of the extra week in the quarter to be approximately $3.5 million in additional sales in the Health and Nutrition segment, which was partially offset by the normalizing of demand for our manufactured products when compared to the temporary COVID-driven increase in demand these products experienced in the prior year.</w:t>
      </w:r>
    </w:p>
    <w:p>
      <w:pPr>
        <w:spacing w:after="0" w:line="22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For fiscal 2022, Industrial segment sales were $386.9 million, an increase of 42% from fiscal 2021 sales of $273.4 million. Water Treatment segment sales were $228.1 million for the year, an increase of 34% over last year’s sales of $170.0 million. Sales for our Health and Nutrition segment were $159.5 million in fiscal 2022, an increase of 4% from fiscal 2021 sales of $153.5 million. We estimate the total impact of the extra week in the year to be approximately $17.5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Company-wide gross profit for fiscal 2022 increased $22.8 million, or 18%, to $146.5 million, or 19% of sales, from $123.8 million, or 21% of sales, for the same period of the prior year. During fiscal 2022, the LIFO reserve increased, and gross profits decreased, by $15.8 million, primarily due to rising input costs. In fiscal 2021, the LIFO reserve decreased, and gross profits increased, by $0.1 million. We estimated the impact of the 53rd week in fiscal 2022 to be approximately $3.6 million in additional gross profit.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Industrial segment increased $16.3 million, or 38%, to $59.6 million, or 15% of sales, for fiscal 2022, from $43.3 million, or 16% of sales, for fiscal 2021. During fiscal 2022, the LIFO reserve increased, and gross profits decreased, by $10.4 million, primarily due to rising raw material costs. In fiscal 2021, the LIFO reserve decreased, and gross profits increased, by $0.2 million. We estimated the impact of the 53rd week in fiscal 2022 to be approximately $1.9 million in additional gross profit in the Industrial segment. In addition, gross profit increased as a result of the increase in sales, partially offset by the negative impact as a result of the increase in LIFO reserve.</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Water Treatment segment increased $7.8 million, or 17%, to $54.6 million, or 24% of sales, for fiscal 2022, from $46.8 million, or 28% of sales, for fiscal 2021. During fiscal 2022, the LIFO reserve increased, and gross profits decreased, by $5.4 million, primarily due to rising raw material costs. During fiscal 2021, the LIFO reserve increased, and gross profit decreased, by $0.1 million. We estimated the impact of the 53rd week in fiscal 2022 to be approximately $1.0 million in additional gross profit in the Water Treatment segment. In addition, gross profit increased as a result of the increase in sales.</w:t>
      </w:r>
    </w:p>
    <w:p>
      <w:pPr>
        <w:spacing w:after="0" w:line="21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Gross profit for the Health and Nutrition segment decreased $1.3 million, or 4%, to $ 32.3 million, or 20% of sales, for fiscal 2022, from $33.6 million, or 22% of sales, for fiscal 2021. We estimated the impact of the 53rd week in fiscal 2022 to be approximately $0.7 million in additional gross profit in the Health and Nutrition segment. This increase was more than offset by a decrease in gross profit resulting from a decline in sales of our manufactured products which generally have higher per-unit margins than our specialty distributed products.</w:t>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("SG&amp;A") expenses increased to $75.3 million, or 10% of sales, for fiscal 2022 from $67.9 million, or 11% of sales, for fiscal 2021. We estimated the impact of the 53rd week in fiscal 2022 to be approximately $1.0 million in additional SG&amp;A expense. In addition, expenses increased in part due to the added costs from the acquired businesses in the Water Treatment segment, an increase in variable incentive compensation, increased costs due to added personnel and other resources as we invest to grow the business, and normalization of travel and other variable expenses to pre-COVID levels.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April 3, 2022 was $22.3 million, an increase of $2.2 million, or 11%, from adjusted EBITDA of $ 20.1 million for the same period in the prior year. Full-year adjusted EBITDA was $99.7 million, an increase of $15.8 million, or 19%, from adjusted EBITDA of $83.9 million for fiscal 2021. The increase was due to the impact of improved gross profits discussed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relatively flat at approximately 26.5% for both fiscal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Hawkins, Inc. was founded in 1938 and is a leading specialty chemical and ingredients company that formulates, distributes, blends and manufactures products for its Industrial, Water Treatment, and Health &amp; Nutrition customers. Headquartered in Roseville, Minnesota, and with 49 facilities in 24 states, the Company creates value for its customers through superb customer service and support, quality products and personalized applications. Hawkins, Inc. generated $775 million of revenue in fiscal 2022 and has approximately 800 employees. For more information, including registering to receive email alerts, please visit www.hawkinsinc.com/investors.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ectPr>
          <w:pgSz w:w="11900" w:h="16838" w:orient="portrait"/>
          <w:cols w:equalWidth="0" w:num="1">
            <w:col w:w="11240"/>
          </w:cols>
          <w:pgMar w:left="320" w:top="8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shd w:val="clear" w:color="auto" w:fill="CCEEFF"/>
          </w:tcPr>
          <w:p>
            <w:pPr>
              <w:spacing w:after="0"/>
              <w:rPr>
                <w:sz w:val="19"/>
                <w:szCs w:val="19"/>
                <w:color w:val="auto"/>
              </w:rPr>
            </w:pPr>
          </w:p>
        </w:tc>
        <w:tc>
          <w:tcPr>
            <w:tcW w:w="3360" w:type="dxa"/>
            <w:vAlign w:val="bottom"/>
            <w:gridSpan w:val="5"/>
            <w:shd w:val="clear" w:color="auto" w:fill="CCEEFF"/>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April 3, 2022</w:t>
            </w: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March 28, 2021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April 3, 2022</w:t>
            </w: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28, 2021</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40,980</w:t>
            </w: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w:t>
            </w: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5,839</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3,343</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83,891</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00"/>
          </w:cols>
          <w:pgMar w:left="320" w:top="936" w:right="579" w:bottom="1440" w:gutter="0" w:footer="0" w:header="0"/>
        </w:sectPr>
      </w:pPr>
    </w:p>
    <w:bookmarkStart w:id="7" w:name="page8"/>
    <w:bookmarkEnd w:id="7"/>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180"/>
          </w:cols>
          <w:pgMar w:left="360" w:top="1440" w:right="359" w:bottom="1440" w:gutter="0" w:footer="0" w:header="0"/>
        </w:sectPr>
      </w:pPr>
    </w:p>
    <w:p>
      <w:pPr>
        <w:spacing w:after="0" w:line="37"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 w:lineRule="exact"/>
        <w:rPr>
          <w:sz w:val="20"/>
          <w:szCs w:val="20"/>
          <w:color w:val="auto"/>
        </w:rPr>
      </w:pPr>
    </w:p>
    <w:p>
      <w:pPr>
        <w:ind w:left="5780"/>
        <w:spacing w:after="0"/>
        <w:tabs>
          <w:tab w:leader="none" w:pos="7100" w:val="left"/>
        </w:tabs>
        <w:rPr>
          <w:sz w:val="20"/>
          <w:szCs w:val="20"/>
          <w:color w:val="auto"/>
        </w:rPr>
      </w:pPr>
      <w:r>
        <w:rPr>
          <w:rFonts w:ascii="Arial" w:cs="Arial" w:eastAsia="Arial" w:hAnsi="Arial"/>
          <w:sz w:val="14"/>
          <w:szCs w:val="14"/>
          <w:b w:val="1"/>
          <w:bCs w:val="1"/>
          <w:color w:val="auto"/>
        </w:rPr>
        <w:t>April 3, 2022</w:t>
      </w:r>
      <w:r>
        <w:rPr>
          <w:sz w:val="20"/>
          <w:szCs w:val="20"/>
          <w:color w:val="auto"/>
        </w:rPr>
        <w:tab/>
      </w:r>
      <w:r>
        <w:rPr>
          <w:rFonts w:ascii="Arial" w:cs="Arial" w:eastAsia="Arial" w:hAnsi="Arial"/>
          <w:sz w:val="14"/>
          <w:szCs w:val="14"/>
          <w:b w:val="1"/>
          <w:bCs w:val="1"/>
          <w:color w:val="auto"/>
        </w:rPr>
        <w:t>March 28, 2021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17780</wp:posOffset>
            </wp:positionV>
            <wp:extent cx="176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April 3, 2022</w:t>
      </w:r>
      <w:r>
        <w:rPr>
          <w:sz w:val="20"/>
          <w:szCs w:val="20"/>
          <w:color w:val="auto"/>
        </w:rPr>
        <w:tab/>
      </w:r>
      <w:r>
        <w:rPr>
          <w:rFonts w:ascii="Arial" w:cs="Arial" w:eastAsia="Arial" w:hAnsi="Arial"/>
          <w:sz w:val="14"/>
          <w:szCs w:val="14"/>
          <w:b w:val="1"/>
          <w:bCs w:val="1"/>
          <w:color w:val="auto"/>
        </w:rPr>
        <w:t>March 28, 2021</w:t>
      </w:r>
    </w:p>
    <w:p>
      <w:pPr>
        <w:spacing w:after="0" w:line="28" w:lineRule="exact"/>
        <w:rPr>
          <w:sz w:val="20"/>
          <w:szCs w:val="20"/>
          <w:color w:val="auto"/>
        </w:rPr>
      </w:pPr>
    </w:p>
    <w:p>
      <w:pPr>
        <w:sectPr>
          <w:pgSz w:w="11900" w:h="16838" w:orient="portrait"/>
          <w:cols w:equalWidth="0" w:num="2">
            <w:col w:w="8140" w:space="500"/>
            <w:col w:w="2540"/>
          </w:cols>
          <w:pgMar w:left="36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520" w:type="dxa"/>
            <w:vAlign w:val="bottom"/>
            <w:tcBorders>
              <w:top w:val="single" w:sz="8" w:color="auto"/>
            </w:tcBorders>
            <w:gridSpan w:val="4"/>
            <w:shd w:val="clear" w:color="auto" w:fill="CCEEFF"/>
          </w:tcPr>
          <w:p>
            <w:pPr>
              <w:jc w:val="right"/>
              <w:ind w:right="850"/>
              <w:spacing w:after="0"/>
              <w:rPr>
                <w:sz w:val="20"/>
                <w:szCs w:val="20"/>
                <w:color w:val="auto"/>
              </w:rPr>
            </w:pPr>
            <w:r>
              <w:rPr>
                <w:rFonts w:ascii="Arial" w:cs="Arial" w:eastAsia="Arial" w:hAnsi="Arial"/>
                <w:sz w:val="18"/>
                <w:szCs w:val="18"/>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222,973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162,971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774,541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596,871</w:t>
            </w: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(473,109)</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123,762</w:t>
            </w: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(67,884)</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55,878</w:t>
            </w: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30"/>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r>
      <w:tr>
        <w:trPr>
          <w:trHeight w:val="22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55,851</w:t>
            </w:r>
          </w:p>
        </w:tc>
      </w:tr>
      <w:tr>
        <w:trPr>
          <w:trHeight w:val="230"/>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w:t>
            </w:r>
          </w:p>
        </w:tc>
      </w:tr>
      <w:tr>
        <w:trPr>
          <w:trHeight w:val="248"/>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21,024,344</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21,078,783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21,194,455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21,135,258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21,260,296</w:t>
            </w:r>
          </w:p>
        </w:tc>
      </w:tr>
      <w:tr>
        <w:trPr>
          <w:trHeight w:val="270"/>
        </w:trPr>
        <w:tc>
          <w:tcPr>
            <w:tcW w:w="5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bl>
    <w:p>
      <w:pPr>
        <w:sectPr>
          <w:pgSz w:w="11900" w:h="16838" w:orient="portrait"/>
          <w:cols w:equalWidth="0" w:num="1">
            <w:col w:w="11180"/>
          </w:cols>
          <w:pgMar w:left="360" w:top="1440"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 2022</w:t>
            </w:r>
          </w:p>
        </w:tc>
        <w:tc>
          <w:tcPr>
            <w:tcW w:w="8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28, 2021</w:t>
            </w:r>
          </w:p>
        </w:tc>
      </w:tr>
      <w:tr>
        <w:trPr>
          <w:trHeight w:val="196"/>
        </w:trPr>
        <w:tc>
          <w:tcPr>
            <w:tcW w:w="6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CURRENT ASSETS:</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Cash and cash equivalents</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Trade accounts receivables, net</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122,826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Inventories</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64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w:t>
            </w:r>
          </w:p>
        </w:tc>
      </w:tr>
      <w:tr>
        <w:trPr>
          <w:trHeight w:val="212"/>
        </w:trPr>
        <w:tc>
          <w:tcPr>
            <w:tcW w:w="64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Total current assets</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163,007</w:t>
            </w: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PROPERTY, PLANT, AND EQUIPMENT:</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Land</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15,235</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Buildings and improvements</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118,369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120,410</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Machinery and equipment</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114,763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109,353</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Transportation equipment</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43,968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37,646</w:t>
            </w:r>
          </w:p>
        </w:tc>
      </w:tr>
      <w:tr>
        <w:trPr>
          <w:trHeight w:val="216"/>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Office furniture and equipment</w:t>
            </w:r>
          </w:p>
        </w:tc>
        <w:tc>
          <w:tcPr>
            <w:tcW w:w="9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10,315</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17,760</w:t>
            </w:r>
          </w:p>
        </w:tc>
      </w:tr>
      <w:tr>
        <w:trPr>
          <w:trHeight w:val="210"/>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304,055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300,404</w:t>
            </w:r>
          </w:p>
        </w:tc>
      </w:tr>
      <w:tr>
        <w:trPr>
          <w:trHeight w:val="219"/>
        </w:trPr>
        <w:tc>
          <w:tcPr>
            <w:tcW w:w="64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Less accumulated depreciation</w:t>
            </w:r>
          </w:p>
        </w:tc>
        <w:tc>
          <w:tcPr>
            <w:tcW w:w="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142,209</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155,792</w:t>
            </w:r>
          </w:p>
        </w:tc>
      </w:tr>
      <w:tr>
        <w:trPr>
          <w:trHeight w:val="206"/>
        </w:trPr>
        <w:tc>
          <w:tcPr>
            <w:tcW w:w="6460" w:type="dxa"/>
            <w:vAlign w:val="bottom"/>
          </w:tcPr>
          <w:p>
            <w:pPr>
              <w:ind w:left="1760"/>
              <w:spacing w:after="0"/>
              <w:rPr>
                <w:sz w:val="20"/>
                <w:szCs w:val="20"/>
                <w:color w:val="auto"/>
              </w:rPr>
            </w:pPr>
            <w:r>
              <w:rPr>
                <w:rFonts w:ascii="Arial" w:cs="Arial" w:eastAsia="Arial" w:hAnsi="Arial"/>
                <w:sz w:val="16"/>
                <w:szCs w:val="16"/>
                <w:color w:val="auto"/>
              </w:rPr>
              <w:t>Net property, plant, and equipment</w:t>
            </w:r>
          </w:p>
        </w:tc>
        <w:tc>
          <w:tcPr>
            <w:tcW w:w="9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161,846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144,612</w:t>
            </w:r>
          </w:p>
        </w:tc>
      </w:tr>
      <w:tr>
        <w:trPr>
          <w:trHeight w:val="219"/>
        </w:trPr>
        <w:tc>
          <w:tcPr>
            <w:tcW w:w="64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Right-of-use assets</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10,606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11,630</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Goodwill</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70,720</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Intangible assets, net</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80,193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76,368</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Deferred compensation plan asset</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w:t>
            </w:r>
          </w:p>
        </w:tc>
      </w:tr>
      <w:tr>
        <w:trPr>
          <w:trHeight w:val="213"/>
        </w:trPr>
        <w:tc>
          <w:tcPr>
            <w:tcW w:w="64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r>
      <w:tr>
        <w:trPr>
          <w:trHeight w:val="212"/>
        </w:trPr>
        <w:tc>
          <w:tcPr>
            <w:tcW w:w="64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Total other assets</w:t>
            </w:r>
          </w:p>
        </w:tc>
        <w:tc>
          <w:tcPr>
            <w:tcW w:w="9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6"/>
        </w:trPr>
        <w:tc>
          <w:tcPr>
            <w:tcW w:w="6460" w:type="dxa"/>
            <w:vAlign w:val="bottom"/>
          </w:tcPr>
          <w:p>
            <w:pPr>
              <w:ind w:left="1760"/>
              <w:spacing w:after="0"/>
              <w:rPr>
                <w:sz w:val="20"/>
                <w:szCs w:val="20"/>
                <w:color w:val="auto"/>
              </w:rPr>
            </w:pPr>
            <w:r>
              <w:rPr>
                <w:rFonts w:ascii="Arial" w:cs="Arial" w:eastAsia="Arial" w:hAnsi="Arial"/>
                <w:sz w:val="16"/>
                <w:szCs w:val="16"/>
                <w:color w:val="auto"/>
              </w:rPr>
              <w:t>Total assets</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6"/>
        </w:trPr>
        <w:tc>
          <w:tcPr>
            <w:tcW w:w="64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LIABILITIES AND SHAREHOLDERS’ EQUITY</w:t>
            </w: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CURRENT LIABILITIES:</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payable — trade</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Accrued payroll and employee benefits</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19,034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Current portion of long-term debt</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Short-term lease liability</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Container deposits</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r>
      <w:tr>
        <w:trPr>
          <w:trHeight w:val="213"/>
        </w:trPr>
        <w:tc>
          <w:tcPr>
            <w:tcW w:w="64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Other current liabilities</w:t>
            </w: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r>
      <w:tr>
        <w:trPr>
          <w:trHeight w:val="213"/>
        </w:trPr>
        <w:tc>
          <w:tcPr>
            <w:tcW w:w="64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Total current liabilities</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70,462</w:t>
            </w: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LONG-TERM DEBT, LESS CURRENT PORTION</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115,644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88,845</w:t>
            </w:r>
          </w:p>
        </w:tc>
      </w:tr>
      <w:tr>
        <w:trPr>
          <w:trHeight w:val="219"/>
        </w:trPr>
        <w:tc>
          <w:tcPr>
            <w:tcW w:w="64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LONG-TERM LEASE LIABILITY</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PENSION WITHDRAWAL LIABILITY</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4,631</w:t>
            </w:r>
          </w:p>
        </w:tc>
      </w:tr>
      <w:tr>
        <w:trPr>
          <w:trHeight w:val="219"/>
        </w:trPr>
        <w:tc>
          <w:tcPr>
            <w:tcW w:w="64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COMPENSATION LIABILITY</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23,422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24,445</w:t>
            </w:r>
          </w:p>
        </w:tc>
      </w:tr>
      <w:tr>
        <w:trPr>
          <w:trHeight w:val="219"/>
        </w:trPr>
        <w:tc>
          <w:tcPr>
            <w:tcW w:w="64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LONG-TERM LIABILITIES</w:t>
            </w:r>
          </w:p>
        </w:tc>
        <w:tc>
          <w:tcPr>
            <w:tcW w:w="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07"/>
        </w:trPr>
        <w:tc>
          <w:tcPr>
            <w:tcW w:w="6460" w:type="dxa"/>
            <w:vAlign w:val="bottom"/>
          </w:tcPr>
          <w:p>
            <w:pPr>
              <w:ind w:left="1760"/>
              <w:spacing w:after="0"/>
              <w:rPr>
                <w:sz w:val="20"/>
                <w:szCs w:val="20"/>
                <w:color w:val="auto"/>
              </w:rPr>
            </w:pPr>
            <w:r>
              <w:rPr>
                <w:rFonts w:ascii="Arial" w:cs="Arial" w:eastAsia="Arial" w:hAnsi="Arial"/>
                <w:sz w:val="16"/>
                <w:szCs w:val="16"/>
                <w:color w:val="auto"/>
              </w:rPr>
              <w:t>Total liabilities</w:t>
            </w:r>
          </w:p>
        </w:tc>
        <w:tc>
          <w:tcPr>
            <w:tcW w:w="9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264,727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207,304</w:t>
            </w:r>
          </w:p>
        </w:tc>
      </w:tr>
      <w:tr>
        <w:trPr>
          <w:trHeight w:val="219"/>
        </w:trPr>
        <w:tc>
          <w:tcPr>
            <w:tcW w:w="64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COMMITMENTS AND CONTINGENCIES</w:t>
            </w:r>
          </w:p>
        </w:tc>
        <w:tc>
          <w:tcPr>
            <w:tcW w:w="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SHAREHOLDERS’ EQUITY:</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6460" w:type="dxa"/>
            <w:vAlign w:val="bottom"/>
            <w:shd w:val="clear" w:color="auto" w:fill="CCEEFF"/>
          </w:tcPr>
          <w:p>
            <w:pPr>
              <w:ind w:left="1000"/>
              <w:spacing w:after="0" w:line="181" w:lineRule="exact"/>
              <w:rPr>
                <w:sz w:val="20"/>
                <w:szCs w:val="20"/>
                <w:color w:val="auto"/>
              </w:rPr>
            </w:pPr>
            <w:r>
              <w:rPr>
                <w:rFonts w:ascii="Arial" w:cs="Arial" w:eastAsia="Arial" w:hAnsi="Arial"/>
                <w:sz w:val="16"/>
                <w:szCs w:val="16"/>
                <w:color w:val="auto"/>
              </w:rPr>
              <w:t>Common shares; authorized: 60,000,000 shares of $0.01 par value;</w:t>
            </w:r>
          </w:p>
        </w:tc>
        <w:tc>
          <w:tcPr>
            <w:tcW w:w="9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62"/>
        </w:trPr>
        <w:tc>
          <w:tcPr>
            <w:tcW w:w="64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20,889,777 and 20,969,746 shares issued and outstanding for 2022 and 2021,</w:t>
            </w:r>
          </w:p>
        </w:tc>
        <w:tc>
          <w:tcPr>
            <w:tcW w:w="9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1"/>
        </w:trPr>
        <w:tc>
          <w:tcPr>
            <w:tcW w:w="6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6460" w:type="dxa"/>
            <w:vAlign w:val="bottom"/>
          </w:tcPr>
          <w:p>
            <w:pPr>
              <w:ind w:left="1000"/>
              <w:spacing w:after="0"/>
              <w:rPr>
                <w:sz w:val="20"/>
                <w:szCs w:val="20"/>
                <w:color w:val="auto"/>
              </w:rPr>
            </w:pPr>
            <w:r>
              <w:rPr>
                <w:rFonts w:ascii="Arial" w:cs="Arial" w:eastAsia="Arial" w:hAnsi="Arial"/>
                <w:sz w:val="16"/>
                <w:szCs w:val="16"/>
                <w:color w:val="auto"/>
              </w:rPr>
              <w:t>Additional paid-in capital</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46,717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51,138</w:t>
            </w:r>
          </w:p>
        </w:tc>
      </w:tr>
      <w:tr>
        <w:trPr>
          <w:trHeight w:val="219"/>
        </w:trPr>
        <w:tc>
          <w:tcPr>
            <w:tcW w:w="64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Retained earnings</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254,384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213,898</w:t>
            </w:r>
          </w:p>
        </w:tc>
      </w:tr>
      <w:tr>
        <w:trPr>
          <w:trHeight w:val="213"/>
        </w:trPr>
        <w:tc>
          <w:tcPr>
            <w:tcW w:w="64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Accumulated other comprehensive income</w:t>
            </w: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4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Total shareholders’ equity</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302,601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265,246</w:t>
            </w:r>
          </w:p>
        </w:tc>
      </w:tr>
      <w:tr>
        <w:trPr>
          <w:trHeight w:val="213"/>
        </w:trPr>
        <w:tc>
          <w:tcPr>
            <w:tcW w:w="6460" w:type="dxa"/>
            <w:vAlign w:val="bottom"/>
          </w:tcPr>
          <w:p>
            <w:pPr>
              <w:ind w:left="1760"/>
              <w:spacing w:after="0"/>
              <w:rPr>
                <w:sz w:val="20"/>
                <w:szCs w:val="20"/>
                <w:color w:val="auto"/>
              </w:rPr>
            </w:pPr>
            <w:r>
              <w:rPr>
                <w:rFonts w:ascii="Arial" w:cs="Arial" w:eastAsia="Arial" w:hAnsi="Arial"/>
                <w:sz w:val="16"/>
                <w:szCs w:val="16"/>
                <w:color w:val="auto"/>
              </w:rPr>
              <w:t>Total liabilities and shareholders’ equity</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3"/>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886" w:right="339" w:bottom="1440" w:gutter="0" w:footer="0" w:header="0"/>
        </w:sectPr>
      </w:pPr>
    </w:p>
    <w:bookmarkStart w:id="9" w:name="page10"/>
    <w:bookmarkEnd w:id="9"/>
    <w:p>
      <w:pPr>
        <w:jc w:val="center"/>
        <w:ind w:left="640"/>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 2022</w:t>
            </w:r>
          </w:p>
        </w:tc>
        <w:tc>
          <w:tcPr>
            <w:tcW w:w="920" w:type="dxa"/>
            <w:vAlign w:val="bottom"/>
          </w:tcPr>
          <w:p>
            <w:pPr>
              <w:spacing w:after="0"/>
              <w:rPr>
                <w:sz w:val="15"/>
                <w:szCs w:val="15"/>
                <w:color w:val="auto"/>
              </w:rPr>
            </w:pPr>
          </w:p>
        </w:tc>
        <w:tc>
          <w:tcPr>
            <w:tcW w:w="136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28, 2021</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00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51,542</w:t>
            </w:r>
          </w:p>
        </w:tc>
        <w:tc>
          <w:tcPr>
            <w:tcW w:w="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40,980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Reconciliation to cash flows: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3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24,129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22,669</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Operating leases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13"/>
        </w:trPr>
        <w:tc>
          <w:tcPr>
            <w:tcW w:w="6560" w:type="dxa"/>
            <w:vAlign w:val="bottom"/>
          </w:tcPr>
          <w:p>
            <w:pPr>
              <w:ind w:left="1320"/>
              <w:spacing w:after="0"/>
              <w:rPr>
                <w:sz w:val="20"/>
                <w:szCs w:val="20"/>
                <w:color w:val="auto"/>
              </w:rPr>
            </w:pPr>
            <w:r>
              <w:rPr>
                <w:rFonts w:ascii="Arial" w:cs="Arial" w:eastAsia="Arial" w:hAnsi="Arial"/>
                <w:sz w:val="16"/>
                <w:szCs w:val="16"/>
                <w:color w:val="auto"/>
              </w:rPr>
              <w:t>Gain on deferred compensation assets</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Deferred income taxes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13"/>
        </w:trPr>
        <w:tc>
          <w:tcPr>
            <w:tcW w:w="6560" w:type="dxa"/>
            <w:vAlign w:val="bottom"/>
          </w:tcPr>
          <w:p>
            <w:pPr>
              <w:ind w:left="1320"/>
              <w:spacing w:after="0"/>
              <w:rPr>
                <w:sz w:val="20"/>
                <w:szCs w:val="20"/>
                <w:color w:val="auto"/>
              </w:rPr>
            </w:pPr>
            <w:r>
              <w:rPr>
                <w:rFonts w:ascii="Arial" w:cs="Arial" w:eastAsia="Arial" w:hAnsi="Arial"/>
                <w:sz w:val="16"/>
                <w:szCs w:val="16"/>
                <w:color w:val="auto"/>
              </w:rPr>
              <w:t>Stock compensation expense</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77"/>
        </w:trPr>
        <w:tc>
          <w:tcPr>
            <w:tcW w:w="6560" w:type="dxa"/>
            <w:vAlign w:val="bottom"/>
          </w:tcPr>
          <w:p>
            <w:pPr>
              <w:ind w:left="1480"/>
              <w:spacing w:after="0" w:line="178" w:lineRule="exact"/>
              <w:rPr>
                <w:sz w:val="20"/>
                <w:szCs w:val="20"/>
                <w:color w:val="auto"/>
              </w:rPr>
            </w:pPr>
            <w:r>
              <w:rPr>
                <w:rFonts w:ascii="Arial" w:cs="Arial" w:eastAsia="Arial" w:hAnsi="Arial"/>
                <w:sz w:val="16"/>
                <w:szCs w:val="16"/>
                <w:color w:val="auto"/>
              </w:rPr>
              <w:t>Changes in operating accounts (using) providing cash, net of</w:t>
            </w: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840"/>
              <w:spacing w:after="0"/>
              <w:rPr>
                <w:sz w:val="20"/>
                <w:szCs w:val="20"/>
                <w:color w:val="auto"/>
              </w:rPr>
            </w:pPr>
            <w:r>
              <w:rPr>
                <w:rFonts w:ascii="Arial" w:cs="Arial" w:eastAsia="Arial" w:hAnsi="Arial"/>
                <w:sz w:val="16"/>
                <w:szCs w:val="16"/>
                <w:color w:val="auto"/>
              </w:rPr>
              <w:t>acquisitions:</w:t>
            </w: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Trade receivables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c>
          <w:tcPr>
            <w:tcW w:w="0" w:type="dxa"/>
            <w:vAlign w:val="bottom"/>
          </w:tcPr>
          <w:p>
            <w:pPr>
              <w:spacing w:after="0"/>
              <w:rPr>
                <w:sz w:val="1"/>
                <w:szCs w:val="1"/>
                <w:color w:val="auto"/>
              </w:rPr>
            </w:pPr>
          </w:p>
        </w:tc>
      </w:tr>
      <w:tr>
        <w:trPr>
          <w:trHeight w:val="213"/>
        </w:trPr>
        <w:tc>
          <w:tcPr>
            <w:tcW w:w="6560" w:type="dxa"/>
            <w:vAlign w:val="bottom"/>
          </w:tcPr>
          <w:p>
            <w:pPr>
              <w:ind w:left="1760"/>
              <w:spacing w:after="0"/>
              <w:rPr>
                <w:sz w:val="20"/>
                <w:szCs w:val="20"/>
                <w:color w:val="auto"/>
              </w:rPr>
            </w:pPr>
            <w:r>
              <w:rPr>
                <w:rFonts w:ascii="Arial" w:cs="Arial" w:eastAsia="Arial" w:hAnsi="Arial"/>
                <w:sz w:val="16"/>
                <w:szCs w:val="16"/>
                <w:color w:val="auto"/>
              </w:rPr>
              <w:t>Inventories</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(30,034)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(7,960)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13"/>
        </w:trPr>
        <w:tc>
          <w:tcPr>
            <w:tcW w:w="6560" w:type="dxa"/>
            <w:vAlign w:val="bottom"/>
          </w:tcPr>
          <w:p>
            <w:pPr>
              <w:ind w:left="1760"/>
              <w:spacing w:after="0"/>
              <w:rPr>
                <w:sz w:val="20"/>
                <w:szCs w:val="20"/>
                <w:color w:val="auto"/>
              </w:rPr>
            </w:pPr>
            <w:r>
              <w:rPr>
                <w:rFonts w:ascii="Arial" w:cs="Arial" w:eastAsia="Arial" w:hAnsi="Arial"/>
                <w:sz w:val="16"/>
                <w:szCs w:val="16"/>
                <w:color w:val="auto"/>
              </w:rPr>
              <w:t>Accrued liabilities</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7,554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Lease liabilities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13"/>
        </w:trPr>
        <w:tc>
          <w:tcPr>
            <w:tcW w:w="6560" w:type="dxa"/>
            <w:vAlign w:val="bottom"/>
          </w:tcPr>
          <w:p>
            <w:pPr>
              <w:ind w:left="1760"/>
              <w:spacing w:after="0"/>
              <w:rPr>
                <w:sz w:val="20"/>
                <w:szCs w:val="20"/>
                <w:color w:val="auto"/>
              </w:rPr>
            </w:pPr>
            <w:r>
              <w:rPr>
                <w:rFonts w:ascii="Arial" w:cs="Arial" w:eastAsia="Arial" w:hAnsi="Arial"/>
                <w:sz w:val="16"/>
                <w:szCs w:val="16"/>
                <w:color w:val="auto"/>
              </w:rPr>
              <w:t>Income taxes</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07"/>
        </w:trPr>
        <w:tc>
          <w:tcPr>
            <w:tcW w:w="6560" w:type="dxa"/>
            <w:vAlign w:val="bottom"/>
          </w:tcPr>
          <w:p>
            <w:pPr>
              <w:ind w:left="210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42,837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43,793</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000"/>
              <w:spacing w:after="0"/>
              <w:rPr>
                <w:sz w:val="20"/>
                <w:szCs w:val="20"/>
                <w:color w:val="auto"/>
              </w:rPr>
            </w:pPr>
            <w:r>
              <w:rPr>
                <w:rFonts w:ascii="Arial" w:cs="Arial" w:eastAsia="Arial" w:hAnsi="Arial"/>
                <w:sz w:val="16"/>
                <w:szCs w:val="16"/>
                <w:color w:val="auto"/>
              </w:rPr>
              <w:t>Additions to property, plant, and equipment</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(28,512)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(20,794)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Acquisitions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6560" w:type="dxa"/>
            <w:vAlign w:val="bottom"/>
            <w:shd w:val="clear" w:color="auto" w:fill="CCEEFF"/>
          </w:tcPr>
          <w:p>
            <w:pPr>
              <w:ind w:left="210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(71,432)</w:t>
            </w:r>
          </w:p>
        </w:tc>
        <w:tc>
          <w:tcPr>
            <w:tcW w:w="0" w:type="dxa"/>
            <w:vAlign w:val="bottom"/>
          </w:tcPr>
          <w:p>
            <w:pPr>
              <w:spacing w:after="0"/>
              <w:rPr>
                <w:sz w:val="1"/>
                <w:szCs w:val="1"/>
                <w:color w:val="auto"/>
              </w:rPr>
            </w:pPr>
          </w:p>
        </w:tc>
      </w:tr>
      <w:tr>
        <w:trPr>
          <w:trHeight w:val="213"/>
        </w:trPr>
        <w:tc>
          <w:tcPr>
            <w:tcW w:w="6560" w:type="dxa"/>
            <w:vAlign w:val="bottom"/>
          </w:tcPr>
          <w:p>
            <w:pPr>
              <w:ind w:left="680"/>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Cash dividends paid</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(10,029)</w:t>
            </w:r>
          </w:p>
        </w:tc>
        <w:tc>
          <w:tcPr>
            <w:tcW w:w="0" w:type="dxa"/>
            <w:vAlign w:val="bottom"/>
          </w:tcPr>
          <w:p>
            <w:pPr>
              <w:spacing w:after="0"/>
              <w:rPr>
                <w:sz w:val="1"/>
                <w:szCs w:val="1"/>
                <w:color w:val="auto"/>
              </w:rPr>
            </w:pPr>
          </w:p>
        </w:tc>
      </w:tr>
      <w:tr>
        <w:trPr>
          <w:trHeight w:val="213"/>
        </w:trPr>
        <w:tc>
          <w:tcPr>
            <w:tcW w:w="6560" w:type="dxa"/>
            <w:vAlign w:val="bottom"/>
          </w:tcPr>
          <w:p>
            <w:pPr>
              <w:ind w:left="1000"/>
              <w:spacing w:after="0"/>
              <w:rPr>
                <w:sz w:val="20"/>
                <w:szCs w:val="20"/>
                <w:color w:val="auto"/>
              </w:rPr>
            </w:pPr>
            <w:r>
              <w:rPr>
                <w:rFonts w:ascii="Arial" w:cs="Arial" w:eastAsia="Arial" w:hAnsi="Arial"/>
                <w:sz w:val="16"/>
                <w:szCs w:val="16"/>
                <w:color w:val="auto"/>
              </w:rPr>
              <w:t>New shares issued</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Shares surrendered for payroll taxes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6560" w:type="dxa"/>
            <w:vAlign w:val="bottom"/>
          </w:tcPr>
          <w:p>
            <w:pPr>
              <w:ind w:left="1000"/>
              <w:spacing w:after="0"/>
              <w:rPr>
                <w:sz w:val="20"/>
                <w:szCs w:val="20"/>
                <w:color w:val="auto"/>
              </w:rPr>
            </w:pPr>
            <w:r>
              <w:rPr>
                <w:rFonts w:ascii="Arial" w:cs="Arial" w:eastAsia="Arial" w:hAnsi="Arial"/>
                <w:sz w:val="16"/>
                <w:szCs w:val="16"/>
                <w:color w:val="auto"/>
              </w:rPr>
              <w:t>Shares repurchased</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(8,545)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Payments for debt issuance costs</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000"/>
              <w:spacing w:after="0"/>
              <w:rPr>
                <w:sz w:val="20"/>
                <w:szCs w:val="20"/>
                <w:color w:val="auto"/>
              </w:rPr>
            </w:pPr>
            <w:r>
              <w:rPr>
                <w:rFonts w:ascii="Arial" w:cs="Arial" w:eastAsia="Arial" w:hAnsi="Arial"/>
                <w:sz w:val="16"/>
                <w:szCs w:val="16"/>
                <w:color w:val="auto"/>
              </w:rPr>
              <w:t>Payments on senior secured revolving loan</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Borrowings on senior secured revolving loan</w:t>
            </w:r>
          </w:p>
        </w:tc>
        <w:tc>
          <w:tcPr>
            <w:tcW w:w="9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76,000</w:t>
            </w:r>
          </w:p>
        </w:tc>
        <w:tc>
          <w:tcPr>
            <w:tcW w:w="0" w:type="dxa"/>
            <w:vAlign w:val="bottom"/>
          </w:tcPr>
          <w:p>
            <w:pPr>
              <w:spacing w:after="0"/>
              <w:rPr>
                <w:sz w:val="1"/>
                <w:szCs w:val="1"/>
                <w:color w:val="auto"/>
              </w:rPr>
            </w:pPr>
          </w:p>
        </w:tc>
      </w:tr>
      <w:tr>
        <w:trPr>
          <w:trHeight w:val="206"/>
        </w:trPr>
        <w:tc>
          <w:tcPr>
            <w:tcW w:w="6560" w:type="dxa"/>
            <w:vAlign w:val="bottom"/>
            <w:tcBorders>
              <w:bottom w:val="single" w:sz="8" w:color="CCEEFF"/>
            </w:tcBorders>
          </w:tcPr>
          <w:p>
            <w:pPr>
              <w:ind w:left="210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26,360</w:t>
            </w:r>
          </w:p>
        </w:tc>
        <w:tc>
          <w:tcPr>
            <w:tcW w:w="0" w:type="dxa"/>
            <w:vAlign w:val="bottom"/>
          </w:tcPr>
          <w:p>
            <w:pPr>
              <w:spacing w:after="0"/>
              <w:rPr>
                <w:sz w:val="1"/>
                <w:szCs w:val="1"/>
                <w:color w:val="auto"/>
              </w:rPr>
            </w:pPr>
          </w:p>
        </w:tc>
      </w:tr>
      <w:tr>
        <w:trPr>
          <w:trHeight w:val="213"/>
        </w:trPr>
        <w:tc>
          <w:tcPr>
            <w:tcW w:w="65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INCREASE (DECREASE) IN CASH AND CASH EQUIVALENTS</w:t>
            </w: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CASH AND CASH EQUIVALENTS - beginning of year</w:t>
            </w: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CASH AND CASH EQUIVALENTS - end of year</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840"/>
              <w:spacing w:after="0"/>
              <w:rPr>
                <w:sz w:val="20"/>
                <w:szCs w:val="20"/>
                <w:color w:val="auto"/>
              </w:rPr>
            </w:pPr>
            <w:r>
              <w:rPr>
                <w:rFonts w:ascii="Arial" w:cs="Arial" w:eastAsia="Arial" w:hAnsi="Arial"/>
                <w:sz w:val="16"/>
                <w:szCs w:val="16"/>
                <w:color w:val="auto"/>
              </w:rPr>
              <w:t>SUPPLEMENTAL DISCLOSURES OF CASH FLOW INFORMATION-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Cash paid during the year for income taxes</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15,783</w:t>
            </w:r>
          </w:p>
        </w:tc>
        <w:tc>
          <w:tcPr>
            <w:tcW w:w="0" w:type="dxa"/>
            <w:vAlign w:val="bottom"/>
          </w:tcPr>
          <w:p>
            <w:pPr>
              <w:spacing w:after="0"/>
              <w:rPr>
                <w:sz w:val="1"/>
                <w:szCs w:val="1"/>
                <w:color w:val="auto"/>
              </w:rPr>
            </w:pPr>
          </w:p>
        </w:tc>
      </w:tr>
      <w:tr>
        <w:trPr>
          <w:trHeight w:val="213"/>
        </w:trPr>
        <w:tc>
          <w:tcPr>
            <w:tcW w:w="6560" w:type="dxa"/>
            <w:vAlign w:val="bottom"/>
          </w:tcPr>
          <w:p>
            <w:pPr>
              <w:ind w:left="1000"/>
              <w:spacing w:after="0"/>
              <w:rPr>
                <w:sz w:val="20"/>
                <w:szCs w:val="20"/>
                <w:color w:val="auto"/>
              </w:rPr>
            </w:pPr>
            <w:r>
              <w:rPr>
                <w:rFonts w:ascii="Arial" w:cs="Arial" w:eastAsia="Arial" w:hAnsi="Arial"/>
                <w:sz w:val="16"/>
                <w:szCs w:val="16"/>
                <w:color w:val="auto"/>
              </w:rPr>
              <w:t>Cash paid for interest</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10" w:name="page11"/>
    <w:bookmarkEnd w:id="10"/>
    <w:p>
      <w:pPr>
        <w:jc w:val="center"/>
        <w:ind w:right="-1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REPORTABLE SEGMENTS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Water</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Health and</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Treatment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Nutrition</w:t>
            </w: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April 3, 2022: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386,938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228,133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159,470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774,541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146,520</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75,326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71,194</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28,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273,361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170,004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153,506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596,871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123,762</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w:t>
            </w:r>
          </w:p>
        </w:tc>
        <w:tc>
          <w:tcPr>
            <w:tcW w:w="0" w:type="dxa"/>
            <w:vAlign w:val="bottom"/>
          </w:tcPr>
          <w:p>
            <w:pPr>
              <w:spacing w:after="0"/>
              <w:rPr>
                <w:sz w:val="1"/>
                <w:szCs w:val="1"/>
                <w:color w:val="auto"/>
              </w:rPr>
            </w:pPr>
          </w:p>
        </w:tc>
      </w:tr>
    </w:tbl>
    <w:p>
      <w:pPr>
        <w:sectPr>
          <w:pgSz w:w="11900" w:h="16838" w:orient="portrait"/>
          <w:cols w:equalWidth="0" w:num="1">
            <w:col w:w="11060"/>
          </w:cols>
          <w:pgMar w:left="320" w:top="886" w:right="519" w:bottom="1440" w:gutter="0" w:footer="0" w:header="0"/>
        </w:sectPr>
      </w:pPr>
    </w:p>
    <w:bookmarkStart w:id="11" w:name="page12"/>
    <w:bookmarkEnd w:id="11"/>
    <w:p>
      <w:pPr>
        <w:spacing w:after="0" w:line="220" w:lineRule="auto"/>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 availability of technological improvements, the impact and severity of the COVID-19 outbreak, changes in the labor markets, our available cash for investments,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14">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1300"/>
        <w:spacing w:after="0" w:line="235" w:lineRule="auto"/>
        <w:rPr>
          <w:sz w:val="20"/>
          <w:szCs w:val="20"/>
          <w:color w:val="auto"/>
        </w:rPr>
      </w:pPr>
      <w:r>
        <w:rPr>
          <w:rFonts w:ascii="Arial" w:cs="Arial" w:eastAsia="Arial" w:hAnsi="Arial"/>
          <w:sz w:val="18"/>
          <w:szCs w:val="18"/>
          <w:color w:val="auto"/>
        </w:rPr>
        <w:t>612/331-6910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ix?doc=/Archives/edgar/data/46250/000004625021000019/hwkn-2021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2022-05-18T15:14:30Z</dcterms:created>
  <dcterms:modified xsi:type="dcterms:W3CDTF">2022-05-18T15:14:30Z</dcterms:modified>
</cp:coreProperties>
</file>