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217805</wp:posOffset>
            </wp:positionH>
            <wp:positionV relativeFrom="page">
              <wp:posOffset>620395</wp:posOffset>
            </wp:positionV>
            <wp:extent cx="7126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page">
              <wp:posOffset>217805</wp:posOffset>
            </wp:positionH>
            <wp:positionV relativeFrom="page">
              <wp:posOffset>534670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-311785</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QUARTERLY REPORT PURSUANT TO SECTION 13 OR 15(d) OF THE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27, 2015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48260</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7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rPr>
              <w:t>MINNESOTA</w:t>
            </w:r>
          </w:p>
        </w:tc>
        <w:tc>
          <w:tcPr>
            <w:tcW w:w="3460" w:type="dxa"/>
            <w:vAlign w:val="bottom"/>
          </w:tcPr>
          <w:p>
            <w:pPr>
              <w:jc w:val="center"/>
              <w:ind w:right="1922"/>
              <w:spacing w:after="0"/>
              <w:rPr>
                <w:sz w:val="20"/>
                <w:szCs w:val="20"/>
                <w:color w:val="auto"/>
              </w:rPr>
            </w:pPr>
            <w:r>
              <w:rPr>
                <w:rFonts w:ascii="Arial" w:cs="Arial" w:eastAsia="Arial" w:hAnsi="Arial"/>
                <w:sz w:val="18"/>
                <w:szCs w:val="18"/>
                <w:b w:val="1"/>
                <w:bCs w:val="1"/>
                <w:color w:val="auto"/>
                <w:w w:val="89"/>
              </w:rPr>
              <w:t>41-0771293</w:t>
            </w:r>
          </w:p>
        </w:tc>
      </w:tr>
      <w:tr>
        <w:trPr>
          <w:trHeight w:val="27"/>
        </w:trPr>
        <w:tc>
          <w:tcPr>
            <w:tcW w:w="3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r>
      <w:tr>
        <w:trPr>
          <w:trHeight w:val="146"/>
        </w:trPr>
        <w:tc>
          <w:tcPr>
            <w:tcW w:w="7960" w:type="dxa"/>
            <w:vAlign w:val="bottom"/>
            <w:gridSpan w:val="2"/>
          </w:tcPr>
          <w:p>
            <w:pPr>
              <w:jc w:val="center"/>
              <w:ind w:right="2262"/>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460" w:type="dxa"/>
            <w:vAlign w:val="bottom"/>
          </w:tcPr>
          <w:p>
            <w:pPr>
              <w:jc w:val="center"/>
              <w:ind w:right="1942"/>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960" w:type="dxa"/>
            <w:vAlign w:val="bottom"/>
            <w:gridSpan w:val="2"/>
          </w:tcPr>
          <w:p>
            <w:pPr>
              <w:jc w:val="center"/>
              <w:ind w:right="2262"/>
              <w:spacing w:after="0"/>
              <w:rPr>
                <w:sz w:val="20"/>
                <w:szCs w:val="20"/>
                <w:color w:val="auto"/>
              </w:rPr>
            </w:pPr>
            <w:r>
              <w:rPr>
                <w:rFonts w:ascii="Arial" w:cs="Arial" w:eastAsia="Arial" w:hAnsi="Arial"/>
                <w:sz w:val="14"/>
                <w:szCs w:val="14"/>
                <w:b w:val="1"/>
                <w:bCs w:val="1"/>
                <w:color w:val="auto"/>
                <w:w w:val="93"/>
              </w:rPr>
              <w:t>incorporation or organization)</w:t>
            </w:r>
          </w:p>
        </w:tc>
        <w:tc>
          <w:tcPr>
            <w:tcW w:w="34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346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7"/>
              </w:rPr>
              <w:t>2381 ROSEGATE, ROSEVILLE, MINNESOTA 55113</w:t>
            </w:r>
          </w:p>
        </w:tc>
        <w:tc>
          <w:tcPr>
            <w:tcW w:w="3460" w:type="dxa"/>
            <w:vAlign w:val="bottom"/>
          </w:tcPr>
          <w:p>
            <w:pPr>
              <w:spacing w:after="0"/>
              <w:rPr>
                <w:sz w:val="24"/>
                <w:szCs w:val="24"/>
                <w:color w:val="auto"/>
              </w:rPr>
            </w:pPr>
          </w:p>
        </w:tc>
      </w:tr>
      <w:tr>
        <w:trPr>
          <w:trHeight w:val="186"/>
        </w:trPr>
        <w:tc>
          <w:tcPr>
            <w:tcW w:w="346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spacing w:after="0"/>
              <w:rPr>
                <w:sz w:val="16"/>
                <w:szCs w:val="16"/>
                <w:color w:val="auto"/>
              </w:rPr>
            </w:pPr>
          </w:p>
        </w:tc>
      </w:tr>
      <w:tr>
        <w:trPr>
          <w:trHeight w:val="512"/>
        </w:trPr>
        <w:tc>
          <w:tcPr>
            <w:tcW w:w="7960" w:type="dxa"/>
            <w:vAlign w:val="bottom"/>
            <w:gridSpan w:val="2"/>
          </w:tcPr>
          <w:p>
            <w:pPr>
              <w:jc w:val="center"/>
              <w:ind w:left="3399"/>
              <w:spacing w:after="0"/>
              <w:rPr>
                <w:sz w:val="20"/>
                <w:szCs w:val="20"/>
                <w:color w:val="auto"/>
              </w:rPr>
            </w:pPr>
            <w:r>
              <w:rPr>
                <w:rFonts w:ascii="Arial" w:cs="Arial" w:eastAsia="Arial" w:hAnsi="Arial"/>
                <w:sz w:val="18"/>
                <w:szCs w:val="18"/>
                <w:b w:val="1"/>
                <w:bCs w:val="1"/>
                <w:color w:val="auto"/>
                <w:w w:val="90"/>
              </w:rPr>
              <w:t>(612) 331-6910</w:t>
            </w:r>
          </w:p>
        </w:tc>
        <w:tc>
          <w:tcPr>
            <w:tcW w:w="3460" w:type="dxa"/>
            <w:vAlign w:val="bottom"/>
          </w:tcPr>
          <w:p>
            <w:pPr>
              <w:spacing w:after="0"/>
              <w:rPr>
                <w:sz w:val="24"/>
                <w:szCs w:val="24"/>
                <w:color w:val="auto"/>
              </w:rPr>
            </w:pPr>
          </w:p>
        </w:tc>
      </w:tr>
      <w:tr>
        <w:trPr>
          <w:trHeight w:val="224"/>
        </w:trPr>
        <w:tc>
          <w:tcPr>
            <w:tcW w:w="3460" w:type="dxa"/>
            <w:vAlign w:val="bottom"/>
          </w:tcPr>
          <w:p>
            <w:pPr>
              <w:spacing w:after="0"/>
              <w:rPr>
                <w:sz w:val="19"/>
                <w:szCs w:val="19"/>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60" w:type="dxa"/>
            <w:vAlign w:val="bottom"/>
          </w:tcPr>
          <w:p>
            <w:pPr>
              <w:spacing w:after="0"/>
              <w:rPr>
                <w:sz w:val="19"/>
                <w:szCs w:val="19"/>
                <w:color w:val="auto"/>
              </w:rPr>
            </w:pPr>
          </w:p>
        </w:tc>
      </w:tr>
    </w:tbl>
    <w:p>
      <w:pPr>
        <w:spacing w:after="0" w:line="28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ectPr>
          <w:pgSz w:w="11900" w:h="16838" w:orient="portrait"/>
          <w:cols w:equalWidth="0" w:num="1">
            <w:col w:w="11420"/>
          </w:cols>
          <w:pgMar w:left="240" w:top="1030" w:right="239" w:bottom="1440" w:gutter="0" w:footer="0" w:header="0"/>
        </w:sectPr>
      </w:pPr>
    </w:p>
    <w:p>
      <w:pPr>
        <w:spacing w:after="0" w:line="3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740" w:space="540"/>
            <w:col w:w="4620" w:space="720"/>
            <w:col w:w="2060" w:space="720"/>
            <w:col w:w="1020"/>
          </w:cols>
          <w:pgMar w:left="240" w:top="1030"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640" w:space="640"/>
            <w:col w:w="160" w:space="80"/>
            <w:col w:w="4380" w:space="720"/>
            <w:col w:w="2080" w:space="700"/>
            <w:col w:w="1020"/>
          </w:cols>
          <w:pgMar w:left="240" w:top="1030" w:right="23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660"/>
        <w:spacing w:after="0" w:line="207" w:lineRule="exact"/>
        <w:tabs>
          <w:tab w:leader="none" w:pos="14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56" w:lineRule="exact"/>
        <w:rPr>
          <w:sz w:val="24"/>
          <w:szCs w:val="24"/>
          <w:color w:val="auto"/>
        </w:rPr>
      </w:pPr>
    </w:p>
    <w:tbl>
      <w:tblPr>
        <w:tblLayout w:type="fixed"/>
        <w:tblInd w:w="10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CLASS</w:t>
            </w:r>
          </w:p>
        </w:tc>
        <w:tc>
          <w:tcPr>
            <w:tcW w:w="300" w:type="dxa"/>
            <w:vAlign w:val="bottom"/>
          </w:tcPr>
          <w:p>
            <w:pPr>
              <w:spacing w:after="0"/>
              <w:rPr>
                <w:sz w:val="16"/>
                <w:szCs w:val="16"/>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Shares Outstanding at October 23, 2015</w:t>
            </w:r>
          </w:p>
        </w:tc>
        <w:tc>
          <w:tcPr>
            <w:tcW w:w="540" w:type="dxa"/>
            <w:vAlign w:val="bottom"/>
          </w:tcPr>
          <w:p>
            <w:pPr>
              <w:spacing w:after="0"/>
              <w:rPr>
                <w:sz w:val="16"/>
                <w:szCs w:val="16"/>
                <w:color w:val="auto"/>
              </w:rPr>
            </w:pPr>
          </w:p>
        </w:tc>
      </w:tr>
      <w:tr>
        <w:trPr>
          <w:trHeight w:val="243"/>
        </w:trPr>
        <w:tc>
          <w:tcPr>
            <w:tcW w:w="560" w:type="dxa"/>
            <w:vAlign w:val="bottom"/>
          </w:tcPr>
          <w:p>
            <w:pPr>
              <w:spacing w:after="0"/>
              <w:rPr>
                <w:sz w:val="21"/>
                <w:szCs w:val="21"/>
                <w:color w:val="auto"/>
              </w:rPr>
            </w:pPr>
          </w:p>
        </w:tc>
        <w:tc>
          <w:tcPr>
            <w:tcW w:w="5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Common Stock, par value $.05 per share</w:t>
            </w:r>
          </w:p>
        </w:tc>
        <w:tc>
          <w:tcPr>
            <w:tcW w:w="4860" w:type="dxa"/>
            <w:vAlign w:val="bottom"/>
          </w:tcPr>
          <w:p>
            <w:pPr>
              <w:jc w:val="right"/>
              <w:ind w:right="1959"/>
              <w:spacing w:after="0"/>
              <w:rPr>
                <w:sz w:val="20"/>
                <w:szCs w:val="20"/>
                <w:color w:val="auto"/>
              </w:rPr>
            </w:pPr>
            <w:r>
              <w:rPr>
                <w:rFonts w:ascii="Arial" w:cs="Arial" w:eastAsia="Arial" w:hAnsi="Arial"/>
                <w:sz w:val="18"/>
                <w:szCs w:val="18"/>
                <w:color w:val="auto"/>
              </w:rPr>
              <w:t>10,547,311</w:t>
            </w:r>
          </w:p>
        </w:tc>
        <w:tc>
          <w:tcPr>
            <w:tcW w:w="540" w:type="dxa"/>
            <w:vAlign w:val="bottom"/>
          </w:tcPr>
          <w:p>
            <w:pPr>
              <w:spacing w:after="0"/>
              <w:rPr>
                <w:sz w:val="21"/>
                <w:szCs w:val="21"/>
                <w:color w:val="auto"/>
              </w:rPr>
            </w:pPr>
          </w:p>
        </w:tc>
      </w:tr>
      <w:tr>
        <w:trPr>
          <w:trHeight w:val="432"/>
        </w:trPr>
        <w:tc>
          <w:tcPr>
            <w:tcW w:w="5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122"/>
        </w:trPr>
        <w:tc>
          <w:tcPr>
            <w:tcW w:w="560" w:type="dxa"/>
            <w:vAlign w:val="bottom"/>
            <w:tcBorders>
              <w:bottom w:val="single" w:sz="8" w:color="auto"/>
            </w:tcBorders>
          </w:tcPr>
          <w:p>
            <w:pPr>
              <w:spacing w:after="0"/>
              <w:rPr>
                <w:sz w:val="10"/>
                <w:szCs w:val="10"/>
                <w:color w:val="auto"/>
              </w:rPr>
            </w:pPr>
          </w:p>
        </w:tc>
        <w:tc>
          <w:tcPr>
            <w:tcW w:w="49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030" w:right="239" w:bottom="1440" w:gutter="0" w:footer="0" w:header="0"/>
          <w:type w:val="continuous"/>
        </w:sectPr>
      </w:pPr>
    </w:p>
    <w:bookmarkStart w:id="1" w:name="page2"/>
    <w:bookmarkEnd w:id="1"/>
    <w:p>
      <w:pPr>
        <w:jc w:val="center"/>
        <w:ind w:right="-11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INDEX TO FORM 10-Q</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336"/>
        </w:trPr>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5200" w:type="dxa"/>
            <w:vAlign w:val="bottom"/>
            <w:gridSpan w:val="11"/>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16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27, 2015 and March 29, 2015</w:t>
              </w:r>
            </w:hyperlink>
          </w:p>
        </w:tc>
        <w:tc>
          <w:tcPr>
            <w:tcW w:w="1540" w:type="dxa"/>
            <w:vAlign w:val="bottom"/>
            <w:gridSpan w:val="5"/>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Condensed Consolidated Statements of Income – Three and Six Months Ended September 27,</w:t>
              </w:r>
            </w:hyperlink>
          </w:p>
        </w:tc>
        <w:tc>
          <w:tcPr>
            <w:tcW w:w="10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2015 and September 28, 2014</w:t>
              </w:r>
            </w:hyperlink>
          </w:p>
        </w:tc>
        <w:tc>
          <w:tcPr>
            <w:tcW w:w="4620" w:type="dxa"/>
            <w:vAlign w:val="bottom"/>
            <w:tcBorders>
              <w:top w:val="single" w:sz="8" w:color="0000EE"/>
            </w:tcBorders>
            <w:gridSpan w:val="10"/>
          </w:tcPr>
          <w:p>
            <w:pPr>
              <w:spacing w:after="0"/>
              <w:rPr>
                <w:sz w:val="17"/>
                <w:szCs w:val="17"/>
                <w:color w:val="auto"/>
              </w:rPr>
            </w:pPr>
          </w:p>
        </w:tc>
        <w:tc>
          <w:tcPr>
            <w:tcW w:w="8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 Three and Six Months Ended</w:t>
              </w:r>
            </w:hyperlink>
          </w:p>
        </w:tc>
        <w:tc>
          <w:tcPr>
            <w:tcW w:w="720" w:type="dxa"/>
            <w:vAlign w:val="bottom"/>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September 27, 2015 and September 28, 2014</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 Six Months Ended September 27, 2015</w:t>
              </w:r>
            </w:hyperlink>
          </w:p>
        </w:tc>
        <w:tc>
          <w:tcPr>
            <w:tcW w:w="102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September 28, 2014</w:t>
              </w:r>
            </w:hyperlink>
          </w:p>
        </w:tc>
        <w:tc>
          <w:tcPr>
            <w:tcW w:w="4960" w:type="dxa"/>
            <w:vAlign w:val="bottom"/>
            <w:tcBorders>
              <w:top w:val="single" w:sz="8" w:color="0000EE"/>
            </w:tcBorders>
            <w:gridSpan w:val="12"/>
          </w:tcPr>
          <w:p>
            <w:pPr>
              <w:spacing w:after="0"/>
              <w:rPr>
                <w:sz w:val="17"/>
                <w:szCs w:val="17"/>
                <w:color w:val="auto"/>
              </w:rPr>
            </w:pPr>
          </w:p>
        </w:tc>
        <w:tc>
          <w:tcPr>
            <w:tcW w:w="8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3600" w:type="dxa"/>
            <w:vAlign w:val="bottom"/>
            <w:gridSpan w:val="8"/>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60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13</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2"/>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Quantitative and Qualitative Disclosures about Market Risk</w:t>
              </w:r>
            </w:hyperlink>
          </w:p>
        </w:tc>
        <w:tc>
          <w:tcPr>
            <w:tcW w:w="2140" w:type="dxa"/>
            <w:vAlign w:val="bottom"/>
            <w:gridSpan w:val="3"/>
          </w:tcPr>
          <w:p>
            <w:pPr>
              <w:spacing w:after="0"/>
              <w:rPr>
                <w:sz w:val="24"/>
                <w:szCs w:val="24"/>
                <w:color w:val="auto"/>
              </w:rPr>
            </w:pPr>
          </w:p>
        </w:tc>
        <w:tc>
          <w:tcPr>
            <w:tcW w:w="1140" w:type="dxa"/>
            <w:vAlign w:val="bottom"/>
            <w:gridSpan w:val="4"/>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Controls and Procedures</w:t>
              </w:r>
            </w:hyperlink>
          </w:p>
        </w:tc>
        <w:tc>
          <w:tcPr>
            <w:tcW w:w="2540" w:type="dxa"/>
            <w:vAlign w:val="bottom"/>
            <w:gridSpan w:val="7"/>
          </w:tcPr>
          <w:p>
            <w:pPr>
              <w:spacing w:after="0"/>
              <w:rPr>
                <w:sz w:val="24"/>
                <w:szCs w:val="24"/>
                <w:color w:val="auto"/>
              </w:rPr>
            </w:pPr>
          </w:p>
        </w:tc>
        <w:tc>
          <w:tcPr>
            <w:tcW w:w="3280" w:type="dxa"/>
            <w:vAlign w:val="bottom"/>
            <w:gridSpan w:val="7"/>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60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tcBorders>
            <w:gridSpan w:val="3"/>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5720" w:type="dxa"/>
            <w:vAlign w:val="bottom"/>
            <w:gridSpan w:val="13"/>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40" w:type="dxa"/>
            <w:vAlign w:val="bottom"/>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260" w:type="dxa"/>
            <w:vAlign w:val="bottom"/>
            <w:gridSpan w:val="1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3240" w:type="dxa"/>
            <w:vAlign w:val="bottom"/>
            <w:gridSpan w:val="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60" w:type="dxa"/>
            <w:vAlign w:val="bottom"/>
            <w:gridSpan w:val="12"/>
            <w:shd w:val="clear" w:color="auto" w:fill="0000EE"/>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436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3240" w:type="dxa"/>
            <w:vAlign w:val="bottom"/>
            <w:gridSpan w:val="6"/>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19</w:t>
              </w:r>
            </w:hyperlink>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760" w:type="dxa"/>
            <w:vAlign w:val="bottom"/>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Signatures</w:t>
              </w:r>
            </w:hyperlink>
          </w:p>
        </w:tc>
        <w:tc>
          <w:tcPr>
            <w:tcW w:w="38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20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1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21</w:t>
              </w:r>
            </w:hyperlink>
          </w:p>
        </w:tc>
      </w:tr>
      <w:tr>
        <w:trPr>
          <w:trHeight w:val="507"/>
        </w:trPr>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14"/>
          </w:tcPr>
          <w:p>
            <w:pPr>
              <w:ind w:left="44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179"/>
          </w:cols>
          <w:pgMar w:left="280" w:top="58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27,</w:t>
            </w:r>
          </w:p>
        </w:tc>
        <w:tc>
          <w:tcPr>
            <w:tcW w:w="200" w:type="dxa"/>
            <w:vAlign w:val="bottom"/>
          </w:tcPr>
          <w:p>
            <w:pPr>
              <w:spacing w:after="0"/>
              <w:rPr>
                <w:sz w:val="17"/>
                <w:szCs w:val="17"/>
                <w:color w:val="auto"/>
              </w:rPr>
            </w:pPr>
          </w:p>
        </w:tc>
        <w:tc>
          <w:tcPr>
            <w:tcW w:w="1160" w:type="dxa"/>
            <w:vAlign w:val="bottom"/>
          </w:tcPr>
          <w:p>
            <w:pPr>
              <w:jc w:val="right"/>
              <w:ind w:right="250"/>
              <w:spacing w:after="0"/>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18,639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available-for-sale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Trade receivables — less allowance for doubtful accounts: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$402 as of September 27, 2015 and $445 as of March 29, 2015</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41,370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37,028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114,340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172,772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79,042</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97,556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93,730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 — less accumulated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$4,533 as of September 27, 2015 and $3,933 as of March 29, 2015</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investments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40,392</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253,214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248,462</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20,083</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employee benefits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PENSION WITHDRAWAL LIABILITY</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6,436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54,498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4"/>
              </w:rPr>
              <w:t>Common stock; authorized: 30,000,000 shares of $0.05 par value; 10,478,266 and 10,564,949 shares issued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and outstanding as of September 27, 2015 and March 29, 2015, respectively</w:t>
            </w: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50,901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150,817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142,567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8580" w:type="dxa"/>
            <w:vAlign w:val="bottom"/>
          </w:tcPr>
          <w:p>
            <w:pPr>
              <w:ind w:left="82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198,453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193,964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248,462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080"/>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660" w:type="dxa"/>
            <w:vAlign w:val="bottom"/>
            <w:gridSpan w:val="4"/>
          </w:tcPr>
          <w:p>
            <w:pPr>
              <w:jc w:val="right"/>
              <w:ind w:right="67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6"/>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2"/>
                <w:szCs w:val="12"/>
                <w:color w:val="auto"/>
              </w:rPr>
            </w:pPr>
          </w:p>
        </w:tc>
        <w:tc>
          <w:tcPr>
            <w:tcW w:w="13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2"/>
                <w:szCs w:val="12"/>
                <w:color w:val="auto"/>
              </w:rPr>
            </w:pPr>
          </w:p>
        </w:tc>
        <w:tc>
          <w:tcPr>
            <w:tcW w:w="1200" w:type="dxa"/>
            <w:vAlign w:val="bottom"/>
          </w:tcPr>
          <w:p>
            <w:pPr>
              <w:jc w:val="right"/>
              <w:ind w:right="172"/>
              <w:spacing w:after="0" w:line="147" w:lineRule="exact"/>
              <w:rPr>
                <w:sz w:val="20"/>
                <w:szCs w:val="20"/>
                <w:color w:val="auto"/>
              </w:rPr>
            </w:pPr>
            <w:r>
              <w:rPr>
                <w:rFonts w:ascii="Arial" w:cs="Arial" w:eastAsia="Arial" w:hAnsi="Arial"/>
                <w:sz w:val="14"/>
                <w:szCs w:val="14"/>
                <w:b w:val="1"/>
                <w:bCs w:val="1"/>
                <w:color w:val="auto"/>
                <w:w w:val="96"/>
              </w:rPr>
              <w:t>September 28,</w:t>
            </w:r>
          </w:p>
        </w:tc>
      </w:tr>
      <w:tr>
        <w:trPr>
          <w:trHeight w:val="192"/>
        </w:trPr>
        <w:tc>
          <w:tcPr>
            <w:tcW w:w="58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88,881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196,088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186,917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(70,759)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(155,542)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(150,299)</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36,618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(17,146)</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19,472</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19,468</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(7,300)</w:t>
            </w:r>
          </w:p>
        </w:tc>
      </w:tr>
      <w:tr>
        <w:trPr>
          <w:trHeight w:val="27"/>
        </w:trPr>
        <w:tc>
          <w:tcPr>
            <w:tcW w:w="5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12,168</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10,545,992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10,558,173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10,563,267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10,564,107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10,589,824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10,603,931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10,614,484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10,616,874</w:t>
            </w:r>
          </w:p>
        </w:tc>
      </w:tr>
      <w:tr>
        <w:trPr>
          <w:trHeight w:val="27"/>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5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324"/>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5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0.38</w:t>
            </w:r>
          </w:p>
        </w:tc>
      </w:tr>
      <w:tr>
        <w:trPr>
          <w:trHeight w:val="27"/>
        </w:trPr>
        <w:tc>
          <w:tcPr>
            <w:tcW w:w="5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18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w w:val="93"/>
              </w:rPr>
              <w:t>September 28,</w:t>
            </w:r>
          </w:p>
        </w:tc>
      </w:tr>
      <w:tr>
        <w:trPr>
          <w:trHeight w:val="192"/>
        </w:trPr>
        <w:tc>
          <w:tcPr>
            <w:tcW w:w="5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12,168</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available-for-sale 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5,644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12,490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12,181</w:t>
            </w:r>
          </w:p>
        </w:tc>
      </w:tr>
      <w:tr>
        <w:trPr>
          <w:trHeight w:val="27"/>
        </w:trPr>
        <w:tc>
          <w:tcPr>
            <w:tcW w:w="5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580"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27,</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6"/>
                <w:szCs w:val="16"/>
                <w:b w:val="1"/>
                <w:bCs w:val="1"/>
                <w:color w:val="auto"/>
                <w:w w:val="93"/>
              </w:rPr>
              <w:t>September 28,</w:t>
            </w:r>
          </w:p>
        </w:tc>
      </w:tr>
      <w:tr>
        <w:trPr>
          <w:trHeight w:val="210"/>
        </w:trPr>
        <w:tc>
          <w:tcPr>
            <w:tcW w:w="8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2014</w:t>
            </w:r>
          </w:p>
        </w:tc>
      </w:tr>
      <w:tr>
        <w:trPr>
          <w:trHeight w:val="33"/>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12,469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12,168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6,071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w:t>
            </w: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Loss (gain) from property disposals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accounts providing (using) cash:</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2,348</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43"/>
        </w:trPr>
        <w:tc>
          <w:tcPr>
            <w:tcW w:w="8240" w:type="dxa"/>
            <w:vAlign w:val="bottom"/>
          </w:tcPr>
          <w:p>
            <w:pPr>
              <w:ind w:left="11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r>
      <w:tr>
        <w:trPr>
          <w:trHeight w:val="237"/>
        </w:trPr>
        <w:tc>
          <w:tcPr>
            <w:tcW w:w="824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(6,242)</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(12,409)</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 and maturities of investments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7,225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(3,823)</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New shares issued</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491</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surrendered for payroll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Shares repurchased</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(1,431)</w:t>
            </w:r>
          </w:p>
        </w:tc>
      </w:tr>
      <w:tr>
        <w:trPr>
          <w:trHeight w:val="27"/>
        </w:trPr>
        <w:tc>
          <w:tcPr>
            <w:tcW w:w="8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(6,785)</w:t>
            </w: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33,486</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26,701</w:t>
            </w:r>
          </w:p>
        </w:tc>
      </w:tr>
      <w:tr>
        <w:trPr>
          <w:trHeight w:val="67"/>
        </w:trPr>
        <w:tc>
          <w:tcPr>
            <w:tcW w:w="82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305"/>
        </w:trPr>
        <w:tc>
          <w:tcPr>
            <w:tcW w:w="8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7,945</w:t>
            </w: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Noncash investing activities - Capital expenditures in 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1,035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Annual Report on Form 10-K for the fiscal year ended March 29, 2015,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w:t>
      </w:r>
    </w:p>
    <w:p>
      <w:pPr>
        <w:spacing w:after="0" w:line="113"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March 29, 2015, filed with the SEC on May 28, 2015, as amended from time to time. There has been no significant change in our accounting policies since the end of fiscal 2015.</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six months ended September 27, 2015 are not necessarily indicative of the results that may be expected for the full year.</w:t>
      </w:r>
    </w:p>
    <w:p>
      <w:pPr>
        <w:spacing w:after="0" w:line="194"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References to fiscal 2015 refer to the fiscal year ended March 29, 2015 and references to fiscal 2016 refer to the fiscal year ending April 3, 2016. As compared to our normal 52-week fiscal years, fiscal 2016 will be a 53-week year, with the extra week to be recorded in our fourth quarter’s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2015, the Financial Accounting Standards Board (“FASB”) issued new accounting guidance which eliminates the requirement for an acquirer to retrospectively adjust the financial statements for measurement-period adjustments that occur in periods after a business combination is consummated. The new guidance is effective for annual fiscal years beginning after December 15, 2015 (our fiscal year ending April 2, 2017), and interim periods within those years.</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2015, the FASB issued new accounting requirements changing the measurement principal for inventory measured using the first-in, first-out (“FIFO”) or average cost method from the lower of cost or market to the lower of cost and net realizable value. Treatment of inventory valued under the last-in, first-out (“LIFO”) method is unchanged by this guidance. The new guidance will be applied prospectively and will be effective for fiscal years beginning after December 15, 2016 (our fiscal year ending April 1, 2018), and interim periods within those years. We are currently evaluating the impact of this accounting pronouncement on our results of operations and financial position.</w:t>
      </w:r>
    </w:p>
    <w:p>
      <w:pPr>
        <w:spacing w:after="0" w:line="13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May 2014, the FASB issued new accounting requirements for recognition of revenue from contracts with customers. The requirements of the new standard will be effective for annual reporting periods beginning after December 15, 2017 (our fiscal year ending March 31, 2019), and interim periods within those annual periods. We are currently evaluating the impact of this accounting pronouncement on our results of operations and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460" w:type="dxa"/>
            <w:vAlign w:val="bottom"/>
            <w:gridSpan w:val="4"/>
          </w:tcPr>
          <w:p>
            <w:pPr>
              <w:ind w:left="88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0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September 27,</w:t>
            </w:r>
          </w:p>
        </w:tc>
        <w:tc>
          <w:tcPr>
            <w:tcW w:w="17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28,</w:t>
            </w:r>
          </w:p>
        </w:tc>
        <w:tc>
          <w:tcPr>
            <w:tcW w:w="168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September 27,</w:t>
            </w:r>
          </w:p>
        </w:tc>
        <w:tc>
          <w:tcPr>
            <w:tcW w:w="1580" w:type="dxa"/>
            <w:vAlign w:val="bottom"/>
          </w:tcPr>
          <w:p>
            <w:pPr>
              <w:jc w:val="right"/>
              <w:ind w:right="170"/>
              <w:spacing w:after="0"/>
              <w:rPr>
                <w:sz w:val="20"/>
                <w:szCs w:val="20"/>
                <w:color w:val="auto"/>
              </w:rPr>
            </w:pPr>
            <w:r>
              <w:rPr>
                <w:rFonts w:ascii="Arial" w:cs="Arial" w:eastAsia="Arial" w:hAnsi="Arial"/>
                <w:sz w:val="18"/>
                <w:szCs w:val="18"/>
                <w:b w:val="1"/>
                <w:bCs w:val="1"/>
                <w:color w:val="auto"/>
              </w:rPr>
              <w:t>September 28,</w:t>
            </w:r>
          </w:p>
        </w:tc>
      </w:tr>
      <w:tr>
        <w:trPr>
          <w:trHeight w:val="234"/>
        </w:trPr>
        <w:tc>
          <w:tcPr>
            <w:tcW w:w="4700" w:type="dxa"/>
            <w:vAlign w:val="bottom"/>
          </w:tcPr>
          <w:p>
            <w:pPr>
              <w:spacing w:after="0"/>
              <w:rPr>
                <w:sz w:val="20"/>
                <w:szCs w:val="20"/>
                <w:color w:val="auto"/>
              </w:rPr>
            </w:pP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outstanding—basic</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10,545,992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10,558,173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10,563,267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10,564,107</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Dilutive impact of stock options, performance units, and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restricted stock</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43,832</w:t>
            </w:r>
          </w:p>
        </w:tc>
        <w:tc>
          <w:tcPr>
            <w:tcW w:w="1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45,758</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51,217</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52,767</w:t>
            </w:r>
          </w:p>
        </w:tc>
      </w:tr>
      <w:tr>
        <w:trPr>
          <w:trHeight w:val="27"/>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outstanding—diluted</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10,589,824</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10,603,931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10,614,484</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10,616,874</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For each of the three and six months ended September 27, 2015 and September 28, 2014, there were no shares or stock options excluded from the calculation of weighted-average common shares for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9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b w:val="1"/>
          <w:bCs w:val="1"/>
          <w:i w:val="1"/>
          <w:iCs w:val="1"/>
          <w:color w:val="auto"/>
        </w:rPr>
        <w:t>Acquisition of Davis Supply, Inc.</w:t>
      </w:r>
      <w:r>
        <w:rPr>
          <w:rFonts w:ascii="Arial" w:cs="Arial" w:eastAsia="Arial" w:hAnsi="Arial"/>
          <w:sz w:val="18"/>
          <w:szCs w:val="18"/>
          <w:color w:val="auto"/>
        </w:rPr>
        <w:t>: On September 18, 2015, we acquired substantially all of the assets of Davis Supply, Inc. (“Davis”) under the terms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purchase agreement with Davis and its shareholders. We paid $4.5 million cash at closing, using available cash on hand to fund the acquisition. Davis was a water treatment chemical distribution company operating in Florida with revenues of approximately $5 million in calendar year 2014. Through this acquisition we added one operating location in Florida and have integrated the remainder of the business into our existing Florida locations. The results of operations after the date of acquisition and the acquired assets are included in our Water Treatment Segment. Costs associated with this transaction were not material and were expensed as incurred.</w:t>
      </w:r>
    </w:p>
    <w:p>
      <w:pPr>
        <w:spacing w:after="0" w:line="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Because of the proximity of the acquisition to quarter-end, we have not completed an asset valuation. We have estimated goodwill and intangible assets, in the aggregate, to be approximately $4.0 million of the total purchase price, with the remaining consideration allocated to fixed assets and inventory.</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Acquisition of The Dumont Company, Inc.</w:t>
      </w:r>
      <w:r>
        <w:rPr>
          <w:rFonts w:ascii="Arial" w:cs="Arial" w:eastAsia="Arial" w:hAnsi="Arial"/>
          <w:sz w:val="17"/>
          <w:szCs w:val="17"/>
          <w:color w:val="auto"/>
        </w:rPr>
        <w:t>: In the third quarter of fiscal 2015, we acquired substantially all of the assets of The Dumont Company,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(“Dumont”) under the terms of an asset purchase agreement with Dumont and its shareholders. We paid $10.1 million in cash including a working capital adjustment in the third quarter of fiscal 2015, using available cash on hand to fund the acquisition. Dumont was a water treatment chemical distribution company with revenues of approximately $14 million in calendar year 2013. Through this acquisition we added seven operating locations across Florida.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178"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acquisition has been accounted for under the acquisition method of accounting, under which the total purchase price is allocated to the net tangible and intangible assets of Dumont acquired in connection with the acquisition based on their estimated fair values. We estimated the fair values of the assets acquired and liabilities assumed using a discounted cash flow analysis (income approach). The following table summarizes the preliminary allocation of the purchase price to the fair values assigned to the assets acquired and liabilities assumed at the date of the Dumont acquisition: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9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Amount</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7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1,358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43"/>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w:t>
            </w:r>
          </w:p>
        </w:tc>
      </w:tr>
      <w:tr>
        <w:trPr>
          <w:trHeight w:val="243"/>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3,509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7"/>
        </w:trPr>
        <w:tc>
          <w:tcPr>
            <w:tcW w:w="40" w:type="dxa"/>
            <w:vAlign w:val="bottom"/>
          </w:tcPr>
          <w:p>
            <w:pPr>
              <w:spacing w:after="0"/>
              <w:rPr>
                <w:sz w:val="20"/>
                <w:szCs w:val="20"/>
                <w:color w:val="auto"/>
              </w:rPr>
            </w:pPr>
          </w:p>
        </w:tc>
        <w:tc>
          <w:tcPr>
            <w:tcW w:w="8940" w:type="dxa"/>
            <w:vAlign w:val="bottom"/>
            <w:gridSpan w:val="2"/>
          </w:tcPr>
          <w:p>
            <w:pPr>
              <w:ind w:left="18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8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4,358</w:t>
            </w:r>
          </w:p>
        </w:tc>
      </w:tr>
      <w:tr>
        <w:trPr>
          <w:trHeight w:val="257"/>
        </w:trPr>
        <w:tc>
          <w:tcPr>
            <w:tcW w:w="8980" w:type="dxa"/>
            <w:vAlign w:val="bottom"/>
            <w:gridSpan w:val="3"/>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10,068</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goodwill recognized as a result of this acquisition is primarily attributable to strategic and synergistic benefits, as well as the assembled workforce. Such goodwill is expected to be deductible for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allocation of the purchase price to the assets acquired and liabilities assumed resulted in the recognition of the following intangible assets: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Amount</w:t>
            </w:r>
          </w:p>
        </w:tc>
        <w:tc>
          <w:tcPr>
            <w:tcW w:w="22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Life (in years)</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800" w:type="dxa"/>
            <w:vAlign w:val="bottom"/>
            <w:tcBorders>
              <w:top w:val="single" w:sz="8" w:color="CCEEFF"/>
            </w:tcBorders>
            <w:shd w:val="clear" w:color="auto" w:fill="000000"/>
          </w:tcPr>
          <w:p>
            <w:pPr>
              <w:spacing w:after="0" w:line="20" w:lineRule="exact"/>
              <w:rPr>
                <w:sz w:val="1"/>
                <w:szCs w:val="1"/>
                <w:color w:val="auto"/>
              </w:rPr>
            </w:pPr>
          </w:p>
        </w:tc>
        <w:tc>
          <w:tcPr>
            <w:tcW w:w="2280" w:type="dxa"/>
            <w:vAlign w:val="bottom"/>
            <w:tcBorders>
              <w:top w:val="single" w:sz="8" w:color="CCEEFF"/>
            </w:tcBorders>
            <w:shd w:val="clear" w:color="auto" w:fill="000000"/>
          </w:tcPr>
          <w:p>
            <w:pPr>
              <w:spacing w:after="0" w:line="20" w:lineRule="exact"/>
              <w:rPr>
                <w:sz w:val="1"/>
                <w:szCs w:val="1"/>
                <w:color w:val="auto"/>
              </w:rPr>
            </w:pPr>
          </w:p>
        </w:tc>
      </w:tr>
      <w:tr>
        <w:trPr>
          <w:trHeight w:val="237"/>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2,810</w:t>
            </w:r>
          </w:p>
        </w:tc>
        <w:tc>
          <w:tcPr>
            <w:tcW w:w="2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3,509</w:t>
            </w:r>
          </w:p>
        </w:tc>
        <w:tc>
          <w:tcPr>
            <w:tcW w:w="22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20,758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20,758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9"/>
                <w:szCs w:val="19"/>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19"/>
                <w:szCs w:val="19"/>
                <w:color w:val="auto"/>
              </w:rPr>
            </w:pPr>
          </w:p>
        </w:tc>
        <w:tc>
          <w:tcPr>
            <w:tcW w:w="1480" w:type="dxa"/>
            <w:vAlign w:val="bottom"/>
            <w:gridSpan w:val="3"/>
          </w:tcPr>
          <w:p>
            <w:pPr>
              <w:ind w:left="140"/>
              <w:spacing w:after="0"/>
              <w:rPr>
                <w:sz w:val="20"/>
                <w:szCs w:val="20"/>
                <w:color w:val="auto"/>
              </w:rPr>
            </w:pPr>
            <w:r>
              <w:rPr>
                <w:rFonts w:ascii="Arial" w:cs="Arial" w:eastAsia="Arial" w:hAnsi="Arial"/>
                <w:sz w:val="18"/>
                <w:szCs w:val="18"/>
                <w:b w:val="1"/>
                <w:bCs w:val="1"/>
                <w:color w:val="auto"/>
              </w:rPr>
              <w:t>Level 2</w:t>
            </w: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18,639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18,639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3"/>
          </w:tcPr>
          <w:p>
            <w:pPr>
              <w:ind w:left="820"/>
              <w:spacing w:after="0"/>
              <w:rPr>
                <w:sz w:val="20"/>
                <w:szCs w:val="20"/>
                <w:color w:val="auto"/>
              </w:rPr>
            </w:pPr>
            <w:r>
              <w:rPr>
                <w:rFonts w:ascii="Arial" w:cs="Arial" w:eastAsia="Arial" w:hAnsi="Arial"/>
                <w:sz w:val="18"/>
                <w:szCs w:val="18"/>
                <w:color w:val="auto"/>
              </w:rPr>
              <w:t>—   $</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right="340"/>
        <w:spacing w:after="0" w:line="276" w:lineRule="auto"/>
        <w:rPr>
          <w:sz w:val="20"/>
          <w:szCs w:val="20"/>
          <w:color w:val="auto"/>
        </w:rPr>
      </w:pPr>
      <w:r>
        <w:rPr>
          <w:rFonts w:ascii="Arial" w:cs="Arial" w:eastAsia="Arial" w:hAnsi="Arial"/>
          <w:sz w:val="17"/>
          <w:szCs w:val="17"/>
          <w:color w:val="auto"/>
        </w:rPr>
        <w:t>Our financial assets that are measured at fair value on a recurring basis and fall within valuation technique Level 2 are certificates of deposit (“CDs”) and municipal bonds, with original maturities ranging from three months to three years. The CDs and municipal bonds are classified as investments in current assets and noncurrent assets on the condensed consolidated balance sheets. As of September 27, 2015, the combined CDs and municipal bonds had a fair value of $10.1 million in current assets and $17.3 million in noncurrent assets compared to CDs and municipal bonds with a fair value of $14.5 million in current assets and $17.2 million in noncurrent assets as of March 29, 2015.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September 27, 2015 and March 29, 2015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24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29,</w:t>
            </w:r>
          </w:p>
        </w:tc>
      </w:tr>
      <w:tr>
        <w:trPr>
          <w:trHeight w:val="221"/>
        </w:trPr>
        <w:tc>
          <w:tcPr>
            <w:tcW w:w="80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9"/>
                <w:szCs w:val="19"/>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42,567</w:t>
            </w:r>
          </w:p>
        </w:tc>
      </w:tr>
      <w:tr>
        <w:trPr>
          <w:trHeight w:val="243"/>
        </w:trPr>
        <w:tc>
          <w:tcPr>
            <w:tcW w:w="8040" w:type="dxa"/>
            <w:vAlign w:val="bottom"/>
            <w:gridSpan w:val="3"/>
          </w:tcPr>
          <w:p>
            <w:pPr>
              <w:ind w:left="40"/>
              <w:spacing w:after="0"/>
              <w:rPr>
                <w:sz w:val="20"/>
                <w:szCs w:val="20"/>
                <w:color w:val="auto"/>
              </w:rPr>
            </w:pPr>
            <w:r>
              <w:rPr>
                <w:rFonts w:ascii="Arial" w:cs="Arial" w:eastAsia="Arial" w:hAnsi="Arial"/>
                <w:sz w:val="18"/>
                <w:szCs w:val="18"/>
                <w:color w:val="auto"/>
              </w:rPr>
              <w:t>LIFO reserve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(5,539)</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$42.9 million at September 27, 2015 and $39.0 million at March 29, 2015. The remainder of the inventory was valued and accounted for under the FIFO method.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t>The LIFO reserve decreased nominally during the three months ended September 27, 2015, and increased $0.2 million during the three months ended September 28, 2014. During the six months ended September 27, 2015 the LIFO reserve decreased nominally and for the six months ended September 28, 2014 the LIFO reserve increased $0.7 million. The valuation of LIFO inventory for interim periods is based on our estimates of year-end inventory levels and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carrying amount of goodwill was $13.8 million as of September 27, 2015 and $11.7 million as of March 29, 2015. The increase in goodwill is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goodwill recorded in conjunction with the acquisition of Davis as discussed in Note 3 - Business Combinations.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A summary of our intangible assets as of September 27, 2015 and March 29, 2015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27, 2015</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29, 2015</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9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3"/>
                <w:szCs w:val="13"/>
                <w:color w:val="auto"/>
              </w:rPr>
            </w:pPr>
          </w:p>
        </w:tc>
        <w:tc>
          <w:tcPr>
            <w:tcW w:w="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158"/>
        </w:trPr>
        <w:tc>
          <w:tcPr>
            <w:tcW w:w="38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3"/>
                <w:szCs w:val="13"/>
                <w:color w:val="auto"/>
              </w:rPr>
            </w:pPr>
          </w:p>
        </w:tc>
        <w:tc>
          <w:tcPr>
            <w:tcW w:w="12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9,740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9,723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Carrier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80" w:type="dxa"/>
            <w:vAlign w:val="bottom"/>
            <w:gridSpan w:val="2"/>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11,421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9,927</w:t>
            </w:r>
          </w:p>
        </w:tc>
        <w:tc>
          <w:tcPr>
            <w:tcW w:w="0" w:type="dxa"/>
            <w:vAlign w:val="bottom"/>
          </w:tcPr>
          <w:p>
            <w:pPr>
              <w:spacing w:after="0"/>
              <w:rPr>
                <w:sz w:val="1"/>
                <w:szCs w:val="1"/>
                <w:color w:val="auto"/>
              </w:rPr>
            </w:pPr>
          </w:p>
        </w:tc>
      </w:tr>
      <w:tr>
        <w:trPr>
          <w:trHeight w:val="243"/>
        </w:trPr>
        <w:tc>
          <w:tcPr>
            <w:tcW w:w="3820" w:type="dxa"/>
            <w:vAlign w:val="bottom"/>
            <w:gridSpan w:val="3"/>
          </w:tcPr>
          <w:p>
            <w:pPr>
              <w:ind w:left="4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12,648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subject to U.S. federal income tax as well as income tax of multiple state jurisdictions. The tax years prior to our fiscal year ended March 29, 2009 are closed to examination by the Internal Revenue Service, and with few exceptions, state and local income tax jurisdictions. During the second quarter of fiscal 2016 we recorded income tax expense of $0.3 million related to a preliminary audit finding by a state income tax jurisdiction covering multiple years. Penalties and interest associated with this assessment were recorded in selling, general, and administrative expenses and interest expense,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Accumulated 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on our consolidated balance sheet, net of tax, are as follows:</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27,</w:t>
            </w: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29,</w:t>
            </w:r>
          </w:p>
        </w:tc>
      </w:tr>
      <w:tr>
        <w:trPr>
          <w:trHeight w:val="221"/>
        </w:trPr>
        <w:tc>
          <w:tcPr>
            <w:tcW w:w="7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9"/>
                <w:szCs w:val="19"/>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7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80" w:type="dxa"/>
            <w:vAlign w:val="bottom"/>
            <w:gridSpan w:val="2"/>
          </w:tcPr>
          <w:p>
            <w:pPr>
              <w:ind w:left="3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plan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7520" w:type="dxa"/>
            <w:vAlign w:val="bottom"/>
            <w:gridSpan w:val="3"/>
          </w:tcPr>
          <w:p>
            <w:pPr>
              <w:ind w:left="4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17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i w:val="1"/>
          <w:iCs w:val="1"/>
          <w:color w:val="auto"/>
        </w:rPr>
        <w:t xml:space="preserve">Performance-Based Restricted Stock Units. </w:t>
      </w:r>
      <w:r>
        <w:rPr>
          <w:rFonts w:ascii="Arial" w:cs="Arial" w:eastAsia="Arial" w:hAnsi="Arial"/>
          <w:sz w:val="17"/>
          <w:szCs w:val="17"/>
          <w:color w:val="auto"/>
        </w:rPr>
        <w:t>Our Board of Directors (the “Board”) approved a performance-based equity compensation arrangement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during the first quarters of each of fiscal 2016 and 2015.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44,446 shares in the aggregate for fiscal 2016. The restricted shares issued will fully vest two years after the last day of the fiscal year on which the performance is based. We are recording the compensation expense for the outstanding performance share units and the converted restricted stock over the life of the awards.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27, 2015:</w:t>
      </w:r>
    </w:p>
    <w:p>
      <w:pPr>
        <w:spacing w:after="0" w:line="15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4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158"/>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37,309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62,241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4" w:right="239" w:bottom="1440" w:gutter="0" w:footer="0" w:header="0"/>
          <w:type w:val="continuous"/>
        </w:sectPr>
      </w:pPr>
    </w:p>
    <w:bookmarkStart w:id="10" w:name="page11"/>
    <w:bookmarkEnd w:id="10"/>
    <w:p>
      <w:pPr>
        <w:spacing w:after="0" w:line="302" w:lineRule="auto"/>
        <w:rPr>
          <w:sz w:val="20"/>
          <w:szCs w:val="20"/>
          <w:color w:val="auto"/>
        </w:rPr>
      </w:pPr>
      <w:r>
        <w:rPr>
          <w:rFonts w:ascii="Arial" w:cs="Arial" w:eastAsia="Arial" w:hAnsi="Arial"/>
          <w:sz w:val="16"/>
          <w:szCs w:val="16"/>
          <w:color w:val="auto"/>
        </w:rPr>
        <w:t>We recorded compensation expense related to performance share units and restricted stock of $0.3 million for the three months ended September 27, 2015 and $0.6 million for the six months ended September 27, 2015. We recorded compensation expense related to performance share units and restricted stock of $0.2 million for the three months ended September 28, 2014 and $0.5 million for the six months ended September 28, 2014. Substantially all of the compensation expense was recorded in selling, general and administrative expenses in the condensed consolidated statements of income.</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As part of their retainer, each non-employee director receives an annual grant of restricted stock for their Board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awards are expensed over the requisite vesting period, which is one year from the date of issuance, based on the market value on the date of grant. As of September 27, 2015, there were 6,804 shares of restricted stock with a weighted averaged grant date fair value of $36.00 outstanding under this program. Compensation expense for each of the three and six months ended September 27, 2015 and September 28, 2014 related to restricted stock awards to the Board was $0.1 million.</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Board previously approved a long-term incentive equity compensation arrangement for our executive officers that provided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non-qualified stock options that vested at the end of a three-year period. No stock options have been granted since our fiscal year ended March 28, 2010. During fiscal 2015, 9,333 options were exercised with an exercise price of $19.90. No expense was recorded in fiscal 2015 or fiscal 2016 related to the value of stock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 Program</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On May 29, 2014, our Board authorized a share repurchase program of up to 300,000 shares of our outstanding common shares. Under the program, we are authorized to repurchase shares for cash on the open market or in privately negotiated transactions subject to applicable securities laws and regulations. Upon repurchase of the shares, we reduced our common stock for the par value of the shares with the excess applied against additional paid-in capital.</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six months ended September 27, 2015, we repurchased 127,852 shares of common stock with an aggregate purchase price of $4.8 million. During fiscal 2015, we repurchased 59,602 shares at an aggregate purchase price of $2.2 million, of which 39,170 shares with an aggregate purchase price of $1.4 million were repurchased during the first half of the fiscal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225" w:lineRule="exact"/>
        <w:rPr>
          <w:sz w:val="20"/>
          <w:szCs w:val="20"/>
          <w:color w:val="auto"/>
        </w:rPr>
      </w:pPr>
    </w:p>
    <w:p>
      <w:pPr>
        <w:ind w:right="400"/>
        <w:spacing w:after="0" w:line="313"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are no material pending legal proceedings, other than ordinary routine litigation incidental to the business, to which we or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are a party or of which any of our property is the subject. Legal fees associated with such matters are expensed as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2015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the nature of our business, it is not practical to disclose revenues from external customers for each product or each group of similar products. No single customer’s revenues amounted to 10% or more of our total revenue. Sales outside of the United States are immaterial and all assets are located within the United States.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Water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1"/>
        </w:trPr>
        <w:tc>
          <w:tcPr>
            <w:tcW w:w="4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Treatment</w:t>
            </w:r>
          </w:p>
        </w:tc>
        <w:tc>
          <w:tcPr>
            <w:tcW w:w="300" w:type="dxa"/>
            <w:vAlign w:val="bottom"/>
          </w:tcPr>
          <w:p>
            <w:pPr>
              <w:spacing w:after="0"/>
              <w:rPr>
                <w:sz w:val="19"/>
                <w:szCs w:val="19"/>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Three months ended September 27, 2015:</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58,346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36,246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94,592</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19,811</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10,303</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9,508</w:t>
            </w:r>
          </w:p>
        </w:tc>
      </w:tr>
      <w:tr>
        <w:trPr>
          <w:trHeight w:val="243"/>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Three months ended September 28, 2014:</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88,881</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18,122</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8,271</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9,851</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Six months ended September 27, 2015:</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Sales</w:t>
            </w:r>
          </w:p>
        </w:tc>
        <w:tc>
          <w:tcPr>
            <w:tcW w:w="1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125,934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70,154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196,088</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40,546</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20,194</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20,352</w:t>
            </w:r>
          </w:p>
        </w:tc>
      </w:tr>
      <w:tr>
        <w:trPr>
          <w:trHeight w:val="243"/>
        </w:trPr>
        <w:tc>
          <w:tcPr>
            <w:tcW w:w="4340" w:type="dxa"/>
            <w:vAlign w:val="bottom"/>
            <w:gridSpan w:val="3"/>
          </w:tcPr>
          <w:p>
            <w:pPr>
              <w:ind w:left="20"/>
              <w:spacing w:after="0"/>
              <w:rPr>
                <w:sz w:val="20"/>
                <w:szCs w:val="20"/>
                <w:color w:val="auto"/>
              </w:rPr>
            </w:pPr>
            <w:r>
              <w:rPr>
                <w:rFonts w:ascii="Arial" w:cs="Arial" w:eastAsia="Arial" w:hAnsi="Arial"/>
                <w:sz w:val="18"/>
                <w:szCs w:val="18"/>
                <w:color w:val="auto"/>
              </w:rPr>
              <w:t>Six months ended September 28, 2014:</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Sales</w:t>
            </w:r>
          </w:p>
        </w:tc>
        <w:tc>
          <w:tcPr>
            <w:tcW w:w="1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186,917</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Gross profit</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17,724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36,618</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17,146</w:t>
            </w:r>
          </w:p>
        </w:tc>
      </w:tr>
      <w:tr>
        <w:trPr>
          <w:trHeight w:val="243"/>
        </w:trPr>
        <w:tc>
          <w:tcPr>
            <w:tcW w:w="20" w:type="dxa"/>
            <w:vAlign w:val="bottom"/>
          </w:tcPr>
          <w:p>
            <w:pPr>
              <w:spacing w:after="0"/>
              <w:rPr>
                <w:sz w:val="21"/>
                <w:szCs w:val="21"/>
                <w:color w:val="auto"/>
              </w:rPr>
            </w:pPr>
          </w:p>
        </w:tc>
        <w:tc>
          <w:tcPr>
            <w:tcW w:w="4320" w:type="dxa"/>
            <w:vAlign w:val="bottom"/>
            <w:gridSpan w:val="2"/>
          </w:tcPr>
          <w:p>
            <w:pPr>
              <w:ind w:left="360"/>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19,472</w:t>
            </w: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0" w:type="dxa"/>
            <w:vAlign w:val="bottom"/>
          </w:tcPr>
          <w:p>
            <w:pPr>
              <w:jc w:val="right"/>
              <w:ind w:right="77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400"/>
          </w:cols>
          <w:pgMar w:left="760" w:top="742" w:right="739" w:bottom="1440" w:gutter="0" w:footer="0" w:header="0"/>
        </w:sectPr>
      </w:pPr>
    </w:p>
    <w:bookmarkStart w:id="12" w:name="page13"/>
    <w:bookmarkEnd w:id="12"/>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0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the three and six months ended September 27, 2015 as compared to September 28, 2014. This discussion should be read in conjunction with the Condensed Consolidated Financial Statements and Notes to Condensed Consolidated Financial Statements included in this quarterly report on Form 10-Q and Item 8 of our Annual Report on Form 10-K for the fiscal year ended March 29, 2015 (“fiscal 2015”). References to fiscal 2016 refer to the fiscal year ending April 3,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manufacturing, blending, and repackaging certain products.</w:t>
      </w:r>
    </w:p>
    <w:p>
      <w:pPr>
        <w:spacing w:after="0" w:line="2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September 18, 2015, we acquired substantially all of the assets of Davis Supply, Inc. (“Davis”) under the terms of an asset purchase agreement with Davis and its shareholders. We paid $4.5 million cash at closing, using available cash on hand to fund the acquisition. Davis was a water treatment chemical distribution company operating in Florida with revenues of approximately $5 million in calendar year 2014. Through this acquisition we added one operating location in Florida and have integrated the remainder of the business into our existing Florida locations. The results of operations after the date of acquisition and the acquired assets are included in our Water Treatment Segment.</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third quarter of fiscal 2015, we acquired substantially all of the assets of The Dumont Company, Inc. (“Dumont”) under the terms of an asset purchase agreement with Dumont and its shareholders. We paid $10.1 million in cash including a working capital adjustment, using available cash on hand to fund the acquisition. Dumont was a water treatment chemical distribution company with revenues of approximately $14 million in calendar year 2013. Through this acquisition we added seven operating locations across Florida serving municipal water and wastewater treatment, private utilities, commercial swimming pools, irrigation water treatment and food processing chemical markets. The results of operations since the acquisition date are included in our Water Treatment Segment.</w:t>
      </w:r>
    </w:p>
    <w:p>
      <w:pPr>
        <w:spacing w:after="0" w:line="19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the first quarter of fiscal 2015, our Board of Directors authorized a share repurchase program of up to 300,000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six months ended September 27, 2015, we repurchased 127,852 shares at an aggregate purchase price of $4.8 million. Since the inception of this program, we have repurchased 187,454 shares for an aggregate purchase price of $7.0 million.</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use the last in, first out (“LIFO”) method for valuing substantially all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We recorded a nominal decrease in our LIFO reserve for both the three and six months ended September 27, 2015. We recorded an increase of $0.2 million in our LIFO reserve for the three months ended September 28, 2014 and an increase of $0.7 million increase in our LIFO reserve for the six months ended September 28, 2014, decreasing our reported gross profit for those periods.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disclose the sales of our bulk commodity products as a percentage of total sales dollars. Our definition of bulk commodity products includes products that we do not modify in any way, but receive, store, and ship from our facilities, or direct ship to our customers in large quantities. We review our sales reporting on a periodic basis to ensure we are including all products that meet this definition. The disclosures in this document referring to sales of bulk commodity products have been updated for all periods presented based on the most recent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58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360" w:type="dxa"/>
            <w:vAlign w:val="bottom"/>
            <w:gridSpan w:val="4"/>
          </w:tcPr>
          <w:p>
            <w:pPr>
              <w:ind w:left="860"/>
              <w:spacing w:after="0"/>
              <w:rPr>
                <w:sz w:val="20"/>
                <w:szCs w:val="20"/>
                <w:color w:val="auto"/>
              </w:rPr>
            </w:pPr>
            <w:r>
              <w:rPr>
                <w:rFonts w:ascii="Arial" w:cs="Arial" w:eastAsia="Arial" w:hAnsi="Arial"/>
                <w:sz w:val="18"/>
                <w:szCs w:val="18"/>
                <w:b w:val="1"/>
                <w:bCs w:val="1"/>
                <w:color w:val="auto"/>
              </w:rPr>
              <w:t>Three months ended</w:t>
            </w:r>
          </w:p>
        </w:tc>
        <w:tc>
          <w:tcPr>
            <w:tcW w:w="324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82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September 27, 2015</w:t>
            </w: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September 28, 2014</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27, 2015</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w w:val="89"/>
              </w:rPr>
              <w:t>September 28, 2014</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680" w:type="dxa"/>
            <w:vAlign w:val="bottom"/>
            <w:gridSpan w:val="2"/>
          </w:tcPr>
          <w:p>
            <w:pPr>
              <w:ind w:left="116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 %</w:t>
            </w:r>
          </w:p>
        </w:tc>
        <w:tc>
          <w:tcPr>
            <w:tcW w:w="15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940"/>
        <w:spacing w:after="0" w:line="438" w:lineRule="auto"/>
        <w:rPr>
          <w:sz w:val="20"/>
          <w:szCs w:val="20"/>
          <w:color w:val="auto"/>
        </w:rPr>
      </w:pPr>
      <w:r>
        <w:rPr>
          <w:rFonts w:ascii="Arial" w:cs="Arial" w:eastAsia="Arial" w:hAnsi="Arial"/>
          <w:sz w:val="18"/>
          <w:szCs w:val="18"/>
          <w:b w:val="1"/>
          <w:bCs w:val="1"/>
          <w:i w:val="1"/>
          <w:iCs w:val="1"/>
          <w:color w:val="auto"/>
        </w:rPr>
        <w:t xml:space="preserve">Three Months Ended September 27, 2015 Compared to the Three Months Ended September 28, 2014 </w:t>
      </w:r>
      <w:r>
        <w:rPr>
          <w:rFonts w:ascii="Arial" w:cs="Arial" w:eastAsia="Arial" w:hAnsi="Arial"/>
          <w:sz w:val="18"/>
          <w:szCs w:val="18"/>
          <w:i w:val="1"/>
          <w:iCs w:val="1"/>
          <w:color w:val="auto"/>
        </w:rPr>
        <w:t>Sales</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Sales increased $5.7 million, or 6.4%, to $94.6 million for the three months ended September 27, 2015, as compared to $88.9 million for the same period of the prior year. Sales of bulk commodity products accounted for approximately 19% of sales dollars for the three-month period ended September 27, 2015 and 20% during the same period of the prior year.</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were $58.3 million for the three months ended September 27, 2015, an increase of $0.4 million from $57.9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the prior year. Overall volumes were consistent with the same period a year ago. The growth in sales dollars was driven by a shift in product mix to increased sales of products with higher per-unit selling prices, offsetting decreased volumes of lower-priced bulk commodity products at select accounts.</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$5.3 million, or 17.1%, to $36.2 million for the three months ended September 27, 2015,</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$30.9 million for the same period of the prior year. Sales at our Florida locations acquired in the third quarter of fiscal 2015 were $4.2 million. Also contributing to the year-over-year increase was increased sales volumes across many of our other branches. Volume growth outpaced growth in sales dollars due to increased sales of products with lower per-unit selling prices.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Gross profit was $19.8 million, or 20.9% of sales, for the three months ended September 27, 2015, an increase of $1.7 million from $18.1 million, or 20.4% of sales, for the same period of the prior year. The LIFO method of valuing inventory had a nominal impact on gross profit for the three months ended September 27, 2015 and decreased gross profit by $0.2 million for the three months ended September 28, 2014.</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$0.8 million to $9.2 million, or 15.7% of sales,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27, 2015, as compared to $8.4 million, or 14.4% of sales, for the same period of the prior year. While volumes were consistent year-over-year, increased sales of certain products that generate higher per-unit margins more than offset the impact from decreased volumes of lower-margin bulk commodity products. The LIFO method of valuing inventory had a nominal impact on gross profit in the second quarter of the current year but decreased gross profit by $0.1 million in the prior year.</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$0.8 million to $10.6 million, or 29.3% of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2015, as compared to $9.8 million, or 31.5% of sales, for the same period of the prior year. The increase in gross profit dollars was primarily driven by our Florida locations acquired in the third quarter of fiscal 2015, in addition to increases in volumes sold in our other branches. Gross profit as a percentage of sales decreased in part due to the addition of the seven Florida locations that have lower per-branch revenues and the costs to operate represent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017" w:right="239" w:bottom="1440" w:gutter="0" w:footer="0" w:header="0"/>
        </w:sectPr>
      </w:pPr>
    </w:p>
    <w:bookmarkStart w:id="14" w:name="page15"/>
    <w:bookmarkEnd w:id="14"/>
    <w:p>
      <w:pPr>
        <w:ind w:right="500"/>
        <w:spacing w:after="0" w:line="277" w:lineRule="auto"/>
        <w:rPr>
          <w:sz w:val="20"/>
          <w:szCs w:val="20"/>
          <w:color w:val="auto"/>
        </w:rPr>
      </w:pPr>
      <w:r>
        <w:rPr>
          <w:rFonts w:ascii="Arial" w:cs="Arial" w:eastAsia="Arial" w:hAnsi="Arial"/>
          <w:sz w:val="18"/>
          <w:szCs w:val="18"/>
          <w:color w:val="auto"/>
        </w:rPr>
        <w:t>higher percentage of their sales than many of our existing branches. The LIFO method of valuing inventory had a nominal impact on gross profit in the second quarter of the current year but decreased gross profit by $0.1 million in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Selling, general and administrative (“SG&amp;A”) expenses were $10.3 million, or 10.9% of sales, for the three months ended September 27, 2015, as compared to $8.3 million, or 9.3% of sales, for the same period of the prior year. The expense increase was partially driven by our Florida locations acquired in the third quarter of fiscal 2015 in our Water Treatment segment, as well as the addition of sales personnel in other Water Treatment locations and in our Industrial sales group.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income was $9.5 million for the three months ended September 27, 2015, as compared to $9.9 million for the same period of the prior year. Operating income for the Industrial segment increased $0.1 million as the increase in gross profit was partially offset by higher SG&amp;A expenses than the prior year. Operating income for the Water Treatment segment decreased $0.4 million as the increase in gross profit was more than offset by higher SG&amp;A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Our effective income tax rate was 40.2% for the three months ended September 27, 2015 and 37.5% for the three months ended September 28, 2014. During the second quarter of fiscal 2016 we recorded income tax expense of $0.3 million related to a preliminary audit finding by a state income tax jurisdiction covering multiple years. The effective tax rate is also impacted by projected levels of annual taxable income, permanent items, and state taxes.</w:t>
      </w:r>
    </w:p>
    <w:p>
      <w:pPr>
        <w:spacing w:after="0" w:line="147" w:lineRule="exact"/>
        <w:rPr>
          <w:sz w:val="20"/>
          <w:szCs w:val="20"/>
          <w:color w:val="auto"/>
        </w:rPr>
      </w:pPr>
    </w:p>
    <w:p>
      <w:pPr>
        <w:ind w:right="4320"/>
        <w:spacing w:after="0" w:line="438" w:lineRule="auto"/>
        <w:rPr>
          <w:sz w:val="20"/>
          <w:szCs w:val="20"/>
          <w:color w:val="auto"/>
        </w:rPr>
      </w:pPr>
      <w:r>
        <w:rPr>
          <w:rFonts w:ascii="Arial" w:cs="Arial" w:eastAsia="Arial" w:hAnsi="Arial"/>
          <w:sz w:val="18"/>
          <w:szCs w:val="18"/>
          <w:b w:val="1"/>
          <w:bCs w:val="1"/>
          <w:i w:val="1"/>
          <w:iCs w:val="1"/>
          <w:color w:val="auto"/>
        </w:rPr>
        <w:t xml:space="preserve">Six Months Ended September 27, 2015 Compared to the Six Months Ended September 28, 2014 </w:t>
      </w:r>
      <w:r>
        <w:rPr>
          <w:rFonts w:ascii="Arial" w:cs="Arial" w:eastAsia="Arial" w:hAnsi="Arial"/>
          <w:sz w:val="18"/>
          <w:szCs w:val="18"/>
          <w:i w:val="1"/>
          <w:iCs w:val="1"/>
          <w:color w:val="auto"/>
        </w:rPr>
        <w:t>Sales</w:t>
      </w:r>
    </w:p>
    <w:p>
      <w:pPr>
        <w:spacing w:after="0" w:line="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increased $9.2 million, or 4.9%, to $196.1 million for the six months ended September 27, 2015, as compared to $186.9 million for the same period of the prior year. Sales of bulk commodity products accounted for approximately 19% of sales dollars for the six months ended September 27, 2015 and 21% during the same period of the prior year.</w:t>
      </w:r>
    </w:p>
    <w:p>
      <w:pPr>
        <w:spacing w:after="0" w:line="12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Industrial segment sales were $125.9 million for the six months ended September 27, 2015 and $125.5 million for the same period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Our volumes decreased slightly from the same period a year ago due to lower sales of certain bulk commodity products at select accounts. A shift in product mix increased sales of products with higher per-unit selling prices, which drove a small increase in overall sales for this segment.</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$8.8 million, or 14.2%, to $70.2 million, as compared to $61.4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the prior year. The year-over-year increase was driven by sales of $8.4 million at our Florida locations acquired in the third quarter of fiscal 2015. Also contributing to the year-over-year increase was increased sales volumes across many of our other branches. Volume growth outpaced the growth in sales dollars due to increased sales of products with lower per-unit selling prices.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Gross profit was $40.5 million, or 20.7% of sales, for the six months ended September 27, 2015, an increase of $3.9 million from $36.6 million or 19.6% of sales, for the same period of the prior year. The LIFO method of valuing inventory had a nominal impact on gross profit for the six months ended September 27, 2015 and decreased gross profit by $0.7 million for the six months ended September 28, 2014.</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$2.2 million to $19.9 million, or 15.8% of sales, for the six months ended September 27,</w:t>
      </w:r>
      <w:r>
        <w:rPr>
          <w:rFonts w:ascii="Arial" w:cs="Arial" w:eastAsia="Arial" w:hAnsi="Arial"/>
          <w:sz w:val="18"/>
          <w:szCs w:val="18"/>
          <w:i w:val="1"/>
          <w:iCs w:val="1"/>
          <w:color w:val="auto"/>
        </w:rPr>
        <w:t xml:space="preserve"> </w:t>
      </w:r>
      <w:r>
        <w:rPr>
          <w:rFonts w:ascii="Arial" w:cs="Arial" w:eastAsia="Arial" w:hAnsi="Arial"/>
          <w:sz w:val="18"/>
          <w:szCs w:val="18"/>
          <w:color w:val="auto"/>
        </w:rPr>
        <w:t>2015, as compared to $17.7 million, or 14.1% of sales, for the same period of the prior year. While total volumes decreased slightly year-over-year, increased sales of certain products that generate higher per-unit margins more than offset the impact from decreased volumes of lower-margin bulk commodity products. The LIFO method of valuing inventory had a nominal impact on gross profit in the first half of the current year but decreased gross profit by $0.5 million in the prior year.</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$1.7 million to $20.6 million or 29.4% of sales,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2015, as compared to $18.9 million, or 30.8% of sales, for the same period of the prior year. The increase in gross profit dollars was driven by profits from our Florida locations acquired in the third quarter of fiscal 2015. However, gross profit as a percentage of sales decreased due to the addition of the Florida locations that have lower per-branch revenues and the costs to operate represent a higher percentage of their sales than many of our existing branches.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46" w:right="259" w:bottom="1440" w:gutter="0" w:footer="0" w:header="0"/>
        </w:sectPr>
      </w:pPr>
    </w:p>
    <w:bookmarkStart w:id="15" w:name="page16"/>
    <w:bookmarkEnd w:id="15"/>
    <w:p>
      <w:pPr>
        <w:ind w:right="160"/>
        <w:spacing w:after="0" w:line="277" w:lineRule="auto"/>
        <w:rPr>
          <w:sz w:val="20"/>
          <w:szCs w:val="20"/>
          <w:color w:val="auto"/>
        </w:rPr>
      </w:pPr>
      <w:r>
        <w:rPr>
          <w:rFonts w:ascii="Arial" w:cs="Arial" w:eastAsia="Arial" w:hAnsi="Arial"/>
          <w:sz w:val="18"/>
          <w:szCs w:val="18"/>
          <w:color w:val="auto"/>
        </w:rPr>
        <w:t>The LIFO method of valuing inventory had a nominal impact on gross profit in the first half of the current year but decreased gross profit by $0.2 million in the same period of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general and administrative (“SG&amp;A”) expenses were $20.2 million, or 10.3% of sales, for the six months ended September 27, 2015 as compared to $17.1 million, or 9.2% of sales, for the same period of the prior year. The expense increase was partially driven by our Florida locations acquired in the third quarter of fiscal 2015 in our Water Treatment segment, as well as the addition of sales personnel in other Water Treatment locations and in our Industrial sales group.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Operating income was $20.4 million for the six months ended September 27, 2015 as compared to $19.5 million for the same period of the prior year. Operating income for the Industrial segment increased $1.4 million due to the increase in gross profit discussed above, partially offset by higher SG&amp;A expenses. Operating income for the Water Treatment segment decreased $0.5 million as the increase in gross profit was more than offset by higher SG&amp;A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effective income tax rate was 38.8% for the six months ended September 27, 2015 and 37.5% for the six months ended June 29, 2014. During the second quarter of fiscal 2016 we recorded income tax expense of $0.3 million related to a preliminary audit finding by a state income tax jurisdiction covering multiple years. The effective tax rate is also impacted by projected levels of annual taxable income, permanent items, and state taxes.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Cash provided by operating activities for the six months ended September 27, 2015 was $20.5 million compared to $9.6 million for the same period of the prior year. The increase in cash provided by operating activities was primarily due to the timing of inventory purchases. Our inventory levels on hand at the end of fiscal 2014 were unusually low, which resulted in significant cash expended to rebuild inventory levels in the first quarter of fiscal 2015.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as the majority of barges are received during this period.</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Capital expenditures were $9.7 million for the six months ended September 27, 2015, as compared to $6.2 million in the same period of the prior fiscal year. Included in capital expenditures for the first six months of fiscal 2016 was approximately $4.2 million related to facility improvements, replacement equipment, new and replacement containers, and water treatment trucks, and $3.1 million related to business expansion, inventory storage and process improvements.</w:t>
      </w:r>
    </w:p>
    <w:p>
      <w:pPr>
        <w:spacing w:after="0" w:line="13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Cash used in financing activities was $8.7 million for the six months ended September 27, 2015, as compared to $5.1 million in the same period of the prior fiscal year. The increase in the use of cash was primarily due to a higher level of common stock repurchases in the current year.</w:t>
      </w:r>
    </w:p>
    <w:p>
      <w:pPr>
        <w:spacing w:after="0" w:line="9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Cash and investments were $48.1 million at September 27, 2015, a decrease of $2.3 million as compared with the $50.4 million available as of March 29, 2015, due to cash outflows related to capital expenditures, the Davis acquisition, dividend payments and the share repurchase program described above exceeding the cash flows generated from operations during the six months ended September 27, 2015.</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our cash balances and cash flows from operations will be sufficient to fund the cash requirements of our ongoing operations for the foreseeable future. From time to time, we review potential acquisitions and other strategic relationships including those that may require us to secure additional financing. In addition, we periodically evaluate opportunities to borrow funds or sell additional equity or debt securities for strategic reasons or to further strengthen our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March 29, 2015. The accounting policies used in preparing our interim fiscal 2016 condensed consolidated financial statements are the same as those described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March 29, 2015.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September 27, 2015, our investment portfolio included $27.3 million of certificates of deposit and municipal bonds classified as fixed income securities and cash and cash equivalents of $20.8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maturity. Consequently, we do not expect to recognize an adverse impact on net income or cash flows during the holding period. We adjust the carrying value of our investments if impairment occurs that is other than temporary.</w:t>
      </w:r>
    </w:p>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as our pricing must be competitive.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2016 that has materially affected, or is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46"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7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RISK FACTORS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from those disclosed in our Annual Report on Form 10-K for the fiscal year ended March 29, 2015, as amended.</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May 29, 2014, our Board of Directors authorized a share repurchase program of up to 300,000 shares of our outstanding common stock. The shares may be repurchased on the open market or in privately negotiated transactions subject to applicable securities laws and regulations. The following table sets forth information concerning purchases of our common stock for the quarter ended September 27, 2015:</w:t>
      </w:r>
    </w:p>
    <w:p>
      <w:pPr>
        <w:spacing w:after="0" w:line="3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94"/>
              </w:rPr>
              <w:t>Maximum Number of</w:t>
            </w:r>
          </w:p>
        </w:tc>
      </w:tr>
      <w:tr>
        <w:trPr>
          <w:trHeight w:val="216"/>
        </w:trPr>
        <w:tc>
          <w:tcPr>
            <w:tcW w:w="2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Purchased as Part of a</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8"/>
              </w:rPr>
              <w:t>Shares that May Yet be</w:t>
            </w:r>
          </w:p>
        </w:tc>
      </w:tr>
      <w:tr>
        <w:trPr>
          <w:trHeight w:val="216"/>
        </w:trPr>
        <w:tc>
          <w:tcPr>
            <w:tcW w:w="2120" w:type="dxa"/>
            <w:vAlign w:val="bottom"/>
          </w:tcPr>
          <w:p>
            <w:pPr>
              <w:spacing w:after="0"/>
              <w:rPr>
                <w:sz w:val="18"/>
                <w:szCs w:val="18"/>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Total Number of</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w w:val="91"/>
              </w:rPr>
              <w:t>Average Price Paid Per</w:t>
            </w: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Publicly Announced Plan</w:t>
            </w:r>
          </w:p>
        </w:tc>
        <w:tc>
          <w:tcPr>
            <w:tcW w:w="1920" w:type="dxa"/>
            <w:vAlign w:val="bottom"/>
          </w:tcPr>
          <w:p>
            <w:pPr>
              <w:jc w:val="right"/>
              <w:spacing w:after="0"/>
              <w:rPr>
                <w:sz w:val="20"/>
                <w:szCs w:val="20"/>
                <w:color w:val="auto"/>
              </w:rPr>
            </w:pPr>
            <w:r>
              <w:rPr>
                <w:rFonts w:ascii="Arial" w:cs="Arial" w:eastAsia="Arial" w:hAnsi="Arial"/>
                <w:sz w:val="18"/>
                <w:szCs w:val="18"/>
                <w:color w:val="auto"/>
                <w:w w:val="91"/>
              </w:rPr>
              <w:t>Purchased under Plans or</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Period</w:t>
            </w:r>
          </w:p>
        </w:tc>
        <w:tc>
          <w:tcPr>
            <w:tcW w:w="1940" w:type="dxa"/>
            <w:vAlign w:val="bottom"/>
          </w:tcPr>
          <w:p>
            <w:pPr>
              <w:jc w:val="right"/>
              <w:ind w:right="350"/>
              <w:spacing w:after="0"/>
              <w:rPr>
                <w:sz w:val="20"/>
                <w:szCs w:val="20"/>
                <w:color w:val="auto"/>
              </w:rPr>
            </w:pPr>
            <w:r>
              <w:rPr>
                <w:rFonts w:ascii="Arial" w:cs="Arial" w:eastAsia="Arial" w:hAnsi="Arial"/>
                <w:sz w:val="18"/>
                <w:szCs w:val="18"/>
                <w:color w:val="auto"/>
                <w:w w:val="99"/>
              </w:rPr>
              <w:t>Shares Purchased</w:t>
            </w:r>
          </w:p>
        </w:tc>
        <w:tc>
          <w:tcPr>
            <w:tcW w:w="700" w:type="dxa"/>
            <w:vAlign w:val="bottom"/>
          </w:tcPr>
          <w:p>
            <w:pPr>
              <w:spacing w:after="0"/>
              <w:rPr>
                <w:sz w:val="20"/>
                <w:szCs w:val="20"/>
                <w:color w:val="auto"/>
              </w:rPr>
            </w:pPr>
          </w:p>
        </w:tc>
        <w:tc>
          <w:tcPr>
            <w:tcW w:w="1380" w:type="dxa"/>
            <w:vAlign w:val="bottom"/>
          </w:tcPr>
          <w:p>
            <w:pPr>
              <w:jc w:val="right"/>
              <w:ind w:right="610"/>
              <w:spacing w:after="0"/>
              <w:rPr>
                <w:sz w:val="20"/>
                <w:szCs w:val="20"/>
                <w:color w:val="auto"/>
              </w:rPr>
            </w:pPr>
            <w:r>
              <w:rPr>
                <w:rFonts w:ascii="Arial" w:cs="Arial" w:eastAsia="Arial" w:hAnsi="Arial"/>
                <w:sz w:val="18"/>
                <w:szCs w:val="18"/>
                <w:color w:val="auto"/>
              </w:rPr>
              <w:t>Share</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or Program</w:t>
            </w:r>
          </w:p>
        </w:tc>
        <w:tc>
          <w:tcPr>
            <w:tcW w:w="1920" w:type="dxa"/>
            <w:vAlign w:val="bottom"/>
          </w:tcPr>
          <w:p>
            <w:pPr>
              <w:jc w:val="center"/>
              <w:ind w:left="10"/>
              <w:spacing w:after="0"/>
              <w:rPr>
                <w:sz w:val="20"/>
                <w:szCs w:val="20"/>
                <w:color w:val="auto"/>
              </w:rPr>
            </w:pPr>
            <w:r>
              <w:rPr>
                <w:rFonts w:ascii="Arial" w:cs="Arial" w:eastAsia="Arial" w:hAnsi="Arial"/>
                <w:sz w:val="18"/>
                <w:szCs w:val="18"/>
                <w:color w:val="auto"/>
                <w:w w:val="89"/>
              </w:rPr>
              <w:t>Programs</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6/29/2015-07/26/2015</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226,548</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7/27/2015-8/23/2015</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67,165</w:t>
            </w:r>
          </w:p>
        </w:tc>
        <w:tc>
          <w:tcPr>
            <w:tcW w:w="70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37.43</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67,165</w:t>
            </w:r>
          </w:p>
        </w:tc>
        <w:tc>
          <w:tcPr>
            <w:tcW w:w="1920" w:type="dxa"/>
            <w:vAlign w:val="bottom"/>
          </w:tcPr>
          <w:p>
            <w:pPr>
              <w:jc w:val="right"/>
              <w:spacing w:after="0"/>
              <w:rPr>
                <w:sz w:val="20"/>
                <w:szCs w:val="20"/>
                <w:color w:val="auto"/>
              </w:rPr>
            </w:pPr>
            <w:r>
              <w:rPr>
                <w:rFonts w:ascii="Arial" w:cs="Arial" w:eastAsia="Arial" w:hAnsi="Arial"/>
                <w:sz w:val="18"/>
                <w:szCs w:val="18"/>
                <w:color w:val="auto"/>
              </w:rPr>
              <w:t>159,383</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8/24/2015-9/27/2015</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46,837</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37.16</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46,837</w:t>
            </w:r>
          </w:p>
        </w:tc>
        <w:tc>
          <w:tcPr>
            <w:tcW w:w="1920" w:type="dxa"/>
            <w:vAlign w:val="bottom"/>
          </w:tcPr>
          <w:p>
            <w:pPr>
              <w:jc w:val="right"/>
              <w:spacing w:after="0"/>
              <w:rPr>
                <w:sz w:val="20"/>
                <w:szCs w:val="20"/>
                <w:color w:val="auto"/>
              </w:rPr>
            </w:pPr>
            <w:r>
              <w:rPr>
                <w:rFonts w:ascii="Arial" w:cs="Arial" w:eastAsia="Arial" w:hAnsi="Arial"/>
                <w:sz w:val="18"/>
                <w:szCs w:val="18"/>
                <w:color w:val="auto"/>
              </w:rPr>
              <w:t>112,546</w:t>
            </w:r>
          </w:p>
        </w:tc>
      </w:tr>
      <w:tr>
        <w:trPr>
          <w:trHeight w:val="27"/>
        </w:trPr>
        <w:tc>
          <w:tcPr>
            <w:tcW w:w="2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2120" w:type="dxa"/>
            <w:vAlign w:val="bottom"/>
          </w:tcPr>
          <w:p>
            <w:pPr>
              <w:ind w:left="400"/>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230"/>
              <w:spacing w:after="0"/>
              <w:rPr>
                <w:sz w:val="20"/>
                <w:szCs w:val="20"/>
                <w:color w:val="auto"/>
              </w:rPr>
            </w:pPr>
            <w:r>
              <w:rPr>
                <w:rFonts w:ascii="Arial" w:cs="Arial" w:eastAsia="Arial" w:hAnsi="Arial"/>
                <w:sz w:val="18"/>
                <w:szCs w:val="18"/>
                <w:color w:val="auto"/>
              </w:rPr>
              <w:t>114,002</w:t>
            </w:r>
          </w:p>
        </w:tc>
        <w:tc>
          <w:tcPr>
            <w:tcW w:w="7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37.32</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114,002</w:t>
            </w:r>
          </w:p>
        </w:tc>
        <w:tc>
          <w:tcPr>
            <w:tcW w:w="19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0"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660" w:type="dxa"/>
            <w:vAlign w:val="bottom"/>
          </w:tcPr>
          <w:p>
            <w:pPr>
              <w:jc w:val="right"/>
              <w:spacing w:after="0"/>
              <w:rPr>
                <w:sz w:val="20"/>
                <w:szCs w:val="20"/>
                <w:color w:val="auto"/>
              </w:rPr>
            </w:pPr>
            <w:r>
              <w:rPr>
                <w:rFonts w:ascii="Arial" w:cs="Arial" w:eastAsia="Arial" w:hAnsi="Arial"/>
                <w:sz w:val="18"/>
                <w:szCs w:val="18"/>
                <w:color w:val="auto"/>
                <w:w w:val="95"/>
              </w:rPr>
              <w:t>ITEM 6.</w:t>
            </w:r>
          </w:p>
        </w:tc>
        <w:tc>
          <w:tcPr>
            <w:tcW w:w="8780" w:type="dxa"/>
            <w:vAlign w:val="bottom"/>
            <w:gridSpan w:val="3"/>
          </w:tcPr>
          <w:p>
            <w:pPr>
              <w:ind w:left="320"/>
              <w:spacing w:after="0"/>
              <w:rPr>
                <w:sz w:val="20"/>
                <w:szCs w:val="20"/>
                <w:color w:val="auto"/>
              </w:rPr>
            </w:pPr>
            <w:r>
              <w:rPr>
                <w:rFonts w:ascii="Arial" w:cs="Arial" w:eastAsia="Arial" w:hAnsi="Arial"/>
                <w:sz w:val="18"/>
                <w:szCs w:val="18"/>
                <w:color w:val="auto"/>
              </w:rPr>
              <w:t>EXHIBITS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660" w:type="dxa"/>
            <w:vAlign w:val="bottom"/>
          </w:tcPr>
          <w:p>
            <w:pPr>
              <w:jc w:val="right"/>
              <w:ind w:right="12"/>
              <w:spacing w:after="0"/>
              <w:rPr>
                <w:sz w:val="20"/>
                <w:szCs w:val="20"/>
                <w:color w:val="auto"/>
              </w:rPr>
            </w:pPr>
            <w:r>
              <w:rPr>
                <w:rFonts w:ascii="Arial" w:cs="Arial" w:eastAsia="Arial" w:hAnsi="Arial"/>
                <w:sz w:val="14"/>
                <w:szCs w:val="14"/>
                <w:color w:val="auto"/>
              </w:rPr>
              <w:t>Exhibit</w:t>
            </w:r>
          </w:p>
        </w:tc>
        <w:tc>
          <w:tcPr>
            <w:tcW w:w="406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980" w:type="dxa"/>
            <w:vAlign w:val="bottom"/>
          </w:tcPr>
          <w:p>
            <w:pPr>
              <w:jc w:val="center"/>
              <w:spacing w:after="0"/>
              <w:rPr>
                <w:sz w:val="20"/>
                <w:szCs w:val="20"/>
                <w:color w:val="auto"/>
              </w:rPr>
            </w:pPr>
            <w:r>
              <w:rPr>
                <w:rFonts w:ascii="Arial" w:cs="Arial" w:eastAsia="Arial" w:hAnsi="Arial"/>
                <w:sz w:val="14"/>
                <w:szCs w:val="14"/>
                <w:color w:val="auto"/>
                <w:w w:val="98"/>
              </w:rPr>
              <w:t>Method of Filing</w:t>
            </w:r>
          </w:p>
        </w:tc>
        <w:tc>
          <w:tcPr>
            <w:tcW w:w="0" w:type="dxa"/>
            <w:vAlign w:val="bottom"/>
          </w:tcPr>
          <w:p>
            <w:pPr>
              <w:spacing w:after="0"/>
              <w:rPr>
                <w:sz w:val="1"/>
                <w:szCs w:val="1"/>
                <w:color w:val="auto"/>
              </w:rPr>
            </w:pPr>
          </w:p>
        </w:tc>
      </w:tr>
      <w:tr>
        <w:trPr>
          <w:trHeight w:val="21"/>
        </w:trPr>
        <w:tc>
          <w:tcPr>
            <w:tcW w:w="660" w:type="dxa"/>
            <w:vAlign w:val="bottom"/>
            <w:tcBorders>
              <w:bottom w:val="single" w:sz="8" w:color="auto"/>
            </w:tcBorders>
          </w:tcPr>
          <w:p>
            <w:pPr>
              <w:spacing w:after="0" w:line="20" w:lineRule="exact"/>
              <w:rPr>
                <w:sz w:val="1"/>
                <w:szCs w:val="1"/>
                <w:color w:val="auto"/>
              </w:rPr>
            </w:pPr>
          </w:p>
        </w:tc>
        <w:tc>
          <w:tcPr>
            <w:tcW w:w="4060" w:type="dxa"/>
            <w:vAlign w:val="bottom"/>
            <w:vMerge w:val="restart"/>
          </w:tcPr>
          <w:p>
            <w:pPr>
              <w:ind w:left="140"/>
              <w:spacing w:after="0"/>
              <w:rPr>
                <w:sz w:val="20"/>
                <w:szCs w:val="20"/>
                <w:color w:val="auto"/>
              </w:rPr>
            </w:pPr>
            <w:r>
              <w:rPr>
                <w:rFonts w:ascii="Arial" w:cs="Arial" w:eastAsia="Arial" w:hAnsi="Arial"/>
                <w:sz w:val="18"/>
                <w:szCs w:val="18"/>
                <w:color w:val="auto"/>
                <w:w w:val="93"/>
              </w:rPr>
              <w:t>Amended and Restated Articles of Incorporation. (1)</w:t>
            </w:r>
          </w:p>
        </w:tc>
        <w:tc>
          <w:tcPr>
            <w:tcW w:w="660" w:type="dxa"/>
            <w:vAlign w:val="bottom"/>
            <w:tcBorders>
              <w:top w:val="single" w:sz="8" w:color="auto"/>
              <w:bottom w:val="single" w:sz="8" w:color="auto"/>
            </w:tcBorders>
            <w:vMerge w:val="restart"/>
          </w:tcPr>
          <w:p>
            <w:pPr>
              <w:spacing w:after="0" w:line="20" w:lineRule="exact"/>
              <w:rPr>
                <w:sz w:val="1"/>
                <w:szCs w:val="1"/>
                <w:color w:val="auto"/>
              </w:rPr>
            </w:pPr>
          </w:p>
        </w:tc>
        <w:tc>
          <w:tcPr>
            <w:tcW w:w="4060" w:type="dxa"/>
            <w:vAlign w:val="bottom"/>
            <w:vMerge w:val="restart"/>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40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4060" w:type="dxa"/>
            <w:vAlign w:val="bottom"/>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rPr>
              <w:t>Amended and Restated By-Laws. (2)</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0" w:type="dxa"/>
            <w:vAlign w:val="bottom"/>
          </w:tcPr>
          <w:p>
            <w:pPr>
              <w:spacing w:after="0"/>
              <w:rPr>
                <w:sz w:val="1"/>
                <w:szCs w:val="1"/>
                <w:color w:val="auto"/>
              </w:rPr>
            </w:pPr>
          </w:p>
        </w:tc>
      </w:tr>
      <w:tr>
        <w:trPr>
          <w:trHeight w:val="270"/>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32.1</w:t>
            </w: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by Chief Executive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70"/>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rPr>
              <w:t>Section 1350 Certification by Chief Financial Officer.</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56"/>
        </w:trPr>
        <w:tc>
          <w:tcPr>
            <w:tcW w:w="6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w w:val="94"/>
              </w:rPr>
              <w:t>Financial statements from the Quarterly Report on Form 10-Q of Hawkins, Inc. for the period ended September 27,</w:t>
            </w:r>
          </w:p>
        </w:tc>
        <w:tc>
          <w:tcPr>
            <w:tcW w:w="198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w w:val="94"/>
              </w:rPr>
              <w:t>2015 filed with the SEC on October 28, 2015, formatted in Extensible Business Reporting Language (XBRL); (i) the</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rPr>
              <w:t>Condensed Consolidated Balance Sheets at September 27, 2015 and March 29, 2015, (ii) the Condensed</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8780" w:type="dxa"/>
            <w:vAlign w:val="bottom"/>
            <w:gridSpan w:val="3"/>
          </w:tcPr>
          <w:p>
            <w:pPr>
              <w:ind w:left="140"/>
              <w:spacing w:after="0"/>
              <w:rPr>
                <w:sz w:val="20"/>
                <w:szCs w:val="20"/>
                <w:color w:val="auto"/>
              </w:rPr>
            </w:pPr>
            <w:r>
              <w:rPr>
                <w:rFonts w:ascii="Arial" w:cs="Arial" w:eastAsia="Arial" w:hAnsi="Arial"/>
                <w:sz w:val="18"/>
                <w:szCs w:val="18"/>
                <w:color w:val="auto"/>
                <w:w w:val="95"/>
              </w:rPr>
              <w:t>Consolidated Statements of Income for the Three and Six Months Ended September 27, 2015 and September 28,</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00" w:right="2200"/>
        <w:spacing w:after="0" w:line="254" w:lineRule="auto"/>
        <w:rPr>
          <w:sz w:val="20"/>
          <w:szCs w:val="20"/>
          <w:color w:val="auto"/>
        </w:rPr>
      </w:pPr>
      <w:r>
        <w:rPr>
          <w:rFonts w:ascii="Arial" w:cs="Arial" w:eastAsia="Arial" w:hAnsi="Arial"/>
          <w:sz w:val="18"/>
          <w:szCs w:val="18"/>
          <w:color w:val="auto"/>
        </w:rPr>
        <w:t>2014, (iii) the Condensed Consolidated Statements of Comprehensive Income for the Three and Six Months Ended September 27, 2015 and September 28, 2014, (iv) the Condensed Consolidated Statements of Cash Flows for the Six Months Ended September 27, 2015 and September 28, 2014, and (v) Notes to Condensed Consolidated Financial Statements.</w:t>
      </w:r>
    </w:p>
    <w:p>
      <w:pPr>
        <w:spacing w:after="0" w:line="190" w:lineRule="exact"/>
        <w:rPr>
          <w:sz w:val="20"/>
          <w:szCs w:val="20"/>
          <w:color w:val="auto"/>
        </w:rPr>
      </w:pPr>
    </w:p>
    <w:p>
      <w:pPr>
        <w:ind w:left="540" w:hanging="316"/>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46" w:lineRule="exact"/>
        <w:rPr>
          <w:rFonts w:ascii="Arial" w:cs="Arial" w:eastAsia="Arial" w:hAnsi="Arial"/>
          <w:sz w:val="16"/>
          <w:szCs w:val="16"/>
          <w:color w:val="auto"/>
        </w:rPr>
      </w:pPr>
    </w:p>
    <w:p>
      <w:pPr>
        <w:ind w:left="540" w:hanging="316"/>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dated October 28, 2009 and filed November 3, 2009.</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642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57"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6"/>
          <w:szCs w:val="16"/>
          <w:color w:val="auto"/>
        </w:rPr>
        <w:t>Vice President, Chief Financial Officer, and Treasurer</w:t>
      </w:r>
    </w:p>
    <w:p>
      <w:pPr>
        <w:spacing w:after="0" w:line="8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(On behalf of the registrant and as principal financial</w:t>
      </w:r>
    </w:p>
    <w:p>
      <w:pPr>
        <w:spacing w:after="0" w:line="35"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28, 2015</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580" w:right="439" w:bottom="1440" w:gutter="0" w:footer="0" w:header="0"/>
        </w:sectPr>
      </w:pPr>
    </w:p>
    <w:bookmarkStart w:id="20" w:name="page21"/>
    <w:bookmarkEnd w:id="20"/>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7" w:lineRule="exact"/>
        <w:rPr>
          <w:sz w:val="20"/>
          <w:szCs w:val="20"/>
          <w:color w:val="auto"/>
        </w:rPr>
      </w:pPr>
    </w:p>
    <w:p>
      <w:pPr>
        <w:spacing w:after="0"/>
        <w:tabs>
          <w:tab w:leader="none" w:pos="430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20955</wp:posOffset>
            </wp:positionV>
            <wp:extent cx="445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6"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77" w:lineRule="exact"/>
        <w:rPr>
          <w:sz w:val="20"/>
          <w:szCs w:val="20"/>
          <w:color w:val="auto"/>
        </w:rPr>
      </w:pPr>
    </w:p>
    <w:p>
      <w:pPr>
        <w:ind w:left="200"/>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63" w:lineRule="exact"/>
        <w:rPr>
          <w:sz w:val="20"/>
          <w:szCs w:val="20"/>
          <w:color w:val="auto"/>
        </w:rPr>
      </w:pPr>
    </w:p>
    <w:p>
      <w:pPr>
        <w:ind w:left="120"/>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63" w:lineRule="exact"/>
        <w:rPr>
          <w:sz w:val="20"/>
          <w:szCs w:val="20"/>
          <w:color w:val="auto"/>
        </w:rPr>
      </w:pPr>
    </w:p>
    <w:p>
      <w:pPr>
        <w:ind w:left="700" w:hanging="541"/>
        <w:spacing w:after="0" w:line="290" w:lineRule="auto"/>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Hawkins, Inc. for the period ended September 27, 2015 filed with the SEC on October 28, 2015, formatted in Extensible Business Reporting Language (XBRL); (i) the Condensed Consolidated Balance Sheets at September 27, 2015 and September 28, 2015, (ii) the Condensed Consolidated Statements of Income for the Three and Six Months Ended September 27, 2015 and September 28, 2014, (iii) the Condensed Consolidated Statements of Comprehensive Income for the Three and Six Months Ended September 27, 2015 and September 28, 2014, (iv) the Condensed Consolidated Statements of Cash Flows for the Six Months Ended September 27, 2015 and September 28, 2014, and (v) Notes to Condensed Consolidated Financial Statements.</w:t>
      </w: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Method of Filing</w:t>
      </w:r>
    </w:p>
    <w:p>
      <w:pPr>
        <w:spacing w:after="0" w:line="46" w:lineRule="exact"/>
        <w:rPr>
          <w:sz w:val="20"/>
          <w:szCs w:val="20"/>
          <w:color w:val="auto"/>
        </w:rPr>
      </w:pPr>
    </w:p>
    <w:p>
      <w:pPr>
        <w:jc w:val="center"/>
        <w:spacing w:after="0" w:line="365" w:lineRule="auto"/>
        <w:rPr>
          <w:sz w:val="20"/>
          <w:szCs w:val="20"/>
          <w:color w:val="auto"/>
        </w:rPr>
      </w:pPr>
      <w:r>
        <w:rPr>
          <w:rFonts w:ascii="Arial" w:cs="Arial" w:eastAsia="Arial" w:hAnsi="Arial"/>
          <w:sz w:val="16"/>
          <w:szCs w:val="16"/>
          <w:color w:val="auto"/>
        </w:rPr>
        <w:t>Incorporated by Reference Incorporated by Reference Filed Electronically Filed Electronically Filed Electronically Filed Electronically Filed Electronically</w:t>
      </w:r>
    </w:p>
    <w:p>
      <w:pPr>
        <w:sectPr>
          <w:pgSz w:w="11900" w:h="16838" w:orient="portrait"/>
          <w:cols w:equalWidth="0" w:num="2">
            <w:col w:w="8620" w:space="440"/>
            <w:col w:w="1920"/>
          </w:cols>
          <w:pgMar w:left="400" w:top="580" w:right="51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2015</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28, 2015</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27, 2015,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28, 2015</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27, 2015,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28,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2019-12-29T14:42:58Z</dcterms:created>
  <dcterms:modified xsi:type="dcterms:W3CDTF">2019-12-29T14:42:58Z</dcterms:modified>
</cp:coreProperties>
</file>