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Date of Report (Date of earliest event reported) May 29, 2013</w:t>
      </w:r>
    </w:p>
    <w:p>
      <w:pPr>
        <w:spacing w:after="0" w:line="200" w:lineRule="exact"/>
        <w:rPr>
          <w:sz w:val="24"/>
          <w:szCs w:val="24"/>
          <w:color w:val="auto"/>
        </w:rPr>
      </w:pPr>
    </w:p>
    <w:p>
      <w:pPr>
        <w:spacing w:after="0" w:line="355"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55413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May 29, 2013, Hawkins, Inc. issued a press release announcing financial results for its fiscal year ended March 31, 2013. A copy of the press release issued by the Registrant is furnished herewith as Exhibit 99.1 hereto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Exhibit 99.1—Press Release, dated May 29, 2013, announcing financial results of Hawkins, Inc. for its fiscal year ended March 31, 2013.</w:t>
      </w:r>
    </w:p>
    <w:p>
      <w:pPr>
        <w:sectPr>
          <w:pgSz w:w="11900" w:h="16838" w:orient="portrait"/>
          <w:cols w:equalWidth="0" w:num="1">
            <w:col w:w="11420"/>
          </w:cols>
          <w:pgMar w:left="240" w:top="58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May 29,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Press Release, dated May 29, 2013,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year ended March 31, 2013.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color w:val="auto"/>
        </w:rPr>
        <w:t>Exhibit 99.1</w:t>
      </w:r>
    </w:p>
    <w:p>
      <w:pPr>
        <w:sectPr>
          <w:pgSz w:w="11900" w:h="16838" w:orient="portrait"/>
          <w:cols w:equalWidth="0" w:num="1">
            <w:col w:w="11420"/>
          </w:cols>
          <w:pgMar w:left="240" w:top="584" w:right="23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40" w:space="720"/>
            <w:col w:w="4460"/>
          </w:cols>
          <w:pgMar w:left="240" w:top="58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May 29, 2013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80" w:space="720"/>
            <w:col w:w="3720"/>
          </w:cols>
          <w:pgMar w:left="240" w:top="58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80" w:space="720"/>
            <w:col w:w="3720"/>
          </w:cols>
          <w:pgMar w:left="240" w:top="584"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80" w:space="720"/>
            <w:col w:w="3720"/>
          </w:cols>
          <w:pgMar w:left="240" w:top="584"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ectPr>
          <w:pgSz w:w="11900" w:h="16838" w:orient="portrait"/>
          <w:cols w:equalWidth="0" w:num="1">
            <w:col w:w="11420"/>
          </w:cols>
          <w:pgMar w:left="240" w:top="584" w:right="239" w:bottom="1440" w:gutter="0" w:footer="0" w:header="0"/>
          <w:type w:val="continuous"/>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QUARTER, FISCAL 2013 RESULTS</w:t>
      </w:r>
    </w:p>
    <w:p>
      <w:pPr>
        <w:spacing w:after="0" w:line="15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Minneapolis, MN, May 29, 2013 – Hawkins, Inc. (Nasdaq: HWKN) today announced fourth quarter and full-year results for its fiscal year ended March 31, 2013. Sales of $350.4 million for fiscal 2013 represented an increase of 1.9% from $343.8 million for the prior fiscal year. Adjusted net income from continuing operations was $23.6 million for the year, or $2.24 per share, fully diluted, compared to $21.6 million, or $2.08 per share, fully diluted, for fiscal 2012. Adjusted net income from continuing operations for fiscal 2013 excludes previously-announced pretax charges totaling $10.4 million (approximately $6.5 million after tax, or $0.62 per share, fully diluted), consisting of a pension withdrawal charge as well as a litigation settlement charge. Including these items, net income from continuing operations for fiscal 2013 was $17.1 million, or $1.62 per share, fully diluted (see reconciliation table).</w:t>
      </w:r>
    </w:p>
    <w:p>
      <w:pPr>
        <w:spacing w:after="0" w:line="1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fourth quarter of fiscal 2013, the Company reported sales of $87.6 million as compared to $83.2 million for the same period a year ago. Net income from continuing operations for the fourth quarter of fiscal 2013 was $4.2 million, or $0.39 per share, fully diluted, compared to net income from continuing operations of $3.3 million, or $0.34 per share, fully diluted, for the same period in fiscal 2012. A decrease in our LIFO inventory reserve of $0.6 million increased our earnings in the current quarter, while an increase in our LIFO reserve of $1.8 million decreased our earnings in the same period of the previous year.</w:t>
      </w:r>
    </w:p>
    <w:p>
      <w:pPr>
        <w:spacing w:after="0" w:line="13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recently completed significant infrastructure investments that better position the Company for long-term growth. Our new Rosemount manufacturing and warehousing facility began production in March and we moved our headquarters into a newly leased building in April. We will continue manufacturing and warehousing operations at our main location in Minneapolis, which had been the home of our corporate headquarters for over 60 years. While we absorbed additional costs in fiscal 2013 and will have additional incremental operating and depreciation expenses from both projects in fiscal 2014, these investments were necessary to position us for the future,” said Patrick Hawkins, Chief Executive Officer and President.</w:t>
      </w:r>
    </w:p>
    <w:p>
      <w:pPr>
        <w:spacing w:after="0" w:line="11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Mr. Hawkins continued, "Our Water Treatment segment increased its operating income by 12% in fiscal 2013 compared to fiscal 2012. A good share of this growth was fueled by favorable weather conditions during the first half of the year. Over the past few years we have also worked to increase this group's geographic coverage through additional sales personnel in existing branches and by adding new locations. Our Industrial group's reported performance was negatively impacted by the pension withdrawal and litigation settlement charges in addition to absorbing the incremental costs of the Rosemount facility. As we have discussed for several quarters now, the market conditions for this group continue to be challenging. However, this group was able to grow their overall volumes in fiscal 2013 and has worked hard to gain business in this difficult environment.”</w:t>
      </w:r>
    </w:p>
    <w:p>
      <w:pPr>
        <w:spacing w:after="0" w:line="1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fiscal 2013, Industrial segment sales were $248.6 million, a decrease of 1.2% from fiscal 2012 sales of $251.5 million. While Industrial volumes increased year-over-year, continued competitive pricing pressure resulted in lower overall per-unit selling prices. Water Treatment segment sales were $101.8 million for the year, an increase of 10.2% over last year’s sales of $92.4 million. The increase in sales was primarily due to volume growth resulting from favorable weather conditions in the first half of fiscal 2013 and additional sales of bulk products.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Company-wide gross profit for fiscal 2013 was $56.9 million, or 16.2% of sales, compared to $65.9 million, or 19.2% of sales, for the prior year. Gross profit was negatively impacted by the nonrecurring charges totaling $10.4 million, which charges together constituted 3.0% of sales for the fiscal year. Additionally, gross profit was negatively impacted by $1.3 million of incremental costs related to the new Rosemount facility and $0.4 million of accelerated depreciation charges related to a facility we intend to vacate in fiscal 2014. The LIFO method of valuing inventory increased gross profit by $0.4 million for fiscal 2013, whereas it decreased gross profit by $1.6 million for the previous year.</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for the Industrial segment was $28.9 million, or 11.6% of sales, for the year, as compared to $40.4 million, or 16.0% of sales, for the prior year. Gross profit in this segment was negatively impacted primarily by the nonrecurring charges, the Rosemount facility costs and the accelerated depreciation mentioned above. Heightened competitive pricing pressures also drove lower per-unit margins in this segment. Gross profit for the Water Treatment segment was $28.1 million, or 27.6% of sales, for the year, as compared to $25.5 million, or 27.6% of sales, for fiscal 2012. The increase in gross profit dollars was primarily due to increased volumes resulting from favorable weather conditions during the first half of fiscal 2013, partially offset by a shift in product mix to increased sales of lower-margin bulk products.</w:t>
      </w:r>
    </w:p>
    <w:p>
      <w:pPr>
        <w:spacing w:after="0" w:line="13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Company-wide SG&amp;A expenses of $31.6 million increased $0.8 million for the year as compared to the prior year primarily as a result of higher selling costs due to additional sales staff expenses, partially offset by lower administration costs.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effective income tax rate was 32.7% for fiscal 2013 compared to 38.6% for fiscal 2012. During fiscal 2013, we amended previously filed U.S. Federal tax returns resulting in an increase of $0.8 million in the benefits related to the domestic manufacturing deduction and investment tax credits, which positively impacted our tax rate for the year.</w:t>
      </w:r>
    </w:p>
    <w:p>
      <w:pPr>
        <w:spacing w:after="0" w:line="1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Roseville, Minnesota, and with 27 facilities in 13 states, the Company creates value for its customers through superb customer service and support, quality products and personalized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reports its consolidated financial results in accordance with U.S. generally accepted accounting principles (GAAP). To assist investors in understanding the Company’s financial performance between periods, the Company has provided certain non-GAAP financial measures, including adjusted net income from continuing operations and adjusted diluted earnings per share.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3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Management uses these non-GAAP financial measures internally to understand, manage and evaluate our business and to make operating decisions. Management believes that these non-GAAP financial measures reflect an additional way of viewing aspects of the Company’s operations that, when viewed with our GAAP results, provides a more complete understanding of the factors and trends affecting our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each non-GAAP financial measure used in this release to its most directly comparable financial measure calculated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78"/>
              <w:spacing w:after="0"/>
              <w:rPr>
                <w:sz w:val="20"/>
                <w:szCs w:val="20"/>
                <w:color w:val="auto"/>
              </w:rPr>
            </w:pPr>
            <w:r>
              <w:rPr>
                <w:rFonts w:ascii="Arial" w:cs="Arial" w:eastAsia="Arial" w:hAnsi="Arial"/>
                <w:sz w:val="14"/>
                <w:szCs w:val="14"/>
                <w:b w:val="1"/>
                <w:bCs w:val="1"/>
                <w:color w:val="auto"/>
                <w:w w:val="92"/>
              </w:rPr>
              <w:t>Three months ended March 31, 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78"/>
              <w:spacing w:after="0"/>
              <w:rPr>
                <w:sz w:val="20"/>
                <w:szCs w:val="20"/>
                <w:color w:val="auto"/>
              </w:rPr>
            </w:pPr>
            <w:r>
              <w:rPr>
                <w:rFonts w:ascii="Arial" w:cs="Arial" w:eastAsia="Arial" w:hAnsi="Arial"/>
                <w:sz w:val="14"/>
                <w:szCs w:val="14"/>
                <w:b w:val="1"/>
                <w:bCs w:val="1"/>
                <w:color w:val="auto"/>
                <w:w w:val="92"/>
              </w:rPr>
              <w:t>Three months ended April 1, 2012</w:t>
            </w:r>
          </w:p>
        </w:tc>
      </w:tr>
      <w:tr>
        <w:trPr>
          <w:trHeight w:val="156"/>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5"/>
              </w:rPr>
              <w:t>Income from</w:t>
            </w: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Income from</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5"/>
              </w:rPr>
              <w:t>Income from</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5"/>
              </w:rPr>
              <w:t>Income from</w:t>
            </w:r>
          </w:p>
        </w:tc>
        <w:tc>
          <w:tcPr>
            <w:tcW w:w="140" w:type="dxa"/>
            <w:vAlign w:val="bottom"/>
          </w:tcPr>
          <w:p>
            <w:pPr>
              <w:spacing w:after="0"/>
              <w:rPr>
                <w:sz w:val="13"/>
                <w:szCs w:val="13"/>
                <w:color w:val="auto"/>
              </w:rPr>
            </w:pPr>
          </w:p>
        </w:tc>
        <w:tc>
          <w:tcPr>
            <w:tcW w:w="1120" w:type="dxa"/>
            <w:vAlign w:val="bottom"/>
          </w:tcPr>
          <w:p>
            <w:pPr>
              <w:jc w:val="center"/>
              <w:ind w:right="58"/>
              <w:spacing w:after="0" w:line="157" w:lineRule="exact"/>
              <w:rPr>
                <w:sz w:val="20"/>
                <w:szCs w:val="20"/>
                <w:color w:val="auto"/>
              </w:rPr>
            </w:pPr>
            <w:r>
              <w:rPr>
                <w:rFonts w:ascii="Arial" w:cs="Arial" w:eastAsia="Arial" w:hAnsi="Arial"/>
                <w:sz w:val="14"/>
                <w:szCs w:val="14"/>
                <w:color w:val="auto"/>
                <w:w w:val="96"/>
              </w:rPr>
              <w:t>Diluted</w:t>
            </w: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continuing</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continuing</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earnings per share</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continuing</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continuing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earnings per share</w:t>
            </w: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operations</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operations, net of</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from continuing</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operations</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operations, net of</w:t>
            </w: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98"/>
              </w:rPr>
              <w:t>from continuing</w:t>
            </w: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before income taxes</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tax</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operations (1)</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before income taxes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tax</w:t>
            </w:r>
          </w:p>
        </w:tc>
        <w:tc>
          <w:tcPr>
            <w:tcW w:w="140" w:type="dxa"/>
            <w:vAlign w:val="bottom"/>
          </w:tcPr>
          <w:p>
            <w:pPr>
              <w:spacing w:after="0"/>
              <w:rPr>
                <w:sz w:val="16"/>
                <w:szCs w:val="16"/>
                <w:color w:val="auto"/>
              </w:rPr>
            </w:pPr>
          </w:p>
        </w:tc>
        <w:tc>
          <w:tcPr>
            <w:tcW w:w="1120" w:type="dxa"/>
            <w:vAlign w:val="bottom"/>
          </w:tcPr>
          <w:p>
            <w:pPr>
              <w:jc w:val="center"/>
              <w:ind w:right="38"/>
              <w:spacing w:after="0"/>
              <w:rPr>
                <w:sz w:val="20"/>
                <w:szCs w:val="20"/>
                <w:color w:val="auto"/>
              </w:rPr>
            </w:pPr>
            <w:r>
              <w:rPr>
                <w:rFonts w:ascii="Arial" w:cs="Arial" w:eastAsia="Arial" w:hAnsi="Arial"/>
                <w:sz w:val="14"/>
                <w:szCs w:val="14"/>
                <w:color w:val="auto"/>
                <w:w w:val="92"/>
              </w:rPr>
              <w:t>operations (2)</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0.32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Add Impact of Litigation Settlement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Impact of Pension Withdrawal</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As Adjusted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5,643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0.32</w:t>
            </w:r>
          </w:p>
        </w:tc>
      </w:tr>
      <w:tr>
        <w:trPr>
          <w:trHeight w:val="27"/>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10,568,079 shares used in calculating earnings per share.</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10,450,584 shares used in calculating earnings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58"/>
              <w:spacing w:after="0"/>
              <w:rPr>
                <w:sz w:val="20"/>
                <w:szCs w:val="20"/>
                <w:color w:val="auto"/>
              </w:rPr>
            </w:pPr>
            <w:r>
              <w:rPr>
                <w:rFonts w:ascii="Arial" w:cs="Arial" w:eastAsia="Arial" w:hAnsi="Arial"/>
                <w:sz w:val="14"/>
                <w:szCs w:val="14"/>
                <w:b w:val="1"/>
                <w:bCs w:val="1"/>
                <w:color w:val="auto"/>
                <w:w w:val="93"/>
              </w:rPr>
              <w:t>Fiscal year ended March 31, 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58"/>
              <w:spacing w:after="0"/>
              <w:rPr>
                <w:sz w:val="20"/>
                <w:szCs w:val="20"/>
                <w:color w:val="auto"/>
              </w:rPr>
            </w:pPr>
            <w:r>
              <w:rPr>
                <w:rFonts w:ascii="Arial" w:cs="Arial" w:eastAsia="Arial" w:hAnsi="Arial"/>
                <w:sz w:val="14"/>
                <w:szCs w:val="14"/>
                <w:b w:val="1"/>
                <w:bCs w:val="1"/>
                <w:color w:val="auto"/>
                <w:w w:val="93"/>
              </w:rPr>
              <w:t>Fiscal year ended April 1, 2012</w:t>
            </w:r>
          </w:p>
        </w:tc>
      </w:tr>
      <w:tr>
        <w:trPr>
          <w:trHeight w:val="156"/>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5"/>
              </w:rPr>
              <w:t>Income from</w:t>
            </w: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Income from</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5"/>
              </w:rPr>
              <w:t>Income from</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5"/>
              </w:rPr>
              <w:t>Income from</w:t>
            </w:r>
          </w:p>
        </w:tc>
        <w:tc>
          <w:tcPr>
            <w:tcW w:w="140" w:type="dxa"/>
            <w:vAlign w:val="bottom"/>
          </w:tcPr>
          <w:p>
            <w:pPr>
              <w:spacing w:after="0"/>
              <w:rPr>
                <w:sz w:val="13"/>
                <w:szCs w:val="13"/>
                <w:color w:val="auto"/>
              </w:rPr>
            </w:pPr>
          </w:p>
        </w:tc>
        <w:tc>
          <w:tcPr>
            <w:tcW w:w="1120" w:type="dxa"/>
            <w:vAlign w:val="bottom"/>
          </w:tcPr>
          <w:p>
            <w:pPr>
              <w:jc w:val="center"/>
              <w:ind w:right="58"/>
              <w:spacing w:after="0" w:line="157" w:lineRule="exact"/>
              <w:rPr>
                <w:sz w:val="20"/>
                <w:szCs w:val="20"/>
                <w:color w:val="auto"/>
              </w:rPr>
            </w:pPr>
            <w:r>
              <w:rPr>
                <w:rFonts w:ascii="Arial" w:cs="Arial" w:eastAsia="Arial" w:hAnsi="Arial"/>
                <w:sz w:val="14"/>
                <w:szCs w:val="14"/>
                <w:color w:val="auto"/>
                <w:w w:val="96"/>
              </w:rPr>
              <w:t>Diluted</w:t>
            </w: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continuing</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continuing</w:t>
            </w:r>
          </w:p>
        </w:tc>
        <w:tc>
          <w:tcPr>
            <w:tcW w:w="13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5"/>
              </w:rPr>
              <w:t>earnings per share</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continuing</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continuing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earnings per share</w:t>
            </w: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operations</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operations, net of</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from continuing</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operations</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operations, net of</w:t>
            </w: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98"/>
              </w:rPr>
              <w:t>from continuing</w:t>
            </w: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before income taxes</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tax</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operations (3)</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before income taxes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140" w:type="dxa"/>
            <w:vAlign w:val="bottom"/>
          </w:tcPr>
          <w:p>
            <w:pPr>
              <w:spacing w:after="0"/>
              <w:rPr>
                <w:sz w:val="16"/>
                <w:szCs w:val="16"/>
                <w:color w:val="auto"/>
              </w:rPr>
            </w:pPr>
          </w:p>
        </w:tc>
        <w:tc>
          <w:tcPr>
            <w:tcW w:w="1120" w:type="dxa"/>
            <w:vAlign w:val="bottom"/>
          </w:tcPr>
          <w:p>
            <w:pPr>
              <w:jc w:val="center"/>
              <w:ind w:right="38"/>
              <w:spacing w:after="0"/>
              <w:rPr>
                <w:sz w:val="20"/>
                <w:szCs w:val="20"/>
                <w:color w:val="auto"/>
              </w:rPr>
            </w:pPr>
            <w:r>
              <w:rPr>
                <w:rFonts w:ascii="Arial" w:cs="Arial" w:eastAsia="Arial" w:hAnsi="Arial"/>
                <w:sz w:val="14"/>
                <w:szCs w:val="14"/>
                <w:color w:val="auto"/>
                <w:w w:val="92"/>
              </w:rPr>
              <w:t>operations (4)</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Add Impact of Litigation Settlement</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Impact of Pension Withdrawal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As Adjusted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35,824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23,583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35,254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21,628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2.08</w:t>
            </w:r>
          </w:p>
        </w:tc>
      </w:tr>
      <w:tr>
        <w:trPr>
          <w:trHeight w:val="27"/>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10,541,142 shares used in calculating earnings per share.</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10,408,573 shares used in calculating earnings per share.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29,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171"/>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April 1, 2012</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April 1, 2012</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8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2"/>
              </w:rPr>
              <w:t>(unaudited)</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87,601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83,210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350,387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343,834</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(69,698)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(277,966)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56,936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65,868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(30,759)</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25,330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35,109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35,254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21,628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22,685</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outstanding-basic</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10,495,268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10,395,138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10,464,820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10,339,391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outstanding-diluted</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10,568,079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10,450,584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10,541,142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10,408,573</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declared per common share</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 # # #</w:t>
      </w:r>
    </w:p>
    <w:sectPr>
      <w:pgSz w:w="11900" w:h="16838" w:orient="portrait"/>
      <w:cols w:equalWidth="0" w:num="1">
        <w:col w:w="11280"/>
      </w:cols>
      <w:pgMar w:left="24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2019-12-05T11:19:17Z</dcterms:created>
  <dcterms:modified xsi:type="dcterms:W3CDTF">2019-12-05T11:19:17Z</dcterms:modified>
</cp:coreProperties>
</file>