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12b-25</w:t>
      </w:r>
    </w:p>
    <w:p>
      <w:pPr>
        <w:spacing w:after="0" w:line="1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NOTIFICATION OF LATE FILING</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70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Commission File Number  0-7647</w:t>
            </w:r>
          </w:p>
        </w:tc>
      </w:tr>
      <w:tr>
        <w:trPr>
          <w:trHeight w:val="438"/>
        </w:trPr>
        <w:tc>
          <w:tcPr>
            <w:tcW w:w="112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1860" w:type="dxa"/>
            <w:vAlign w:val="bottom"/>
          </w:tcPr>
          <w:p>
            <w:pPr>
              <w:ind w:left="180"/>
              <w:spacing w:after="0"/>
              <w:rPr>
                <w:sz w:val="20"/>
                <w:szCs w:val="20"/>
                <w:color w:val="auto"/>
              </w:rPr>
            </w:pPr>
            <w:r>
              <w:rPr>
                <w:rFonts w:ascii="Arial" w:cs="Arial" w:eastAsia="Arial" w:hAnsi="Arial"/>
                <w:sz w:val="18"/>
                <w:szCs w:val="18"/>
                <w:color w:val="auto"/>
              </w:rPr>
              <w:t>o Form 10-K</w:t>
            </w:r>
          </w:p>
        </w:tc>
        <w:tc>
          <w:tcPr>
            <w:tcW w:w="2200" w:type="dxa"/>
            <w:vAlign w:val="bottom"/>
          </w:tcPr>
          <w:p>
            <w:pPr>
              <w:ind w:left="360"/>
              <w:spacing w:after="0"/>
              <w:rPr>
                <w:sz w:val="20"/>
                <w:szCs w:val="20"/>
                <w:color w:val="auto"/>
              </w:rPr>
            </w:pPr>
            <w:r>
              <w:rPr>
                <w:rFonts w:ascii="Arial" w:cs="Arial" w:eastAsia="Arial" w:hAnsi="Arial"/>
                <w:sz w:val="18"/>
                <w:szCs w:val="18"/>
                <w:color w:val="auto"/>
              </w:rPr>
              <w:t>o Form 20-F</w:t>
            </w:r>
          </w:p>
        </w:tc>
        <w:tc>
          <w:tcPr>
            <w:tcW w:w="1920" w:type="dxa"/>
            <w:vAlign w:val="bottom"/>
          </w:tcPr>
          <w:p>
            <w:pPr>
              <w:ind w:left="440"/>
              <w:spacing w:after="0"/>
              <w:rPr>
                <w:sz w:val="20"/>
                <w:szCs w:val="20"/>
                <w:color w:val="auto"/>
              </w:rPr>
            </w:pPr>
            <w:r>
              <w:rPr>
                <w:rFonts w:ascii="Arial" w:cs="Arial" w:eastAsia="Arial" w:hAnsi="Arial"/>
                <w:sz w:val="18"/>
                <w:szCs w:val="18"/>
                <w:color w:val="auto"/>
              </w:rPr>
              <w:t>o Form 11-K</w:t>
            </w:r>
          </w:p>
        </w:tc>
        <w:tc>
          <w:tcPr>
            <w:tcW w:w="1620" w:type="dxa"/>
            <w:vAlign w:val="bottom"/>
          </w:tcPr>
          <w:p>
            <w:pPr>
              <w:ind w:left="540"/>
              <w:spacing w:after="0"/>
              <w:rPr>
                <w:sz w:val="20"/>
                <w:szCs w:val="20"/>
                <w:color w:val="auto"/>
              </w:rPr>
            </w:pPr>
            <w:r>
              <w:rPr>
                <w:rFonts w:ascii="Arial" w:cs="Arial" w:eastAsia="Arial" w:hAnsi="Arial"/>
                <w:sz w:val="18"/>
                <w:szCs w:val="18"/>
                <w:color w:val="auto"/>
              </w:rPr>
              <w:t>x Form 10-Q</w:t>
            </w:r>
          </w:p>
        </w:tc>
        <w:tc>
          <w:tcPr>
            <w:tcW w:w="2200" w:type="dxa"/>
            <w:vAlign w:val="bottom"/>
          </w:tcPr>
          <w:p>
            <w:pPr>
              <w:jc w:val="center"/>
              <w:ind w:left="530"/>
              <w:spacing w:after="0"/>
              <w:rPr>
                <w:sz w:val="20"/>
                <w:szCs w:val="20"/>
                <w:color w:val="auto"/>
              </w:rPr>
            </w:pPr>
            <w:r>
              <w:rPr>
                <w:rFonts w:ascii="Arial" w:cs="Arial" w:eastAsia="Arial" w:hAnsi="Arial"/>
                <w:sz w:val="18"/>
                <w:szCs w:val="18"/>
                <w:color w:val="auto"/>
                <w:w w:val="93"/>
              </w:rPr>
              <w:t>o Form 10-D</w:t>
            </w:r>
          </w:p>
        </w:tc>
        <w:tc>
          <w:tcPr>
            <w:tcW w:w="500" w:type="dxa"/>
            <w:vAlign w:val="bottom"/>
            <w:tcBorders>
              <w:top w:val="single" w:sz="8" w:color="auto"/>
            </w:tcBorders>
          </w:tcPr>
          <w:p>
            <w:pPr>
              <w:spacing w:after="0"/>
              <w:rPr>
                <w:sz w:val="24"/>
                <w:szCs w:val="24"/>
                <w:color w:val="auto"/>
              </w:rPr>
            </w:pPr>
          </w:p>
        </w:tc>
      </w:tr>
      <w:tr>
        <w:trPr>
          <w:trHeight w:val="230"/>
        </w:trPr>
        <w:tc>
          <w:tcPr>
            <w:tcW w:w="1120" w:type="dxa"/>
            <w:vAlign w:val="bottom"/>
          </w:tcPr>
          <w:p>
            <w:pPr>
              <w:spacing w:after="0"/>
              <w:rPr>
                <w:sz w:val="20"/>
                <w:szCs w:val="20"/>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o Form N-SAR</w:t>
            </w:r>
          </w:p>
        </w:tc>
        <w:tc>
          <w:tcPr>
            <w:tcW w:w="2200" w:type="dxa"/>
            <w:vAlign w:val="bottom"/>
          </w:tcPr>
          <w:p>
            <w:pPr>
              <w:ind w:left="360"/>
              <w:spacing w:after="0"/>
              <w:rPr>
                <w:sz w:val="20"/>
                <w:szCs w:val="20"/>
                <w:color w:val="auto"/>
              </w:rPr>
            </w:pPr>
            <w:r>
              <w:rPr>
                <w:rFonts w:ascii="Arial" w:cs="Arial" w:eastAsia="Arial" w:hAnsi="Arial"/>
                <w:sz w:val="18"/>
                <w:szCs w:val="18"/>
                <w:color w:val="auto"/>
              </w:rPr>
              <w:t>o Form N-CSR</w:t>
            </w:r>
          </w:p>
        </w:tc>
        <w:tc>
          <w:tcPr>
            <w:tcW w:w="19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1860" w:type="dxa"/>
            <w:vAlign w:val="bottom"/>
          </w:tcPr>
          <w:p>
            <w:pPr>
              <w:ind w:left="180"/>
              <w:spacing w:after="0"/>
              <w:rPr>
                <w:sz w:val="20"/>
                <w:szCs w:val="20"/>
                <w:color w:val="auto"/>
              </w:rPr>
            </w:pPr>
            <w:r>
              <w:rPr>
                <w:rFonts w:ascii="Arial" w:cs="Arial" w:eastAsia="Arial" w:hAnsi="Arial"/>
                <w:sz w:val="18"/>
                <w:szCs w:val="18"/>
                <w:color w:val="auto"/>
              </w:rPr>
              <w:t>For Period Ended:</w:t>
            </w:r>
          </w:p>
        </w:tc>
        <w:tc>
          <w:tcPr>
            <w:tcW w:w="2200" w:type="dxa"/>
            <w:vAlign w:val="bottom"/>
          </w:tcPr>
          <w:p>
            <w:pPr>
              <w:ind w:left="360"/>
              <w:spacing w:after="0"/>
              <w:rPr>
                <w:sz w:val="20"/>
                <w:szCs w:val="20"/>
                <w:color w:val="auto"/>
              </w:rPr>
            </w:pPr>
            <w:r>
              <w:rPr>
                <w:rFonts w:ascii="Arial" w:cs="Arial" w:eastAsia="Arial" w:hAnsi="Arial"/>
                <w:sz w:val="18"/>
                <w:szCs w:val="18"/>
                <w:color w:val="auto"/>
              </w:rPr>
              <w:t>December 31, 2006</w:t>
            </w:r>
          </w:p>
        </w:tc>
        <w:tc>
          <w:tcPr>
            <w:tcW w:w="1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ind w:left="1300"/>
        <w:spacing w:after="0"/>
        <w:rPr>
          <w:sz w:val="20"/>
          <w:szCs w:val="20"/>
          <w:color w:val="auto"/>
        </w:rPr>
      </w:pPr>
      <w:r>
        <w:rPr>
          <w:rFonts w:ascii="Arial" w:cs="Arial" w:eastAsia="Arial" w:hAnsi="Arial"/>
          <w:sz w:val="18"/>
          <w:szCs w:val="18"/>
          <w:color w:val="auto"/>
        </w:rPr>
        <w:t>o Transition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-130810</wp:posOffset>
            </wp:positionV>
            <wp:extent cx="5137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o Transition Report on Form 20-F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Transition Report on Form 11-K</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Transition Report on Form 10-Q</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 Transition Report on Form N-SAR</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5715</wp:posOffset>
            </wp:positionV>
            <wp:extent cx="4262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272"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Read Instructions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r>
        <w:rPr>
          <w:rFonts w:ascii="Arial" w:cs="Arial" w:eastAsia="Arial" w:hAnsi="Arial"/>
          <w:sz w:val="18"/>
          <w:szCs w:val="18"/>
          <w:b w:val="1"/>
          <w:bCs w:val="1"/>
          <w:i w:val="1"/>
          <w:iCs w:val="1"/>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HAWKINS,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Minneapolis, Minnesota 55413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The reason described in reasonable detail in Part III of this form could not be eliminated without unreasonable effort or expense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8890" cy="1097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097915"/>
                    </a:xfrm>
                    <a:prstGeom prst="rect">
                      <a:avLst/>
                    </a:prstGeom>
                    <a:noFill/>
                  </pic:spPr>
                </pic:pic>
              </a:graphicData>
            </a:graphic>
          </wp:anchor>
        </w:drawing>
      </w:r>
    </w:p>
    <w:p>
      <w:pPr>
        <w:spacing w:after="0" w:line="205" w:lineRule="exact"/>
        <w:rPr>
          <w:sz w:val="24"/>
          <w:szCs w:val="24"/>
          <w:color w:val="auto"/>
        </w:rPr>
      </w:pPr>
    </w:p>
    <w:p>
      <w:pPr>
        <w:ind w:left="820" w:right="60" w:hanging="812"/>
        <w:spacing w:after="0" w:line="259" w:lineRule="auto"/>
        <w:tabs>
          <w:tab w:leader="none" w:pos="473" w:val="left"/>
        </w:tabs>
        <w:numPr>
          <w:ilvl w:val="0"/>
          <w:numId w:val="2"/>
        </w:numPr>
        <w:rPr>
          <w:rFonts w:ascii="Arial" w:cs="Arial" w:eastAsia="Arial" w:hAnsi="Arial"/>
          <w:sz w:val="18"/>
          <w:szCs w:val="18"/>
          <w:color w:val="auto"/>
        </w:rPr>
      </w:pPr>
      <w:r>
        <w:rPr>
          <w:rFonts w:ascii="Arial" w:cs="Arial" w:eastAsia="Arial" w:hAnsi="Arial"/>
          <w:sz w:val="18"/>
          <w:szCs w:val="18"/>
          <w:color w:val="auto"/>
        </w:rPr>
        <w:t>(b) 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6"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  The accountant’s statement or other exhibit required by Rule 12b-25(c) has been attached if applicable.</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SEC 1344 (03-05)</w:t>
            </w:r>
          </w:p>
        </w:tc>
        <w:tc>
          <w:tcPr>
            <w:tcW w:w="9800" w:type="dxa"/>
            <w:vAlign w:val="bottom"/>
          </w:tcPr>
          <w:p>
            <w:pPr>
              <w:ind w:left="320"/>
              <w:spacing w:after="0"/>
              <w:rPr>
                <w:sz w:val="20"/>
                <w:szCs w:val="20"/>
                <w:color w:val="auto"/>
              </w:rPr>
            </w:pPr>
            <w:r>
              <w:rPr>
                <w:rFonts w:ascii="Arial" w:cs="Arial" w:eastAsia="Arial" w:hAnsi="Arial"/>
                <w:sz w:val="18"/>
                <w:szCs w:val="18"/>
                <w:b w:val="1"/>
                <w:bCs w:val="1"/>
                <w:color w:val="auto"/>
                <w:w w:val="91"/>
              </w:rPr>
              <w:t>Persons who are to respond to the collection of information contained in this form are not required to respond unless the</w:t>
            </w:r>
          </w:p>
        </w:tc>
      </w:tr>
      <w:tr>
        <w:trPr>
          <w:trHeight w:val="234"/>
        </w:trPr>
        <w:tc>
          <w:tcPr>
            <w:tcW w:w="1660" w:type="dxa"/>
            <w:vAlign w:val="bottom"/>
          </w:tcPr>
          <w:p>
            <w:pPr>
              <w:spacing w:after="0"/>
              <w:rPr>
                <w:sz w:val="20"/>
                <w:szCs w:val="20"/>
                <w:color w:val="auto"/>
              </w:rPr>
            </w:pPr>
          </w:p>
        </w:tc>
        <w:tc>
          <w:tcPr>
            <w:tcW w:w="9800" w:type="dxa"/>
            <w:vAlign w:val="bottom"/>
          </w:tcPr>
          <w:p>
            <w:pPr>
              <w:ind w:left="32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645"/>
        </w:trPr>
        <w:tc>
          <w:tcPr>
            <w:tcW w:w="1660" w:type="dxa"/>
            <w:vAlign w:val="bottom"/>
            <w:tcBorders>
              <w:bottom w:val="single" w:sz="8" w:color="010101"/>
            </w:tcBorders>
          </w:tcPr>
          <w:p>
            <w:pPr>
              <w:spacing w:after="0"/>
              <w:rPr>
                <w:sz w:val="24"/>
                <w:szCs w:val="24"/>
                <w:color w:val="auto"/>
              </w:rPr>
            </w:pPr>
          </w:p>
        </w:tc>
        <w:tc>
          <w:tcPr>
            <w:tcW w:w="980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color w:val="auto"/>
        </w:rPr>
        <w:t>(Attach extra Sheets if Needed)</w:t>
      </w:r>
    </w:p>
    <w:p>
      <w:pPr>
        <w:sectPr>
          <w:pgSz w:w="11900" w:h="16838" w:orient="portrait"/>
          <w:cols w:equalWidth="0" w:num="1">
            <w:col w:w="11460"/>
          </w:cols>
          <w:pgMar w:left="240" w:top="985" w:right="199" w:bottom="0" w:gutter="0" w:footer="0" w:header="0"/>
        </w:sectPr>
      </w:pPr>
    </w:p>
    <w:bookmarkStart w:id="1" w:name="page2"/>
    <w:bookmarkEnd w:id="1"/>
    <w:p>
      <w:pPr>
        <w:ind w:right="100"/>
        <w:spacing w:after="0" w:line="302" w:lineRule="auto"/>
        <w:rPr>
          <w:sz w:val="20"/>
          <w:szCs w:val="20"/>
          <w:color w:val="auto"/>
        </w:rPr>
      </w:pPr>
      <w:r>
        <w:rPr>
          <w:rFonts w:ascii="Arial" w:cs="Arial" w:eastAsia="Arial" w:hAnsi="Arial"/>
          <w:sz w:val="16"/>
          <w:szCs w:val="16"/>
          <w:i w:val="1"/>
          <w:iCs w:val="1"/>
          <w:color w:val="auto"/>
        </w:rPr>
        <w:t>Hawkins, Inc. (the “Company”) is not able to file its quarterly report on Form 10-Q for the fiscal quarter ended December 31, 2006 (the “10-Q Report”) on a timely basis without unreasonable effort and expense because the Company has encountered delays in the process of implementing its new enterprise resource planning system, which has necessitated additional time to complete its quarterly financial closing process and to prepare the related information required to be included in the 10-Q Report. The Company is working to complete the 10-Q Report and return to current filing status as quickly as possible.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72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Marvin E. Dee</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(612)</w:t>
            </w:r>
          </w:p>
        </w:tc>
        <w:tc>
          <w:tcPr>
            <w:tcW w:w="420" w:type="dxa"/>
            <w:vAlign w:val="bottom"/>
          </w:tcPr>
          <w:p>
            <w:pPr>
              <w:spacing w:after="0"/>
              <w:rPr>
                <w:sz w:val="18"/>
                <w:szCs w:val="18"/>
                <w:color w:val="auto"/>
              </w:rPr>
            </w:pPr>
          </w:p>
        </w:tc>
        <w:tc>
          <w:tcPr>
            <w:tcW w:w="2060" w:type="dxa"/>
            <w:vAlign w:val="bottom"/>
          </w:tcPr>
          <w:p>
            <w:pPr>
              <w:jc w:val="right"/>
              <w:ind w:right="610"/>
              <w:spacing w:after="0"/>
              <w:rPr>
                <w:sz w:val="20"/>
                <w:szCs w:val="20"/>
                <w:color w:val="auto"/>
              </w:rPr>
            </w:pPr>
            <w:r>
              <w:rPr>
                <w:rFonts w:ascii="Arial" w:cs="Arial" w:eastAsia="Arial" w:hAnsi="Arial"/>
                <w:sz w:val="18"/>
                <w:szCs w:val="18"/>
                <w:color w:val="auto"/>
              </w:rPr>
              <w:t>617-8571</w:t>
            </w:r>
          </w:p>
        </w:tc>
      </w:tr>
      <w:tr>
        <w:trPr>
          <w:trHeight w:val="224"/>
        </w:trPr>
        <w:tc>
          <w:tcPr>
            <w:tcW w:w="6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42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42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(Telephone Number)</w:t>
            </w:r>
          </w:p>
        </w:tc>
      </w:tr>
    </w:tbl>
    <w:p>
      <w:pPr>
        <w:spacing w:after="0" w:line="187" w:lineRule="exact"/>
        <w:rPr>
          <w:sz w:val="20"/>
          <w:szCs w:val="20"/>
          <w:color w:val="auto"/>
        </w:rPr>
      </w:pPr>
    </w:p>
    <w:p>
      <w:pPr>
        <w:ind w:left="420" w:right="40" w:hanging="412"/>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 If answer is no, identify report(s).</w:t>
      </w:r>
    </w:p>
    <w:p>
      <w:pPr>
        <w:spacing w:after="0" w:line="181" w:lineRule="exact"/>
        <w:rPr>
          <w:rFonts w:ascii="Arial" w:cs="Arial" w:eastAsia="Arial" w:hAnsi="Arial"/>
          <w:sz w:val="18"/>
          <w:szCs w:val="18"/>
          <w:color w:val="auto"/>
        </w:rPr>
      </w:pPr>
    </w:p>
    <w:p>
      <w:pPr>
        <w:ind w:left="9360"/>
        <w:spacing w:after="0"/>
        <w:rPr>
          <w:rFonts w:ascii="Arial" w:cs="Arial" w:eastAsia="Arial" w:hAnsi="Arial"/>
          <w:sz w:val="18"/>
          <w:szCs w:val="18"/>
          <w:color w:val="auto"/>
        </w:rPr>
      </w:pPr>
      <w:r>
        <w:rPr>
          <w:rFonts w:ascii="Arial" w:cs="Arial" w:eastAsia="Arial" w:hAnsi="Arial"/>
          <w:sz w:val="18"/>
          <w:szCs w:val="18"/>
          <w:color w:val="auto"/>
        </w:rPr>
        <w:t>x Yes  o No</w:t>
      </w:r>
    </w:p>
    <w:p>
      <w:pPr>
        <w:spacing w:after="0" w:line="238" w:lineRule="exact"/>
        <w:rPr>
          <w:rFonts w:ascii="Arial" w:cs="Arial" w:eastAsia="Arial" w:hAnsi="Arial"/>
          <w:sz w:val="18"/>
          <w:szCs w:val="18"/>
          <w:color w:val="auto"/>
        </w:rPr>
      </w:pPr>
    </w:p>
    <w:p>
      <w:pPr>
        <w:ind w:left="420" w:right="20" w:hanging="412"/>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-302260</wp:posOffset>
            </wp:positionV>
            <wp:extent cx="6989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8890"/>
                    </a:xfrm>
                    <a:prstGeom prst="rect">
                      <a:avLst/>
                    </a:prstGeom>
                    <a:noFill/>
                  </pic:spPr>
                </pic:pic>
              </a:graphicData>
            </a:graphic>
          </wp:anchor>
        </w:drawing>
      </w:r>
    </w:p>
    <w:p>
      <w:pPr>
        <w:spacing w:after="0" w:line="150" w:lineRule="exact"/>
        <w:rPr>
          <w:sz w:val="20"/>
          <w:szCs w:val="20"/>
          <w:color w:val="auto"/>
        </w:rPr>
      </w:pPr>
    </w:p>
    <w:p>
      <w:pPr>
        <w:ind w:left="9360"/>
        <w:spacing w:after="0"/>
        <w:tabs>
          <w:tab w:leader="none" w:pos="9900" w:val="left"/>
        </w:tabs>
        <w:rPr>
          <w:sz w:val="20"/>
          <w:szCs w:val="20"/>
          <w:color w:val="auto"/>
        </w:rPr>
      </w:pPr>
      <w:r>
        <w:rPr>
          <w:rFonts w:ascii="Arial" w:cs="Arial" w:eastAsia="Arial" w:hAnsi="Arial"/>
          <w:sz w:val="18"/>
          <w:szCs w:val="18"/>
          <w:color w:val="auto"/>
        </w:rPr>
        <w:t>o Yes</w:t>
      </w:r>
      <w:r>
        <w:rPr>
          <w:sz w:val="20"/>
          <w:szCs w:val="20"/>
          <w:color w:val="auto"/>
        </w:rPr>
        <w:tab/>
      </w:r>
      <w:r>
        <w:rPr>
          <w:rFonts w:ascii="Arial" w:cs="Arial" w:eastAsia="Arial" w:hAnsi="Arial"/>
          <w:sz w:val="17"/>
          <w:szCs w:val="17"/>
          <w:color w:val="auto"/>
        </w:rPr>
        <w:t>x No</w:t>
      </w:r>
    </w:p>
    <w:p>
      <w:pPr>
        <w:spacing w:after="0" w:line="225"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i w:val="1"/>
          <w:iCs w:val="1"/>
          <w:color w:val="auto"/>
        </w:rPr>
        <w:t>The Company is unable to make a reasonable estimate of results for the fiscal quarter ended December 31, 2006, because delays in implementing its new enterprise resource planning system have delayed its quarterly financial closing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151765</wp:posOffset>
            </wp:positionV>
            <wp:extent cx="5780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gridSpan w:val="2"/>
          </w:tcPr>
          <w:p>
            <w:pPr>
              <w:ind w:left="320"/>
              <w:spacing w:after="0"/>
              <w:rPr>
                <w:sz w:val="20"/>
                <w:szCs w:val="20"/>
                <w:color w:val="auto"/>
              </w:rPr>
            </w:pPr>
            <w:r>
              <w:rPr>
                <w:rFonts w:ascii="Arial" w:cs="Arial" w:eastAsia="Arial" w:hAnsi="Arial"/>
                <w:sz w:val="18"/>
                <w:szCs w:val="18"/>
                <w:color w:val="auto"/>
              </w:rPr>
              <w:t>February 9, 2007</w:t>
            </w:r>
          </w:p>
        </w:tc>
        <w:tc>
          <w:tcPr>
            <w:tcW w:w="900" w:type="dxa"/>
            <w:vAlign w:val="bottom"/>
          </w:tcPr>
          <w:p>
            <w:pPr>
              <w:ind w:left="260"/>
              <w:spacing w:after="0"/>
              <w:rPr>
                <w:sz w:val="20"/>
                <w:szCs w:val="20"/>
                <w:color w:val="auto"/>
              </w:rPr>
            </w:pPr>
            <w:r>
              <w:rPr>
                <w:rFonts w:ascii="Arial" w:cs="Arial" w:eastAsia="Arial" w:hAnsi="Arial"/>
                <w:sz w:val="18"/>
                <w:szCs w:val="18"/>
                <w:color w:val="auto"/>
              </w:rPr>
              <w:t>By</w:t>
            </w:r>
          </w:p>
        </w:tc>
        <w:tc>
          <w:tcPr>
            <w:tcW w:w="6680" w:type="dxa"/>
            <w:vAlign w:val="bottom"/>
          </w:tcPr>
          <w:p>
            <w:pPr>
              <w:spacing w:after="0"/>
              <w:rPr>
                <w:sz w:val="20"/>
                <w:szCs w:val="20"/>
                <w:color w:val="auto"/>
              </w:rPr>
            </w:pPr>
            <w:r>
              <w:rPr>
                <w:rFonts w:ascii="Arial" w:cs="Arial" w:eastAsia="Arial" w:hAnsi="Arial"/>
                <w:sz w:val="18"/>
                <w:szCs w:val="18"/>
                <w:color w:val="auto"/>
              </w:rPr>
              <w:t>/s/ Marvin E. Dee</w:t>
            </w:r>
          </w:p>
        </w:tc>
      </w:tr>
      <w:tr>
        <w:trPr>
          <w:trHeight w:val="195"/>
        </w:trPr>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Marvin E. Dee</w:t>
            </w:r>
          </w:p>
        </w:tc>
      </w:tr>
      <w:tr>
        <w:trPr>
          <w:trHeight w:val="230"/>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5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2019-12-13T01:38:59Z</dcterms:created>
  <dcterms:modified xsi:type="dcterms:W3CDTF">2019-12-13T01:38:59Z</dcterms:modified>
</cp:coreProperties>
</file>