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Washington, D. C.</w:t>
        <w:tab/>
        <w:t>20549</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September 27, 1998, Commission File No. 0-7647</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HAWKINS CHEMICAL, INC.</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ind w:left="780"/>
        <w:spacing w:after="0"/>
        <w:tabs>
          <w:tab w:leader="none" w:pos="4820" w:val="left"/>
        </w:tabs>
        <w:rPr>
          <w:sz w:val="20"/>
          <w:szCs w:val="20"/>
          <w:color w:val="auto"/>
        </w:rPr>
      </w:pPr>
      <w:r>
        <w:rPr>
          <w:rFonts w:ascii="Courier New" w:cs="Courier New" w:eastAsia="Courier New" w:hAnsi="Courier New"/>
          <w:sz w:val="14"/>
          <w:szCs w:val="14"/>
          <w:color w:val="auto"/>
        </w:rPr>
        <w:t>MINNESOTA</w:t>
      </w:r>
      <w:r>
        <w:rPr>
          <w:sz w:val="20"/>
          <w:szCs w:val="20"/>
          <w:color w:val="auto"/>
        </w:rPr>
        <w:tab/>
      </w:r>
      <w:r>
        <w:rPr>
          <w:rFonts w:ascii="Courier New" w:cs="Courier New" w:eastAsia="Courier New" w:hAnsi="Courier New"/>
          <w:sz w:val="14"/>
          <w:szCs w:val="14"/>
          <w:color w:val="auto"/>
        </w:rPr>
        <w:t>41-0771293</w:t>
      </w:r>
    </w:p>
    <w:p>
      <w:pPr>
        <w:spacing w:after="0" w:line="7" w:lineRule="exact"/>
        <w:rPr>
          <w:sz w:val="24"/>
          <w:szCs w:val="24"/>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100"/>
        <w:spacing w:after="0"/>
        <w:tabs>
          <w:tab w:leader="none" w:pos="3700" w:val="left"/>
        </w:tabs>
        <w:rPr>
          <w:sz w:val="20"/>
          <w:szCs w:val="20"/>
          <w:color w:val="auto"/>
        </w:rPr>
      </w:pPr>
      <w:r>
        <w:rPr>
          <w:rFonts w:ascii="Courier New" w:cs="Courier New" w:eastAsia="Courier New" w:hAnsi="Courier New"/>
          <w:sz w:val="14"/>
          <w:szCs w:val="14"/>
          <w:color w:val="auto"/>
        </w:rPr>
        <w:t>(State of Incorporation)</w:t>
      </w:r>
      <w:r>
        <w:rPr>
          <w:sz w:val="20"/>
          <w:szCs w:val="20"/>
          <w:color w:val="auto"/>
        </w:rPr>
        <w:tab/>
      </w:r>
      <w:r>
        <w:rPr>
          <w:rFonts w:ascii="Courier New" w:cs="Courier New" w:eastAsia="Courier New" w:hAnsi="Courier New"/>
          <w:sz w:val="14"/>
          <w:szCs w:val="14"/>
          <w:color w:val="auto"/>
        </w:rPr>
        <w:t>(I.R.S. Employer Identification No.)</w:t>
      </w:r>
    </w:p>
    <w:p>
      <w:pPr>
        <w:spacing w:after="0" w:line="173" w:lineRule="exact"/>
        <w:rPr>
          <w:sz w:val="24"/>
          <w:szCs w:val="24"/>
          <w:color w:val="auto"/>
        </w:rPr>
      </w:pPr>
    </w:p>
    <w:p>
      <w:pPr>
        <w:ind w:left="440"/>
        <w:spacing w:after="0"/>
        <w:tabs>
          <w:tab w:leader="none" w:pos="5760" w:val="left"/>
        </w:tabs>
        <w:rPr>
          <w:sz w:val="20"/>
          <w:szCs w:val="20"/>
          <w:color w:val="auto"/>
        </w:rPr>
      </w:pPr>
      <w:r>
        <w:rPr>
          <w:rFonts w:ascii="Courier New" w:cs="Courier New" w:eastAsia="Courier New" w:hAnsi="Courier New"/>
          <w:sz w:val="14"/>
          <w:szCs w:val="14"/>
          <w:color w:val="auto"/>
        </w:rPr>
        <w:t>3100 East Hennepin Avenue, Minneapolis, Minnesota</w:t>
      </w:r>
      <w:r>
        <w:rPr>
          <w:sz w:val="20"/>
          <w:szCs w:val="20"/>
          <w:color w:val="auto"/>
        </w:rPr>
        <w:tab/>
      </w:r>
      <w:r>
        <w:rPr>
          <w:rFonts w:ascii="Courier New" w:cs="Courier New" w:eastAsia="Courier New" w:hAnsi="Courier New"/>
          <w:sz w:val="14"/>
          <w:szCs w:val="14"/>
          <w:color w:val="auto"/>
        </w:rPr>
        <w:t>55413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360"/>
        <w:spacing w:after="0"/>
        <w:tabs>
          <w:tab w:leader="none" w:pos="558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3540" w:hanging="517"/>
        <w:spacing w:after="0"/>
        <w:tabs>
          <w:tab w:leader="none" w:pos="3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331-6910</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7" w:lineRule="exact"/>
        <w:rPr>
          <w:sz w:val="24"/>
          <w:szCs w:val="24"/>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Securities registered pursuant to Section 12(g) of the Act: COMMON STOCK, PAR VALUE $.05 PER SHARE</w:t>
      </w:r>
    </w:p>
    <w:p>
      <w:pPr>
        <w:spacing w:after="0" w:line="160"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tabs>
          <w:tab w:leader="none" w:pos="3260" w:val="left"/>
          <w:tab w:leader="none" w:pos="3780" w:val="left"/>
          <w:tab w:leader="none" w:pos="5240" w:val="left"/>
        </w:tabs>
        <w:rPr>
          <w:sz w:val="20"/>
          <w:szCs w:val="20"/>
          <w:color w:val="auto"/>
        </w:rPr>
      </w:pPr>
      <w:r>
        <w:rPr>
          <w:rFonts w:ascii="Courier New" w:cs="Courier New" w:eastAsia="Courier New" w:hAnsi="Courier New"/>
          <w:sz w:val="14"/>
          <w:szCs w:val="14"/>
          <w:color w:val="auto"/>
        </w:rPr>
        <w:t>requirements for the past 90 days.</w:t>
      </w:r>
      <w:r>
        <w:rPr>
          <w:sz w:val="20"/>
          <w:szCs w:val="20"/>
          <w:color w:val="auto"/>
        </w:rPr>
        <w:tab/>
      </w: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p>
    <w:p>
      <w:pPr>
        <w:spacing w:after="0" w:line="7" w:lineRule="exact"/>
        <w:rPr>
          <w:sz w:val="24"/>
          <w:szCs w:val="24"/>
          <w:color w:val="auto"/>
        </w:rPr>
      </w:pPr>
    </w:p>
    <w:p>
      <w:pPr>
        <w:ind w:left="3620"/>
        <w:spacing w:after="0"/>
        <w:tabs>
          <w:tab w:leader="none" w:pos="5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65" w:lineRule="exact"/>
        <w:rPr>
          <w:sz w:val="24"/>
          <w:szCs w:val="24"/>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on November 30, 1998, was $90,567,442 (based upon the last reported sale price on that date as reported by The Nasdaq Stock Market), excluding all shares held by officers and directors of the Registrant and by the Trustees of the Registrant's Employee Stock Ownership Plan and Money Purchase Pension Plan were deemed to be shares held by affiliates. The number of shares outstanding of the Registrant's common stock on November 30, 1998 was 11,355,430.</w:t>
      </w:r>
    </w:p>
    <w:p>
      <w:pPr>
        <w:spacing w:after="0" w:line="33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Part II of this Annual Report on Form 10-K incorporates by reference information (to the extent specific pages are referred to herein from the Registrant's Annual Report to Shareholders for the year ended September 27, 1998. Part III of this Annual Report on Form 10-K incorporates by reference information (to the extent specific sections are referred to herein) from the Registrant's Proxy Statement for its 1999 Annual Meeting of Shareholders to be held February 24, 1999.</w:t>
      </w:r>
    </w:p>
    <w:p>
      <w:pPr>
        <w:sectPr>
          <w:pgSz w:w="11900" w:h="16838" w:orient="portrait"/>
          <w:cols w:equalWidth="0" w:num="1">
            <w:col w:w="10239"/>
          </w:cols>
          <w:pgMar w:left="220" w:top="561" w:right="1440" w:bottom="1440" w:gutter="0" w:footer="0" w:header="0"/>
        </w:sectPr>
      </w:pPr>
    </w:p>
    <w:bookmarkStart w:id="1" w:name="page2"/>
    <w:bookmarkEnd w:id="1"/>
    <w:p>
      <w:pPr>
        <w:ind w:left="2160"/>
        <w:spacing w:after="0"/>
        <w:rPr>
          <w:sz w:val="20"/>
          <w:szCs w:val="20"/>
          <w:color w:val="auto"/>
        </w:rPr>
      </w:pPr>
      <w:r>
        <w:rPr>
          <w:rFonts w:ascii="Courier New" w:cs="Courier New" w:eastAsia="Courier New" w:hAnsi="Courier New"/>
          <w:sz w:val="14"/>
          <w:szCs w:val="14"/>
          <w:color w:val="auto"/>
        </w:rPr>
        <w:t>CAUTIONARY STATEMENT REGARDING</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FUTURE RESULTS AND FORWARD-LOOKING STATEMENTS</w:t>
      </w:r>
    </w:p>
    <w:p>
      <w:pPr>
        <w:spacing w:after="0" w:line="173"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THE FUTURE RESULTS OF THE COMPANY, INCLUDING RESULTS REFLECTED IN ANY FORWARD-LOOKING STATEMENT MADE BY OR ON BEHALF OF THE COMPANY, WILL BE IMPACTED BY A NUMBER OF IMPORTANT FACTORS. WORDS SUCH AS "MAY," "WILL," "EXPECT," "BELIEVE," "ANTICIPATE," "ESTIMATE," OR "CONTINUE" OR COMPARABLE TERMINOLOGY ARE INTENDED TO IDENTIFY FORWARD-LOOKING STATEMENTS. FORWARD-LOOKING STATEMENTS, BY THEIR NATURE, INVOLVE SUBSTANTIAL RISKS AND UNCERTAINTIES.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599" w:firstLine="439"/>
        <w:spacing w:after="0" w:line="251" w:lineRule="auto"/>
        <w:tabs>
          <w:tab w:leader="none" w:pos="103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THE BUSINESS. The Registrant was incorporated under the laws of the State of Minnesota in 1955. In the past year the Registrant merged three of its former subsidiaries, Feed-Rite Controls, Inc., Mon-Dak Chemical, Inc., Dakota Chemical, Inc. and its Arrowhead Chemical Division together to form a single wholly owned subsidiary known as Hawkins Water Treatment Group, Inc. ("HWTG"). In fiscal 1999, the Registrant plans to merge HWTG into the Registrant.</w:t>
      </w:r>
    </w:p>
    <w:p>
      <w:pPr>
        <w:spacing w:after="0" w:line="164" w:lineRule="exact"/>
        <w:rPr>
          <w:rFonts w:ascii="Courier New" w:cs="Courier New" w:eastAsia="Courier New" w:hAnsi="Courier New"/>
          <w:sz w:val="14"/>
          <w:szCs w:val="14"/>
          <w:color w:val="auto"/>
        </w:rPr>
      </w:pPr>
    </w:p>
    <w:p>
      <w:pPr>
        <w:ind w:right="3679" w:firstLine="439"/>
        <w:spacing w:after="0" w:line="251" w:lineRule="auto"/>
        <w:tabs>
          <w:tab w:leader="none" w:pos="103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 Although the Registrant operates through several divisions, its principal business is the formulation, blending and distribution of bulk specialty chemicals. Throughout its operations the Registrant provides related products and services which share similar raw materials, production methods and distribution channels. In the judgment of the Registrant, therefore, it is operating in a single industry segment.</w:t>
      </w:r>
    </w:p>
    <w:p>
      <w:pPr>
        <w:spacing w:after="0" w:line="164"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THE BUSINESS.</w:t>
      </w:r>
    </w:p>
    <w:p>
      <w:pPr>
        <w:spacing w:after="0" w:line="173" w:lineRule="exact"/>
        <w:rPr>
          <w:sz w:val="20"/>
          <w:szCs w:val="20"/>
          <w:color w:val="auto"/>
        </w:rPr>
      </w:pPr>
    </w:p>
    <w:p>
      <w:pPr>
        <w:ind w:right="3779" w:firstLine="439"/>
        <w:spacing w:after="0" w:line="252" w:lineRule="auto"/>
        <w:tabs>
          <w:tab w:leader="none" w:pos="10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AND MARKETS. The Registrant's business is conducted throughout the nine-state area of Minnesota, Wisconsin, Iowa, North Dakota, South Dakota, Montana, Nebraska, Michigan and Wyoming through its wholly-owned subsidiary and three divisions described below:</w:t>
      </w:r>
    </w:p>
    <w:p>
      <w:pPr>
        <w:spacing w:after="0" w:line="162" w:lineRule="exact"/>
        <w:rPr>
          <w:rFonts w:ascii="Courier New" w:cs="Courier New" w:eastAsia="Courier New" w:hAnsi="Courier New"/>
          <w:sz w:val="14"/>
          <w:szCs w:val="14"/>
          <w:color w:val="auto"/>
        </w:rPr>
      </w:pPr>
    </w:p>
    <w:p>
      <w:pPr>
        <w:ind w:left="440" w:right="3599" w:firstLine="602"/>
        <w:spacing w:after="0" w:line="251" w:lineRule="auto"/>
        <w:tabs>
          <w:tab w:leader="none" w:pos="1646"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WATER TREATMENT GROUP. This division specializes in providing water and waste-water treatment equipment and chemicals and in services relating to the testing of water samples in Minnesota, Wisconsin, Iowa, North Dakota, South Dakota, Nebraska and Wyoming. It also operates as a distributor of the Registrant's products, and a regional distributor of laundry, dry cleaning, and janitorial supplies in Montana, Wyoming, the Dakotas, Minnesota, northern Wisconsin and the upper peninsula of Michigan.</w:t>
      </w:r>
    </w:p>
    <w:p>
      <w:pPr>
        <w:spacing w:after="0" w:line="163" w:lineRule="exact"/>
        <w:rPr>
          <w:rFonts w:ascii="Courier New" w:cs="Courier New" w:eastAsia="Courier New" w:hAnsi="Courier New"/>
          <w:sz w:val="14"/>
          <w:szCs w:val="14"/>
          <w:color w:val="auto"/>
        </w:rPr>
      </w:pPr>
    </w:p>
    <w:p>
      <w:pPr>
        <w:ind w:left="440" w:right="3599" w:firstLine="602"/>
        <w:spacing w:after="0" w:line="251" w:lineRule="auto"/>
        <w:tabs>
          <w:tab w:leader="none" w:pos="1646"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TERMINAL DIVISION. This division receives, stores and distributes various chemicals in bulk, including liquid caustic soda, phosphoric acid and aqua ammonia; manufactures sodium hypochlorite (bleach); repackages liquid chlorine; and performs custom blending of certain chemicals for customers according to customer formulas. Approximately 80% of the business of the Hawkins Terminal Division is related to liquid caustic soda. Hawkins Terminal Division operates a liquid caustic soda barge terminal to receive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440" w:right="3779"/>
        <w:spacing w:after="0" w:line="251" w:lineRule="auto"/>
        <w:rPr>
          <w:sz w:val="20"/>
          <w:szCs w:val="20"/>
          <w:color w:val="auto"/>
        </w:rPr>
      </w:pPr>
      <w:r>
        <w:rPr>
          <w:rFonts w:ascii="Courier New" w:cs="Courier New" w:eastAsia="Courier New" w:hAnsi="Courier New"/>
          <w:sz w:val="14"/>
          <w:szCs w:val="14"/>
          <w:color w:val="auto"/>
        </w:rPr>
        <w:t>shipments during the period the Mississippi River is open to barge traffic (approximately April 1 through November 15). During the remainder of the year the Division relies on stockpiles, as well as supplies shipped in by railroad tank car. Pursuant to operating agreements it has with other chemical companies, the Registrant also receives, stores and ships liquid caustic soda and other chemicals at both the Hawkins "Terminal 1" location and its "Terminal 2" site which is located across the river and downstream from Terminal 1.</w:t>
      </w:r>
    </w:p>
    <w:p>
      <w:pPr>
        <w:spacing w:after="0" w:line="164" w:lineRule="exact"/>
        <w:rPr>
          <w:sz w:val="20"/>
          <w:szCs w:val="20"/>
          <w:color w:val="auto"/>
        </w:rPr>
      </w:pPr>
    </w:p>
    <w:p>
      <w:pPr>
        <w:ind w:left="440" w:right="3339" w:firstLine="603"/>
        <w:spacing w:after="0" w:line="250" w:lineRule="auto"/>
        <w:rPr>
          <w:sz w:val="20"/>
          <w:szCs w:val="20"/>
          <w:color w:val="auto"/>
        </w:rPr>
      </w:pPr>
      <w:r>
        <w:rPr>
          <w:rFonts w:ascii="Courier New" w:cs="Courier New" w:eastAsia="Courier New" w:hAnsi="Courier New"/>
          <w:sz w:val="14"/>
          <w:szCs w:val="14"/>
          <w:color w:val="auto"/>
        </w:rPr>
        <w:t>Since 1963, flooding of the Mississippi River has required the Hawkins Terminal Division to temporarily shift its operations out of its buildings three times, the most recent being in April 1997. No substantial interruptions to sales resulted from the floods because railroad tank cars were successfully used as an alternative means of supply. Although the use of tank cars resulted in additional costs, results of operations were not materially impacted. For approximately two weeks in 1997, the areas around the Registrant's terminal operations were flooded, preventing shipments to and from these locations. The terminals themselves were not flooded as the facilities were adequately protected by dikes. All shipments were made from alternate locations. The additional costs incurred as a result of the flooding did not materially impact the Registrant's results of operations for fiscal 1997. No assurance can be given that flooding will not recur or that there will not be material damage or interruption to the business of the Registrant's Hawkins Terminal Division in the future.</w:t>
      </w:r>
    </w:p>
    <w:p>
      <w:pPr>
        <w:spacing w:after="0" w:line="172" w:lineRule="exact"/>
        <w:rPr>
          <w:sz w:val="20"/>
          <w:szCs w:val="20"/>
          <w:color w:val="auto"/>
        </w:rPr>
      </w:pPr>
    </w:p>
    <w:p>
      <w:pPr>
        <w:ind w:left="440" w:right="3419" w:firstLine="602"/>
        <w:spacing w:after="0" w:line="251" w:lineRule="auto"/>
        <w:tabs>
          <w:tab w:leader="none" w:pos="1646"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INDUSTRIAL CHEMICAL AND EQUIPMENT DIVISION. This division was created in 1993 when the Registrant acquired the assets of Industrial Chemical &amp; Equipment Co. It specializes in sales to the plating and electronic industries, and relies on a specially trained sales staff which works directly with customers on their plating and other processes.</w:t>
      </w:r>
    </w:p>
    <w:p>
      <w:pPr>
        <w:spacing w:after="0" w:line="164" w:lineRule="exact"/>
        <w:rPr>
          <w:rFonts w:ascii="Courier New" w:cs="Courier New" w:eastAsia="Courier New" w:hAnsi="Courier New"/>
          <w:sz w:val="14"/>
          <w:szCs w:val="14"/>
          <w:color w:val="auto"/>
        </w:rPr>
      </w:pPr>
    </w:p>
    <w:p>
      <w:pPr>
        <w:ind w:left="440" w:right="3339" w:firstLine="602"/>
        <w:spacing w:after="0" w:line="251" w:lineRule="auto"/>
        <w:tabs>
          <w:tab w:leader="none" w:pos="1646"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SALES DIVISION. The Hawkins Sales Division is a sales distribution center for industrial chemicals, laboratory chemicals and laboratory supplies. Bulk industrial chemicals are generally repackaged and sold in smaller quantities to the Registrant's customers. Sales are concentrated primarily in western Wisconsin, Minnesota, northern Iowa and North and South Dakota. Among the principal chemicals handled by the Sales Division are water purification and pollution control chemicals (such as chlorine) and industrial chemicals (such as anhydrous ammonia, aluminum sulphate, hydrofluosilicic acid, soda ash, phosphates, muriatic acid, aqua ammonia, sulfuric acid and liquid caustic soda).</w:t>
      </w:r>
    </w:p>
    <w:p>
      <w:pPr>
        <w:spacing w:after="0" w:line="163" w:lineRule="exact"/>
        <w:rPr>
          <w:rFonts w:ascii="Courier New" w:cs="Courier New" w:eastAsia="Courier New" w:hAnsi="Courier New"/>
          <w:sz w:val="14"/>
          <w:szCs w:val="14"/>
          <w:color w:val="auto"/>
        </w:rPr>
      </w:pPr>
    </w:p>
    <w:p>
      <w:pPr>
        <w:ind w:left="1040" w:hanging="601"/>
        <w:spacing w:after="0"/>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NEW PRODUCTS.  The Registrant began shipping its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Cheese-Phos-Registered Trademark- product (discussed below) in late calendar 1995. Sales of this product through fiscal 1998 were not material to the Registrant's results of operations for the period.</w:t>
      </w:r>
    </w:p>
    <w:p>
      <w:pPr>
        <w:spacing w:after="0" w:line="163" w:lineRule="exact"/>
        <w:rPr>
          <w:sz w:val="20"/>
          <w:szCs w:val="20"/>
          <w:color w:val="auto"/>
        </w:rPr>
      </w:pPr>
    </w:p>
    <w:p>
      <w:pPr>
        <w:ind w:right="3599" w:firstLine="439"/>
        <w:spacing w:after="0" w:line="251" w:lineRule="auto"/>
        <w:tabs>
          <w:tab w:leader="none" w:pos="103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MATERIALS. The Registrant has approximately 450 suppliers, including many of the major chemical producers in the United States, of which approximately 20 account for a majority of the purchases made by the Registrant. The Registrant typically has written distributorship agreements or supply contracts with its suppliers that are renewed from time to time. Although there is no assurance that any contract or understanding with any supplier will not be terminated in the foreseeable future, most of the basic chemicals purchased by the Registrant can be obtained from alternative sources should existing relationships be terminated.</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679" w:firstLine="439"/>
        <w:spacing w:after="0" w:line="251" w:lineRule="auto"/>
        <w:tabs>
          <w:tab w:leader="none" w:pos="103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PATENTS, TRADEMARKS, LICENSES, FRANCHISES, AND CONCESSIONS. There are no patents, trademarks, licenses, franchises or concessions that are currently material to the successful operation of the Registrant's business. The Registrant has, however, obtained a patent on a liquid form of sodium phosphate for use in the processed food industry, as described below; the patent was granted on October 17, 1995, and will expire on November 8, 2013.</w:t>
      </w:r>
    </w:p>
    <w:p>
      <w:pPr>
        <w:spacing w:after="0" w:line="33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is that it must be stored at between 130 and 160 degrees Fahrenheit to prevent crystallization. Expensive heat storage and steam heated piping is necessary to maintain required temperatures. Back-up generators must also be installed as safeguards against product cooling and solidifying in case of a plant power outage.</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Registrant's patented Cheese-Phos-Registered Trademark- liquid sodium phosphate, which can be stored at room temperature, offers all the advantages of a liquid sodium phosphate product, but eliminates the need for high-heat delivery systems. Although it is not currently possible to project the effect of Cheese-Phos-Registered Trademark- on the Registrant's results of operations for future periods, the Registrant does not currently expect this product to add materially to the Registrant's revenues and profits.</w:t>
      </w:r>
    </w:p>
    <w:p>
      <w:pPr>
        <w:spacing w:after="0" w:line="164" w:lineRule="exact"/>
        <w:rPr>
          <w:sz w:val="20"/>
          <w:szCs w:val="20"/>
          <w:color w:val="auto"/>
        </w:rPr>
      </w:pPr>
    </w:p>
    <w:p>
      <w:pPr>
        <w:ind w:right="3599" w:firstLine="439"/>
        <w:spacing w:after="0" w:line="252" w:lineRule="auto"/>
        <w:tabs>
          <w:tab w:leader="none" w:pos="103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 ASPECTS. The sale of water treatment chemicals used in municipal water treatment facilities tends to reach a higher level during the summer months, which are part of the Registrant's third and fourth fiscal quarters.</w:t>
      </w:r>
    </w:p>
    <w:p>
      <w:pPr>
        <w:spacing w:after="0" w:line="162" w:lineRule="exact"/>
        <w:rPr>
          <w:rFonts w:ascii="Courier New" w:cs="Courier New" w:eastAsia="Courier New" w:hAnsi="Courier New"/>
          <w:sz w:val="14"/>
          <w:szCs w:val="14"/>
          <w:color w:val="auto"/>
        </w:rPr>
      </w:pPr>
    </w:p>
    <w:p>
      <w:pPr>
        <w:ind w:right="3679" w:firstLine="439"/>
        <w:spacing w:after="0" w:line="252" w:lineRule="auto"/>
        <w:tabs>
          <w:tab w:leader="none" w:pos="103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ITEMS. As a bulk distributor of chemicals, the Registrant is required to carry significant amounts of inventory to meet rapid delivery requirements of customers. Working capital requirements vary on a seasonal basis as a result of the seasonality of the water treatment business.</w:t>
      </w:r>
    </w:p>
    <w:p>
      <w:pPr>
        <w:spacing w:after="0" w:line="327" w:lineRule="exact"/>
        <w:rPr>
          <w:rFonts w:ascii="Courier New" w:cs="Courier New" w:eastAsia="Courier New" w:hAnsi="Courier New"/>
          <w:sz w:val="14"/>
          <w:szCs w:val="14"/>
          <w:color w:val="auto"/>
        </w:rPr>
      </w:pPr>
    </w:p>
    <w:p>
      <w:pPr>
        <w:ind w:right="3859" w:firstLine="439"/>
        <w:spacing w:after="0" w:line="252" w:lineRule="auto"/>
        <w:tabs>
          <w:tab w:leader="none" w:pos="103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DEPENDENCE ON LIMITED NUMBER OF CUSTOMERS. No one customer represents more than approximately four percent of the Registrant's sales, but the loss of its four largest customers could have a material adverse effect on the Registrant's results of operations.</w:t>
      </w:r>
    </w:p>
    <w:p>
      <w:pPr>
        <w:spacing w:after="0" w:line="162" w:lineRule="exact"/>
        <w:rPr>
          <w:rFonts w:ascii="Courier New" w:cs="Courier New" w:eastAsia="Courier New" w:hAnsi="Courier New"/>
          <w:sz w:val="14"/>
          <w:szCs w:val="14"/>
          <w:color w:val="auto"/>
        </w:rPr>
      </w:pPr>
    </w:p>
    <w:p>
      <w:pPr>
        <w:ind w:right="4019" w:firstLine="439"/>
        <w:spacing w:after="0" w:line="255" w:lineRule="auto"/>
        <w:tabs>
          <w:tab w:leader="none" w:pos="103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BACKLOG. Backlog is not material to an understanding of the Registrant's business.</w:t>
      </w:r>
    </w:p>
    <w:p>
      <w:pPr>
        <w:spacing w:after="0" w:line="159" w:lineRule="exact"/>
        <w:rPr>
          <w:rFonts w:ascii="Courier New" w:cs="Courier New" w:eastAsia="Courier New" w:hAnsi="Courier New"/>
          <w:sz w:val="14"/>
          <w:szCs w:val="14"/>
          <w:color w:val="auto"/>
        </w:rPr>
      </w:pPr>
    </w:p>
    <w:p>
      <w:pPr>
        <w:ind w:right="3779" w:firstLine="439"/>
        <w:spacing w:after="0" w:line="252" w:lineRule="auto"/>
        <w:tabs>
          <w:tab w:leader="none" w:pos="103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CONTRACTS. No material portion of the Registrant's business is subject to renegotiation of profits or termination of contracts at the election of any state or federal governmental subdivision or agency.</w:t>
      </w:r>
    </w:p>
    <w:p>
      <w:pPr>
        <w:spacing w:after="0" w:line="162" w:lineRule="exact"/>
        <w:rPr>
          <w:rFonts w:ascii="Courier New" w:cs="Courier New" w:eastAsia="Courier New" w:hAnsi="Courier New"/>
          <w:sz w:val="14"/>
          <w:szCs w:val="14"/>
          <w:color w:val="auto"/>
        </w:rPr>
      </w:pPr>
    </w:p>
    <w:p>
      <w:pPr>
        <w:ind w:right="3599" w:firstLine="439"/>
        <w:spacing w:after="0" w:line="251" w:lineRule="auto"/>
        <w:tabs>
          <w:tab w:leader="none" w:pos="103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CONDITIONS. The Registrant operates in a competitive industry and competes with producers, distributors and sales agents offering chemicals equivalent to all of the products handled by the Registrant. Many such producers and distributors have substantially more business and are substantially larger than the Registrant. No one competitor, however, is dominant in Registrant's market. Price and service are the principal methods of competition in the industry.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599" w:firstLine="439"/>
        <w:spacing w:after="0" w:line="251" w:lineRule="auto"/>
        <w:tabs>
          <w:tab w:leader="none" w:pos="10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The Registrant does not have a formal research and development function; employees are assigned to research and development projects as the need arises. During the past fiscal year, expenditures for research and development were negligible and not material to Registrant's business.</w:t>
      </w:r>
    </w:p>
    <w:p>
      <w:pPr>
        <w:spacing w:after="0" w:line="164" w:lineRule="exact"/>
        <w:rPr>
          <w:rFonts w:ascii="Courier New" w:cs="Courier New" w:eastAsia="Courier New" w:hAnsi="Courier New"/>
          <w:sz w:val="14"/>
          <w:szCs w:val="14"/>
          <w:color w:val="auto"/>
        </w:rPr>
      </w:pPr>
    </w:p>
    <w:p>
      <w:pPr>
        <w:ind w:right="3599" w:firstLine="439"/>
        <w:spacing w:after="0" w:line="251" w:lineRule="auto"/>
        <w:tabs>
          <w:tab w:leader="none" w:pos="10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The Registrant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Registrant. The Registrant does not currently anticipate making any material capital expenditures for environmental control facilities during fiscal 1999.</w:t>
      </w:r>
    </w:p>
    <w:p>
      <w:pPr>
        <w:spacing w:after="0" w:line="163" w:lineRule="exact"/>
        <w:rPr>
          <w:rFonts w:ascii="Courier New" w:cs="Courier New" w:eastAsia="Courier New" w:hAnsi="Courier New"/>
          <w:sz w:val="14"/>
          <w:szCs w:val="14"/>
          <w:color w:val="auto"/>
        </w:rPr>
      </w:pPr>
    </w:p>
    <w:p>
      <w:pPr>
        <w:ind w:right="3679" w:firstLine="439"/>
        <w:spacing w:after="0" w:line="255" w:lineRule="auto"/>
        <w:tabs>
          <w:tab w:leader="none" w:pos="10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The number of persons employed by the Registrant and its subsidiaries as of September 27, 1998 was 156.</w:t>
      </w:r>
    </w:p>
    <w:p>
      <w:pPr>
        <w:spacing w:after="0" w:line="160" w:lineRule="exact"/>
        <w:rPr>
          <w:sz w:val="20"/>
          <w:szCs w:val="20"/>
          <w:color w:val="auto"/>
        </w:rPr>
      </w:pPr>
    </w:p>
    <w:p>
      <w:pPr>
        <w:ind w:right="3779" w:firstLine="439"/>
        <w:spacing w:after="0" w:line="251" w:lineRule="auto"/>
        <w:tabs>
          <w:tab w:leader="none" w:pos="103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AND DOMESTIC OPERATIONS AND EXPORT SALES. Because the Registrant deals in only one geographic area of the United States, a breakdown of revenue, profitability or assets attributable to different geographic areas is not meaningful to an understanding of Registrant's business.</w:t>
      </w:r>
    </w:p>
    <w:p>
      <w:pPr>
        <w:spacing w:after="0" w:line="165"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Registrant's principal location consists of approximately eleven acres of land in Minneapolis, Minnesota, with six buildings containing a total of 160,000 square feet of office and warehouse space. The Registrant's principal office, out of which the Hawkins Sales Division operates, is located in one of these buildings, at 3100 East Hennepin Avenue. The other buildings are used by the Registrant, its Hawkins Water Treatment Group subsidiary, and its Industrial Chemical and Equipment division. The Registrant's warehouse facilities in Minneapolis have been retrofitted with sprinklers for fire protection; this process was completed in the second quarter of calendar 1996. The Registrant carries insurance covering the replacement of property damaged by fire or flood.</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Information about the Registrant's other principal facilities is presented below. These facilities, as well as those described above, are adequate and suitable for the purposes they serve. Unless noted, each facility is owned and is fully utilized by the Registrant or its subsidiary.</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Approx.</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Subsidiary or Division</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Location</w:t>
            </w:r>
          </w:p>
        </w:tc>
        <w:tc>
          <w:tcPr>
            <w:tcW w:w="20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Primary Use</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Hawkins Terminal Division</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 Paul, MN(1)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Office,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Warehouse and</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32,000</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Garage</w:t>
            </w:r>
          </w:p>
        </w:tc>
        <w:tc>
          <w:tcPr>
            <w:tcW w:w="13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Hawkins Water Treatment</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Fargo, ND(2)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Office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and 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22,800</w:t>
            </w:r>
          </w:p>
        </w:tc>
      </w:tr>
      <w:tr>
        <w:trPr>
          <w:trHeight w:val="331"/>
        </w:trPr>
        <w:tc>
          <w:tcPr>
            <w:tcW w:w="2300" w:type="dxa"/>
            <w:vAlign w:val="bottom"/>
          </w:tcPr>
          <w:p>
            <w:pPr>
              <w:spacing w:after="0"/>
              <w:rPr>
                <w:sz w:val="24"/>
                <w:szCs w:val="2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Fond du Lac, WI(3)</w:t>
            </w:r>
          </w:p>
        </w:tc>
        <w:tc>
          <w:tcPr>
            <w:tcW w:w="20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20,300</w:t>
            </w:r>
          </w:p>
        </w:tc>
      </w:tr>
      <w:tr>
        <w:trPr>
          <w:trHeight w:val="331"/>
        </w:trPr>
        <w:tc>
          <w:tcPr>
            <w:tcW w:w="2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Washburn, 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Office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and 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14,000</w:t>
            </w:r>
          </w:p>
        </w:tc>
      </w:tr>
      <w:tr>
        <w:trPr>
          <w:trHeight w:val="331"/>
        </w:trPr>
        <w:tc>
          <w:tcPr>
            <w:tcW w:w="2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Billings, MT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Office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and 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6,000</w:t>
            </w:r>
          </w:p>
        </w:tc>
      </w:tr>
      <w:tr>
        <w:trPr>
          <w:trHeight w:val="331"/>
        </w:trPr>
        <w:tc>
          <w:tcPr>
            <w:tcW w:w="2300" w:type="dxa"/>
            <w:vAlign w:val="bottom"/>
          </w:tcPr>
          <w:p>
            <w:pPr>
              <w:spacing w:after="0"/>
              <w:rPr>
                <w:sz w:val="24"/>
                <w:szCs w:val="2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Sioux Falls, SD(4)</w:t>
            </w:r>
          </w:p>
        </w:tc>
        <w:tc>
          <w:tcPr>
            <w:tcW w:w="20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18,000</w:t>
            </w:r>
          </w:p>
        </w:tc>
      </w:tr>
      <w:tr>
        <w:trPr>
          <w:trHeight w:val="331"/>
        </w:trPr>
        <w:tc>
          <w:tcPr>
            <w:tcW w:w="2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Rapid City, SD</w:t>
            </w:r>
          </w:p>
        </w:tc>
        <w:tc>
          <w:tcPr>
            <w:tcW w:w="202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3,600</w:t>
            </w:r>
          </w:p>
        </w:tc>
      </w:tr>
      <w:tr>
        <w:trPr>
          <w:trHeight w:val="331"/>
        </w:trPr>
        <w:tc>
          <w:tcPr>
            <w:tcW w:w="2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Superior, WI</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Office</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and Warehouse</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17,000</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599" w:firstLine="439"/>
        <w:spacing w:after="0" w:line="250" w:lineRule="auto"/>
        <w:tabs>
          <w:tab w:leader="none" w:pos="861"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Hawkins Terminal Division operation, located at two sites on opposite sides of the Mississippi River, is made up of three buildings, nine outside storage tanks with a total capacity of approximately 8,900,000 gallons for the storage of liquid caustic soda, as well as numerous smaller tanks for storing and mixing chemicals. The land on which the Hawkins Terminal Division buildings and storage tanks are located is leased by the Registrant from the Port Authority of the City of St. Paul, Minnesota for a basic rent plus an amount based on the tonnage unloaded at both sites each year. The applicable leases run until December 31, 1998, at which time the Registrant has an option to renew the leases for an additional five-year period on the same terms and conditions. The Registrant has exercised its option to renew these leases. The Registrant also has options to renew these leases for three additional successive five-year renewal periods (extending until 2018) for which the rent may be adjusted pursuant to the rental renegotiation provisions contained in the leases.</w:t>
      </w:r>
    </w:p>
    <w:p>
      <w:pPr>
        <w:spacing w:after="0" w:line="172" w:lineRule="exact"/>
        <w:rPr>
          <w:rFonts w:ascii="Courier New" w:cs="Courier New" w:eastAsia="Courier New" w:hAnsi="Courier New"/>
          <w:sz w:val="14"/>
          <w:szCs w:val="14"/>
          <w:color w:val="auto"/>
        </w:rPr>
      </w:pPr>
    </w:p>
    <w:p>
      <w:pPr>
        <w:ind w:right="3679" w:firstLine="439"/>
        <w:spacing w:after="0" w:line="255" w:lineRule="auto"/>
        <w:tabs>
          <w:tab w:leader="none" w:pos="861"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facility is occupied by Hawkins Water Treatment Group (17,800 square feet) and leased to a third party (5,000 square feet).</w:t>
      </w:r>
    </w:p>
    <w:p>
      <w:pPr>
        <w:spacing w:after="0" w:line="159"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space in this building being used by Hawkins Water Treatment Group, 10,000 square feet of space is being leased by the Registrant to third parties.</w:t>
      </w:r>
    </w:p>
    <w:p>
      <w:pPr>
        <w:spacing w:after="0" w:line="162" w:lineRule="exact"/>
        <w:rPr>
          <w:rFonts w:ascii="Courier New" w:cs="Courier New" w:eastAsia="Courier New" w:hAnsi="Courier New"/>
          <w:sz w:val="14"/>
          <w:szCs w:val="14"/>
          <w:color w:val="auto"/>
        </w:rPr>
      </w:pPr>
    </w:p>
    <w:p>
      <w:pPr>
        <w:ind w:right="3419" w:firstLine="439"/>
        <w:spacing w:after="0" w:line="255" w:lineRule="auto"/>
        <w:tabs>
          <w:tab w:leader="none" w:pos="861"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Sioux Falls facility is occupied by Hawkins Water Treatment Group (12,000 square feet) and leased to a third party (6,000 square feet).</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The Registrant and its subsidiary also own several trucks, tractors, trailers, and vans.</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48" w:right="1440" w:bottom="1440" w:gutter="0" w:footer="0" w:header="0"/>
        </w:sectPr>
      </w:pPr>
    </w:p>
    <w:bookmarkStart w:id="6" w:name="page7"/>
    <w:bookmarkEnd w:id="6"/>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As of the date of this filing, neither the Registrant nor its subsidiary were involved in any pending legal proceeding to which the Registrant or its subsidiary was a party or of which any property of the Registrant or its subsidiaries were the subject other than ordinary routine litigation incidental to their business, except as follows:</w:t>
      </w:r>
    </w:p>
    <w:p>
      <w:pPr>
        <w:spacing w:after="0" w:line="165" w:lineRule="exact"/>
        <w:rPr>
          <w:sz w:val="20"/>
          <w:szCs w:val="20"/>
          <w:color w:val="auto"/>
        </w:rPr>
      </w:pPr>
    </w:p>
    <w:p>
      <w:pPr>
        <w:ind w:left="440" w:right="3339" w:firstLine="603"/>
        <w:spacing w:after="0" w:line="251" w:lineRule="auto"/>
        <w:rPr>
          <w:sz w:val="20"/>
          <w:szCs w:val="20"/>
          <w:color w:val="auto"/>
        </w:rPr>
      </w:pPr>
      <w:r>
        <w:rPr>
          <w:rFonts w:ascii="Courier New" w:cs="Courier New" w:eastAsia="Courier New" w:hAnsi="Courier New"/>
          <w:sz w:val="14"/>
          <w:szCs w:val="14"/>
          <w:color w:val="auto"/>
        </w:rPr>
        <w:t>LYNDE COMPANY WAREHOUSE FIRE. On March 1, 1995, the Registrant and its former subsidiary The Lynde Company were named as defendants in an action entitled DONNA M. COOKSEY, ET AL. V. HAWKINS CHEMICAL, INC. AND THE LYNDE COMPANY ("COOKSEY"). This action was certified as a partial class action in state district court in Hennepin County, Minnesota. The plaintiffs sought damages for personal injury and other damages alleged to have been caused by the alleged release of hazardous substances as a result of a fire at an office/warehouse facility used by The Lynde Company. The Registrant has entered into a class settlement agreement with the class, pursuant to which the Registrant has agreed to pay certain of the class' costs and expenses as well as certain compensation to the class pursuant to a Matrix and Plan of Distribution which form a part of the settlement agreement (the "Settlement Agreement"). The district court has given final approval of the settlement.</w:t>
      </w:r>
    </w:p>
    <w:p>
      <w:pPr>
        <w:spacing w:after="0" w:line="162" w:lineRule="exact"/>
        <w:rPr>
          <w:sz w:val="20"/>
          <w:szCs w:val="20"/>
          <w:color w:val="auto"/>
        </w:rPr>
      </w:pPr>
    </w:p>
    <w:p>
      <w:pPr>
        <w:ind w:left="440" w:right="3339" w:firstLine="603"/>
        <w:spacing w:after="0" w:line="250" w:lineRule="auto"/>
        <w:rPr>
          <w:sz w:val="20"/>
          <w:szCs w:val="20"/>
          <w:color w:val="auto"/>
        </w:rPr>
      </w:pPr>
      <w:r>
        <w:rPr>
          <w:rFonts w:ascii="Courier New" w:cs="Courier New" w:eastAsia="Courier New" w:hAnsi="Courier New"/>
          <w:sz w:val="14"/>
          <w:szCs w:val="14"/>
          <w:color w:val="auto"/>
        </w:rPr>
        <w:t>The Registrant's primary and umbrella insurers had denied a tender of the defense of the lawsuit and had denied any obligation to indemnify the Registrant for damages claimed by third parties in connection with the fire. On July 7, 1995, the Registrant commenced suits against The North River Insurance Company and the Westchester Fire Insurance Company, the primary and umbrella insurers, respectively, in the United States District Court for the District of Minnesota. On October 6, 1996, the Court entered an Order for Judgment against the two insurers declaring that they each owed the Registrant a duty to defend the Cooksey action, that the insurers had breached their duty to defend and that the Registrant was entitled to judgment against North River in the amount of $890,174 and against Westchester in the amount of $90,868 for fees and expenses incurred by the Registrant through October of 1996 in defending against the Cooksey action and in prosecuting the action against the two insurers. The two insurers appealed the judgments to the Eighth Circuit Court of Appeals, which affirmed the lower court judgments.</w:t>
      </w:r>
    </w:p>
    <w:p>
      <w:pPr>
        <w:spacing w:after="0" w:line="173" w:lineRule="exact"/>
        <w:rPr>
          <w:sz w:val="20"/>
          <w:szCs w:val="20"/>
          <w:color w:val="auto"/>
        </w:rPr>
      </w:pPr>
    </w:p>
    <w:p>
      <w:pPr>
        <w:ind w:left="440" w:right="3419" w:firstLine="603"/>
        <w:spacing w:after="0" w:line="251" w:lineRule="auto"/>
        <w:rPr>
          <w:sz w:val="20"/>
          <w:szCs w:val="20"/>
          <w:color w:val="auto"/>
        </w:rPr>
      </w:pPr>
      <w:r>
        <w:rPr>
          <w:rFonts w:ascii="Courier New" w:cs="Courier New" w:eastAsia="Courier New" w:hAnsi="Courier New"/>
          <w:sz w:val="14"/>
          <w:szCs w:val="14"/>
          <w:color w:val="auto"/>
        </w:rPr>
        <w:t>During fiscal 1995, the Registrant recorded $750,000 to cover expected legal and settlement costs for this litigation and an additional $1,771,439 in fiscal 1997. Subsequent to the end of fiscal 1998, the Registrant has been reimbursed for substantially all of its settlement and litigation expenses. In addition, any claims remaining under the Settlement Agreement will be covered by the umbrella insurer as to cost of defense and payment of claims.</w:t>
      </w:r>
    </w:p>
    <w:p>
      <w:pPr>
        <w:spacing w:after="0" w:line="330"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No matter was submitted to a vote of security holders during the fourth quarter of fiscal 1998.</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executive officers of the Company, their ages and offices held,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1998 are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Age</w:t>
            </w:r>
          </w:p>
        </w:tc>
        <w:tc>
          <w:tcPr>
            <w:tcW w:w="4000" w:type="dxa"/>
            <w:vAlign w:val="bottom"/>
          </w:tcPr>
          <w:p>
            <w:pPr>
              <w:ind w:left="1860"/>
              <w:spacing w:after="0"/>
              <w:rPr>
                <w:sz w:val="20"/>
                <w:szCs w:val="20"/>
                <w:color w:val="auto"/>
              </w:rPr>
            </w:pPr>
            <w:r>
              <w:rPr>
                <w:rFonts w:ascii="Courier New" w:cs="Courier New" w:eastAsia="Courier New" w:hAnsi="Courier New"/>
                <w:sz w:val="14"/>
                <w:szCs w:val="14"/>
                <w:color w:val="auto"/>
              </w:rPr>
              <w:t>Office</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1860"/>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Dean L. Hahn</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Chairman of the Board and Chief Executive</w:t>
            </w:r>
          </w:p>
        </w:tc>
      </w:tr>
      <w:tr>
        <w:trPr>
          <w:trHeight w:val="166"/>
        </w:trPr>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Donald L. Shipp</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w:t>
            </w: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Vice Chairman</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John R. Hawkins</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President and Secretary</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Howard M. Hawkins</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w:t>
            </w: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and Treasurer</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Jon C. Eaton</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w:t>
            </w: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Terminal Operations</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Kurt R. Norman</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w:t>
            </w:r>
          </w:p>
        </w:tc>
        <w:tc>
          <w:tcPr>
            <w:tcW w:w="400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Hawkins Water Treatment Group</w:t>
            </w:r>
          </w:p>
        </w:tc>
      </w:tr>
    </w:tbl>
    <w:p>
      <w:pPr>
        <w:spacing w:after="0" w:line="200" w:lineRule="exact"/>
        <w:rPr>
          <w:sz w:val="20"/>
          <w:szCs w:val="20"/>
          <w:color w:val="auto"/>
        </w:rPr>
      </w:pPr>
    </w:p>
    <w:p>
      <w:pPr>
        <w:spacing w:after="0" w:line="301"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DEAN L. HAHN has been the Chairman of the Board and Chief Executive Officer of the Company since 1996 and he was the President of the Company from 1983 to 1996.</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DONALD L. SHIPP has been the Vice Chairman of the Board since December 1998. He was the President of the Company from 1996 to December 1998, Executive Vice President from 1983 to 1996 and the President of Feed-Rite Controls, Inc., a subsidiary of the Company, from 1967 to 1996.</w:t>
      </w:r>
    </w:p>
    <w:p>
      <w:pPr>
        <w:spacing w:after="0" w:line="162"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HOWARD M. HAWKINS has been a Vice President of the Company since 1996 and the Company's Treasurer since 1973.</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JOHN R. HAWKINS has been the Company's President since December 1998 and its Secretary since 1991. He was an Executive Vice President from 1997 to December 1998 and Vice President of Sales from 1987 to 1997.</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JON C. EATON has been the Vice President of Terminal Operations for the Company since 1988.</w:t>
      </w:r>
    </w:p>
    <w:p>
      <w:pPr>
        <w:spacing w:after="0" w:line="16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KURT R. NORMAN has been the Vice President of the Hawkins Water Treatment Group since 1996 and he was General Manager from 1988 to 1996.</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ind w:left="336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information under the caption "Quarterly Stock Data" on page 21 of the 1998 Annual Report is incorporated herein by this reference.</w:t>
      </w:r>
    </w:p>
    <w:p>
      <w:pPr>
        <w:spacing w:after="0" w:line="160"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information under the caption "Selected Financial Data" on page 19 of the 1998 Annual Report is incorporated herein by this reference.</w:t>
      </w:r>
    </w:p>
    <w:p>
      <w:pPr>
        <w:spacing w:after="0" w:line="160" w:lineRule="exact"/>
        <w:rPr>
          <w:sz w:val="20"/>
          <w:szCs w:val="20"/>
          <w:color w:val="auto"/>
        </w:rPr>
      </w:pPr>
    </w:p>
    <w:p>
      <w:pPr>
        <w:ind w:right="4379" w:firstLine="431"/>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information under the caption "Management's Discussion and Analysis" on pages 8 through 11 of the 1998 Annual Report is incorporated herein by this reference.</w:t>
      </w:r>
    </w:p>
    <w:p>
      <w:pPr>
        <w:spacing w:after="0" w:line="163"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 ABOUT MARKET RISK.</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information under the caption "Management's Discussion and Analysis" on pages 8 through 11 of the 1998 Annual Report is incorporated herein by this reference.</w:t>
      </w:r>
    </w:p>
    <w:p>
      <w:pPr>
        <w:spacing w:after="0" w:line="163"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Consolidated Financial Statements of the Company and the Independent Auditors' Report therefor on pages 12 through 18 of the 1998 Annual Report are incorporated herein by this reference.</w:t>
      </w:r>
    </w:p>
    <w:p>
      <w:pPr>
        <w:spacing w:after="0" w:line="163" w:lineRule="exact"/>
        <w:rPr>
          <w:sz w:val="20"/>
          <w:szCs w:val="20"/>
          <w:color w:val="auto"/>
        </w:rPr>
      </w:pPr>
    </w:p>
    <w:p>
      <w:pPr>
        <w:ind w:right="4459" w:firstLine="431"/>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 changes in accountants or disagreements between the Registrant and its accountants regarding accounting principles or financial statement disclosure have occurred during the Registrant's two most recent fiscal years or any subsequent interim period.</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779" w:firstLine="1034"/>
        <w:spacing w:after="0" w:line="252" w:lineRule="auto"/>
        <w:rPr>
          <w:sz w:val="20"/>
          <w:szCs w:val="20"/>
          <w:color w:val="auto"/>
        </w:rPr>
      </w:pPr>
      <w:r>
        <w:rPr>
          <w:rFonts w:ascii="Courier New" w:cs="Courier New" w:eastAsia="Courier New" w:hAnsi="Courier New"/>
          <w:sz w:val="14"/>
          <w:szCs w:val="14"/>
          <w:color w:val="auto"/>
        </w:rPr>
        <w:t>The information under the captions "Election of Directors" and "Section 16(a) Beneficial Ownership Reporting Compliance" in the 1999 Proxy Statement is incorporated herein by this reference.</w:t>
      </w:r>
    </w:p>
    <w:p>
      <w:pPr>
        <w:spacing w:after="0" w:line="163"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The information under the caption "Compensation of Executive Officers and Directors" in the 1999 Proxy Statement is incorporated herein by this reference.</w:t>
      </w:r>
    </w:p>
    <w:p>
      <w:pPr>
        <w:spacing w:after="0" w:line="16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information under the caption "Security Ownership of Management and Beneficial Ownership" in the 1999 Proxy Statement is incorporated herein by this reference.</w:t>
      </w:r>
    </w:p>
    <w:p>
      <w:pPr>
        <w:spacing w:after="0" w:line="163" w:lineRule="exact"/>
        <w:rPr>
          <w:sz w:val="20"/>
          <w:szCs w:val="20"/>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information under the captions "Election of Directors" and "Related Party Transactions" in the 1999 Proxy Statement is incorporated herein by this reference.</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(a)(1)</w:t>
      </w:r>
      <w:r>
        <w:rPr>
          <w:sz w:val="20"/>
          <w:szCs w:val="20"/>
          <w:color w:val="auto"/>
        </w:rPr>
        <w:tab/>
      </w:r>
      <w:r>
        <w:rPr>
          <w:rFonts w:ascii="Courier New" w:cs="Courier New" w:eastAsia="Courier New" w:hAnsi="Courier New"/>
          <w:sz w:val="14"/>
          <w:szCs w:val="14"/>
          <w:color w:val="auto"/>
        </w:rPr>
        <w:t>FINANCIAL STATEMENTS OF REGISTRANT.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consolidated financial statements of Hawkins Chemical, Inc. and subsidiary, together with the Independent Auditors' Report, found under appropriate headings in the Registrant's 1998 Annual Report, are hereby incorporated by reference in this Annual Report on Form 10-K.</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Balance Sheets at September 27, 1998 and September 28, 1997.</w:t>
      </w:r>
    </w:p>
    <w:p>
      <w:pPr>
        <w:spacing w:after="0" w:line="173" w:lineRule="exact"/>
        <w:rPr>
          <w:sz w:val="20"/>
          <w:szCs w:val="20"/>
          <w:color w:val="auto"/>
        </w:rPr>
      </w:pPr>
    </w:p>
    <w:p>
      <w:pPr>
        <w:ind w:left="440" w:right="3519"/>
        <w:spacing w:after="0" w:line="255" w:lineRule="auto"/>
        <w:rPr>
          <w:sz w:val="20"/>
          <w:szCs w:val="20"/>
          <w:color w:val="auto"/>
        </w:rPr>
      </w:pPr>
      <w:r>
        <w:rPr>
          <w:rFonts w:ascii="Courier New" w:cs="Courier New" w:eastAsia="Courier New" w:hAnsi="Courier New"/>
          <w:sz w:val="14"/>
          <w:szCs w:val="14"/>
          <w:color w:val="auto"/>
        </w:rPr>
        <w:t>Consolidated Statements of Income for the Years Ended September 27, 1998, September 28, 1997 and September 29, 1996.</w:t>
      </w:r>
    </w:p>
    <w:p>
      <w:pPr>
        <w:spacing w:after="0" w:line="160" w:lineRule="exact"/>
        <w:rPr>
          <w:sz w:val="20"/>
          <w:szCs w:val="20"/>
          <w:color w:val="auto"/>
        </w:rPr>
      </w:pPr>
    </w:p>
    <w:p>
      <w:pPr>
        <w:ind w:left="440" w:right="4019"/>
        <w:spacing w:after="0" w:line="255" w:lineRule="auto"/>
        <w:rPr>
          <w:sz w:val="20"/>
          <w:szCs w:val="20"/>
          <w:color w:val="auto"/>
        </w:rPr>
      </w:pPr>
      <w:r>
        <w:rPr>
          <w:rFonts w:ascii="Courier New" w:cs="Courier New" w:eastAsia="Courier New" w:hAnsi="Courier New"/>
          <w:sz w:val="14"/>
          <w:szCs w:val="14"/>
          <w:color w:val="auto"/>
        </w:rPr>
        <w:t>Consolidated Statements of Shareholders' Equity for the Years Ended September 27, 1998, September 28, 1997 and September 29, 1996.</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left="440" w:right="3679"/>
        <w:spacing w:after="0" w:line="255" w:lineRule="auto"/>
        <w:rPr>
          <w:sz w:val="20"/>
          <w:szCs w:val="20"/>
          <w:color w:val="auto"/>
        </w:rPr>
      </w:pPr>
      <w:r>
        <w:rPr>
          <w:rFonts w:ascii="Courier New" w:cs="Courier New" w:eastAsia="Courier New" w:hAnsi="Courier New"/>
          <w:sz w:val="14"/>
          <w:szCs w:val="14"/>
          <w:color w:val="auto"/>
        </w:rPr>
        <w:t>Consolidated Statements of Cash Flows for the Years Ended September 27, 1998, September 28, 1997 and September 29, 1996.</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(a)(2)</w:t>
      </w:r>
      <w:r>
        <w:rPr>
          <w:sz w:val="20"/>
          <w:szCs w:val="20"/>
          <w:color w:val="auto"/>
        </w:rPr>
        <w:tab/>
      </w:r>
      <w:r>
        <w:rPr>
          <w:rFonts w:ascii="Courier New" w:cs="Courier New" w:eastAsia="Courier New" w:hAnsi="Courier New"/>
          <w:sz w:val="14"/>
          <w:szCs w:val="14"/>
          <w:color w:val="auto"/>
        </w:rPr>
        <w:t>FINANCIAL STATEMENT SCHEDULES OF REGISTRANT.</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additional financial data listed below is included as a schedule to this Annual Report on Form 10-K and should be read in conjunction with the consolidated financial statements presented in Part II, Item 8. Schedules not included with this additional financial data have been omitted because they are not required or the required information is included in the financial statements or the notes.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Auditors' Report on Schedule.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for the Years Ended September 27, 1998, September 28, 1997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September 29, 1996: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Condensed financial information of the Registrant is not presented because no restrictions exist on the transfer of funds or assets between the Registrant and its subsidiary.</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(a)(3)</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The exhibits to this Annual Report on Form 10-K are listed on the Exhibit Index on page 15.</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 copy of any of the exhibits listed or referred to above will be furnished at a reasonable cost to any person who was a shareholder of the Company as of December 28, 1998, upon receipt from any such person of a written request for any such exhibit. Such request should be sent to Hawkins Chemical, Inc., 3100 East Hennepin Avenue, Minneapolis, Minnesota, 55413, Attn: Secretary.</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There are no management contracts or compensatory plans or arrangements required to be filed as an exhibit to this Annual Report on Form 10-K pursuant to Item 14(a)(3).</w:t>
      </w:r>
    </w:p>
    <w:p>
      <w:pPr>
        <w:spacing w:after="0" w:line="163" w:lineRule="exact"/>
        <w:rPr>
          <w:sz w:val="20"/>
          <w:szCs w:val="20"/>
          <w:color w:val="auto"/>
        </w:rPr>
      </w:pPr>
    </w:p>
    <w:p>
      <w:pPr>
        <w:ind w:left="440" w:right="8079" w:hanging="432"/>
        <w:spacing w:after="0" w:line="501"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ind w:left="31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11" w:name="page12"/>
    <w:bookmarkEnd w:id="11"/>
    <w:p>
      <w:pPr>
        <w:jc w:val="center"/>
        <w:ind w:right="349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1998.</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HAWKINS CHEMICAL, INC.</w:t>
      </w:r>
    </w:p>
    <w:p>
      <w:pPr>
        <w:spacing w:after="0" w:line="7"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By</w:t>
        <w:tab/>
        <w:t>/s/ Dean L. Hahn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Dean L. Hahn, Chairman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of the Board of Directors</w:t>
      </w:r>
    </w:p>
    <w:p>
      <w:pPr>
        <w:spacing w:after="0" w:line="173" w:lineRule="exact"/>
        <w:rPr>
          <w:sz w:val="20"/>
          <w:szCs w:val="20"/>
          <w:color w:val="auto"/>
        </w:rPr>
      </w:pPr>
    </w:p>
    <w:p>
      <w:pPr>
        <w:sectPr>
          <w:pgSz w:w="11900" w:h="16838" w:orient="portrait"/>
          <w:cols w:equalWidth="0" w:num="3">
            <w:col w:w="520" w:space="180"/>
            <w:col w:w="2040" w:space="720"/>
            <w:col w:w="6779"/>
          </w:cols>
          <w:pgMar w:left="220" w:top="616" w:right="1440" w:bottom="1440" w:gutter="0" w:footer="0" w:header="0"/>
          <w:type w:val="continuous"/>
        </w:sectPr>
      </w:pPr>
    </w:p>
    <w:p>
      <w:pPr>
        <w:ind w:right="367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also been signed below by the following persons on behalf of the Registrant and in the capacities and on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Dean L. Hahn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Dean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L. Hahn, Chief Executive</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Howard J. Hawkins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Howard J. Hawkins, Chairman</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Emeritus,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Donald L. Shipp</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Donald L. Shipp, Vice Chairman,</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John R. Hawkins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John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R. Hawkins, President and</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Secretary,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Howard M. Hawkins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Howard M. Hawkins, Treasurer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(Chief Financial and Accounting</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Carl J. Ahlgren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Carl</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J. Ahlgren,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Norman P. Anderson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Norman P. Anderson,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John S. McKeon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John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 McKeon,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Duane M. Jergenson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28, 1998</w:t>
            </w: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Duane M. Jergenson, Director</w:t>
            </w: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497"/>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-12-</w:t>
            </w:r>
          </w:p>
        </w:tc>
        <w:tc>
          <w:tcPr>
            <w:tcW w:w="15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12" w:name="page13"/>
    <w:bookmarkEnd w:id="12"/>
    <w:p>
      <w:pPr>
        <w:ind w:left="1740"/>
        <w:spacing w:after="0"/>
        <w:rPr>
          <w:sz w:val="20"/>
          <w:szCs w:val="20"/>
          <w:color w:val="auto"/>
        </w:rPr>
      </w:pPr>
      <w:r>
        <w:rPr>
          <w:rFonts w:ascii="Courier New" w:cs="Courier New" w:eastAsia="Courier New" w:hAnsi="Courier New"/>
          <w:sz w:val="14"/>
          <w:szCs w:val="14"/>
          <w:color w:val="auto"/>
        </w:rPr>
        <w:t>INDEPENDENT AUDITORS' REPORT ON SCHEDULE</w:t>
      </w:r>
    </w:p>
    <w:p>
      <w:pPr>
        <w:spacing w:after="0" w:line="338"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We have audited the consolidated financial statements of Hawkins Chemical, Inc. and subsidiary (the "Company") as of September 27, 1998 and September 28, 1997, and for each of the three years in the period ended September 27, 1998, and have issued our report thereon dated December 3, 1998; such consolidated financial statements and report are included in the 1998 Annual Report to Shareholders and are incorporated herein by reference. Our audits also included the consolidated financial statement schedule of the Company, listed in Item 14(a)(2). This consolidated financial statement schedule is the responsibility of the Company's management. Our responsibility is to express an opinion based on our audits. In our opinion, this consolidated financial statement schedule, when considered in relation to the basic consolidated financial statements taken as a whole, presents fairly in all material respects the information set forth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 1998</w:t>
      </w:r>
    </w:p>
    <w:p>
      <w:pPr>
        <w:sectPr>
          <w:pgSz w:w="11900" w:h="16838" w:orient="portrait"/>
          <w:cols w:equalWidth="0" w:num="1">
            <w:col w:w="10239"/>
          </w:cols>
          <w:pgMar w:left="220" w:top="616" w:right="1440" w:bottom="1440" w:gutter="0" w:footer="0" w:header="0"/>
        </w:sectPr>
      </w:pPr>
    </w:p>
    <w:bookmarkStart w:id="13" w:name="page14"/>
    <w:bookmarkEnd w:id="13"/>
    <w:p>
      <w:pPr>
        <w:jc w:val="center"/>
        <w:ind w:right="370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HAWKINS CHEMICAL, INC. AND SUBSIDIARY</w:t>
      </w:r>
    </w:p>
    <w:p>
      <w:pPr>
        <w:spacing w:after="0" w:line="338"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right="3780"/>
        <w:spacing w:after="0" w:line="255" w:lineRule="auto"/>
        <w:rPr>
          <w:sz w:val="20"/>
          <w:szCs w:val="20"/>
          <w:color w:val="auto"/>
        </w:rPr>
      </w:pPr>
      <w:r>
        <w:rPr>
          <w:rFonts w:ascii="Courier New" w:cs="Courier New" w:eastAsia="Courier New" w:hAnsi="Courier New"/>
          <w:sz w:val="14"/>
          <w:szCs w:val="14"/>
          <w:color w:val="auto"/>
        </w:rPr>
        <w:t>FOR THE YEARS ENDED SEPTEMBER 27, 1998, SEPTEMBER 28, 1997 AND SEPTEMBER 29, 1996</w:t>
      </w:r>
    </w:p>
    <w:p>
      <w:pPr>
        <w:spacing w:after="0" w:line="200" w:lineRule="exact"/>
        <w:rPr>
          <w:sz w:val="20"/>
          <w:szCs w:val="20"/>
          <w:color w:val="auto"/>
        </w:rPr>
      </w:pPr>
    </w:p>
    <w:p>
      <w:pPr>
        <w:spacing w:after="0" w:line="291"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tabs>
          <w:tab w:leader="none" w:pos="3960" w:val="left"/>
          <w:tab w:leader="none" w:pos="6020" w:val="left"/>
          <w:tab w:leader="none" w:pos="92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1980"/>
        <w:spacing w:after="0"/>
        <w:tabs>
          <w:tab w:leader="none" w:pos="3960" w:val="left"/>
          <w:tab w:leader="none" w:pos="6200" w:val="left"/>
          <w:tab w:leader="none" w:pos="7560" w:val="left"/>
          <w:tab w:leader="none" w:pos="9380" w:val="left"/>
        </w:tabs>
        <w:rPr>
          <w:sz w:val="20"/>
          <w:szCs w:val="20"/>
          <w:color w:val="auto"/>
        </w:rPr>
      </w:pPr>
      <w:r>
        <w:rPr>
          <w:rFonts w:ascii="Courier New" w:cs="Courier New" w:eastAsia="Courier New" w:hAnsi="Courier New"/>
          <w:sz w:val="14"/>
          <w:szCs w:val="14"/>
          <w:color w:val="auto"/>
        </w:rPr>
        <w:t>BEGINNING OF</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END OF</w:t>
      </w:r>
    </w:p>
    <w:p>
      <w:pPr>
        <w:spacing w:after="0" w:line="7" w:lineRule="exact"/>
        <w:rPr>
          <w:sz w:val="20"/>
          <w:szCs w:val="20"/>
          <w:color w:val="auto"/>
        </w:rPr>
      </w:pPr>
    </w:p>
    <w:p>
      <w:pPr>
        <w:spacing w:after="0"/>
        <w:tabs>
          <w:tab w:leader="none" w:pos="2320" w:val="left"/>
          <w:tab w:leader="none" w:pos="4040" w:val="left"/>
          <w:tab w:leader="none" w:pos="6100" w:val="left"/>
          <w:tab w:leader="none" w:pos="7560" w:val="left"/>
          <w:tab w:leader="none" w:pos="94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ACCOUNTS</w:t>
      </w:r>
      <w:r>
        <w:rPr>
          <w:sz w:val="20"/>
          <w:szCs w:val="20"/>
          <w:color w:val="auto"/>
        </w:rPr>
        <w:tab/>
      </w:r>
      <w:r>
        <w:rPr>
          <w:rFonts w:ascii="Courier New" w:cs="Courier New" w:eastAsia="Courier New" w:hAnsi="Courier New"/>
          <w:sz w:val="14"/>
          <w:szCs w:val="14"/>
          <w:color w:val="auto"/>
        </w:rPr>
        <w:t>WRITE-OFFS</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deducted from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 to which it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applies - allowance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 doubtful accounts: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September 27, 1998</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$361,830</w:t>
            </w:r>
          </w:p>
        </w:tc>
        <w:tc>
          <w:tcPr>
            <w:tcW w:w="2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$32,700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$15,804</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$378,726</w:t>
            </w:r>
          </w:p>
        </w:tc>
      </w:tr>
      <w:tr>
        <w:trPr>
          <w:trHeight w:val="166"/>
        </w:trPr>
        <w:tc>
          <w:tcPr>
            <w:tcW w:w="1980" w:type="dxa"/>
            <w:vAlign w:val="bottom"/>
          </w:tcPr>
          <w:p>
            <w:pPr>
              <w:spacing w:after="0"/>
              <w:rPr>
                <w:sz w:val="14"/>
                <w:szCs w:val="14"/>
                <w:color w:val="auto"/>
              </w:rPr>
            </w:pPr>
          </w:p>
        </w:tc>
        <w:tc>
          <w:tcPr>
            <w:tcW w:w="82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82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September 28, 1997</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$344,002</w:t>
            </w:r>
          </w:p>
        </w:tc>
        <w:tc>
          <w:tcPr>
            <w:tcW w:w="2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$31,200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$13,372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$361,830</w:t>
            </w:r>
          </w:p>
        </w:tc>
      </w:tr>
      <w:tr>
        <w:trPr>
          <w:trHeight w:val="166"/>
        </w:trPr>
        <w:tc>
          <w:tcPr>
            <w:tcW w:w="1980" w:type="dxa"/>
            <w:vAlign w:val="bottom"/>
          </w:tcPr>
          <w:p>
            <w:pPr>
              <w:spacing w:after="0"/>
              <w:rPr>
                <w:sz w:val="14"/>
                <w:szCs w:val="14"/>
                <w:color w:val="auto"/>
              </w:rPr>
            </w:pPr>
          </w:p>
        </w:tc>
        <w:tc>
          <w:tcPr>
            <w:tcW w:w="82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82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September 29, 1996</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$347,871</w:t>
            </w:r>
          </w:p>
        </w:tc>
        <w:tc>
          <w:tcPr>
            <w:tcW w:w="2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$68,046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$71,915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$344,002</w:t>
            </w:r>
          </w:p>
        </w:tc>
      </w:tr>
      <w:tr>
        <w:trPr>
          <w:trHeight w:val="166"/>
        </w:trPr>
        <w:tc>
          <w:tcPr>
            <w:tcW w:w="1980" w:type="dxa"/>
            <w:vAlign w:val="bottom"/>
          </w:tcPr>
          <w:p>
            <w:pPr>
              <w:spacing w:after="0"/>
              <w:rPr>
                <w:sz w:val="14"/>
                <w:szCs w:val="14"/>
                <w:color w:val="auto"/>
              </w:rPr>
            </w:pPr>
          </w:p>
        </w:tc>
        <w:tc>
          <w:tcPr>
            <w:tcW w:w="82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820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663"/>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340"/>
          </w:cols>
          <w:pgMar w:left="220" w:top="782" w:right="1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40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INDEX TO EXHIBITS</w:t>
            </w:r>
          </w:p>
        </w:tc>
      </w:tr>
      <w:tr>
        <w:trPr>
          <w:trHeight w:val="828"/>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Description of  Exhibit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Amended and Second</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Restated Articles of</w:t>
            </w:r>
          </w:p>
        </w:tc>
      </w:tr>
      <w:tr>
        <w:trPr>
          <w:trHeight w:val="166"/>
        </w:trPr>
        <w:tc>
          <w:tcPr>
            <w:tcW w:w="118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Incorporation as amended through</w:t>
            </w:r>
          </w:p>
        </w:tc>
      </w:tr>
      <w:tr>
        <w:trPr>
          <w:trHeight w:val="166"/>
        </w:trPr>
        <w:tc>
          <w:tcPr>
            <w:tcW w:w="1180" w:type="dxa"/>
            <w:vAlign w:val="bottom"/>
          </w:tcPr>
          <w:p>
            <w:pPr>
              <w:spacing w:after="0"/>
              <w:rPr>
                <w:sz w:val="14"/>
                <w:szCs w:val="14"/>
                <w:color w:val="auto"/>
              </w:rPr>
            </w:pP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February 28, 1989.</w:t>
            </w:r>
          </w:p>
        </w:tc>
        <w:tc>
          <w:tcPr>
            <w:tcW w:w="1780" w:type="dxa"/>
            <w:vAlign w:val="bottom"/>
          </w:tcPr>
          <w:p>
            <w:pPr>
              <w:spacing w:after="0"/>
              <w:rPr>
                <w:sz w:val="14"/>
                <w:szCs w:val="14"/>
                <w:color w:val="auto"/>
              </w:rPr>
            </w:pPr>
          </w:p>
        </w:tc>
      </w:tr>
      <w:tr>
        <w:trPr>
          <w:trHeight w:val="497"/>
        </w:trPr>
        <w:tc>
          <w:tcPr>
            <w:tcW w:w="11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Second Amended and</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Superseding By-Laws</w:t>
            </w:r>
          </w:p>
        </w:tc>
      </w:tr>
      <w:tr>
        <w:trPr>
          <w:trHeight w:val="166"/>
        </w:trPr>
        <w:tc>
          <w:tcPr>
            <w:tcW w:w="1180" w:type="dxa"/>
            <w:vAlign w:val="bottom"/>
          </w:tcPr>
          <w:p>
            <w:pPr>
              <w:spacing w:after="0"/>
              <w:rPr>
                <w:sz w:val="14"/>
                <w:szCs w:val="14"/>
                <w:color w:val="auto"/>
              </w:rPr>
            </w:pP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as amended through</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February 15, 1995.</w:t>
            </w:r>
          </w:p>
        </w:tc>
      </w:tr>
    </w:tbl>
    <w:p>
      <w:pPr>
        <w:spacing w:after="0" w:line="200" w:lineRule="exact"/>
        <w:rPr>
          <w:sz w:val="20"/>
          <w:szCs w:val="20"/>
          <w:color w:val="auto"/>
        </w:rPr>
      </w:pPr>
    </w:p>
    <w:p>
      <w:pPr>
        <w:spacing w:after="0" w:line="301" w:lineRule="exact"/>
        <w:rPr>
          <w:sz w:val="20"/>
          <w:szCs w:val="20"/>
          <w:color w:val="auto"/>
        </w:rPr>
      </w:pPr>
    </w:p>
    <w:p>
      <w:pPr>
        <w:ind w:left="1220" w:hanging="1212"/>
        <w:spacing w:after="0"/>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3.1 and 3.2 above.</w:t>
      </w:r>
    </w:p>
    <w:p>
      <w:pPr>
        <w:spacing w:after="0" w:line="173" w:lineRule="exact"/>
        <w:rPr>
          <w:sz w:val="20"/>
          <w:szCs w:val="20"/>
          <w:color w:val="auto"/>
        </w:rPr>
      </w:pPr>
    </w:p>
    <w:p>
      <w:pPr>
        <w:jc w:val="both"/>
        <w:ind w:left="1220" w:right="100" w:hanging="1205"/>
        <w:spacing w:after="0" w:line="252" w:lineRule="auto"/>
        <w:tabs>
          <w:tab w:leader="none" w:pos="120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Portions of Annual Report to Security Holders for period ended September 27, 1998.</w:t>
      </w:r>
    </w:p>
    <w:p>
      <w:pPr>
        <w:spacing w:after="0" w:line="32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Subsidiaries of Registrant.</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304" w:lineRule="exact"/>
        <w:rPr>
          <w:sz w:val="20"/>
          <w:szCs w:val="20"/>
          <w:color w:val="auto"/>
        </w:rPr>
      </w:pPr>
    </w:p>
    <w:p>
      <w:pPr>
        <w:ind w:left="260" w:hanging="252"/>
        <w:spacing w:after="0"/>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Denotes previously unfiled documents.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Method of Filing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4"/>
          <w:szCs w:val="14"/>
          <w:color w:val="auto"/>
        </w:rPr>
        <w:t>Incorporated by reference to Exhibit 3D to the Registrant's Quarterly Report on Form 10-Q for the quarter ended March 31, 1989.</w:t>
      </w:r>
    </w:p>
    <w:p>
      <w:pPr>
        <w:spacing w:after="0" w:line="162"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4"/>
          <w:szCs w:val="14"/>
          <w:color w:val="auto"/>
        </w:rPr>
        <w:t>Incorporated by reference to Exhibit 3.2 to the Registrant's Annual Report on Form 10-K for the year ended October 1, 1995.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 electronically.</w:t>
      </w:r>
    </w:p>
    <w:p>
      <w:pPr>
        <w:sectPr>
          <w:pgSz w:w="11900" w:h="16838" w:orient="portrait"/>
          <w:cols w:equalWidth="0" w:num="2">
            <w:col w:w="4580" w:space="420"/>
            <w:col w:w="5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INFORMATION CONTAINED IN THIS ANNUAL REPORT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ANNUAL REPORT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OR CASH FLOWS.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SUMMARY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sales in fiscal 1998 increased 8.0% to $94,722,511 from $87,745,980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Net income in fiscal 1998 increased 5.4% to $8,213,869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$7,790,487 in fiscal 1997. Basic and diluted earnings per share in fiscal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$.71 compared to $.67 in fiscal 1997. Return on average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was 16.0% for 1998, compared to 16.9% for 1997. Book value per share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27, 1998 was $4.67 compared to $4.22 one year ago.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general economic environment in our markets has improved slightly with the overall improvement in the economy. While this improvement had a favorable impact on earnings, management will continue to focus efforts on programs aimed at improving profitability and controlling costs.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the year ended September 27, 1998, sales increased $6,976,531, an 8.0% increase from 1997, due to an increase in the volume and selling price (and the cost) of caustic soda and to increasing business in food grade products and pharmaceutical chemicals, which accounted for slightly more than one-half of the increase. The remaining increase came from overall volume increases in all divisions. For the year ended September 28, 1997, sales increased $6,859,918, an 8.5% increase from 1996, due to volume increases of caustic soda, increasing business in food grade products and pharmaceutical chemicals and overall volume increases in all divisions and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MARGINS</w:t>
      </w:r>
    </w:p>
    <w:p>
      <w:pPr>
        <w:sectPr>
          <w:pgSz w:w="11900" w:h="16838" w:orient="portrait"/>
          <w:cols w:equalWidth="0" w:num="1">
            <w:col w:w="10239"/>
          </w:cols>
          <w:pgMar w:left="220" w:top="473" w:right="1440" w:bottom="1440" w:gutter="0" w:footer="0" w:header="0"/>
        </w:sectPr>
      </w:pPr>
    </w:p>
    <w:bookmarkStart w:id="16" w:name="page17"/>
    <w:bookmarkEnd w:id="16"/>
    <w:p>
      <w:pPr>
        <w:ind w:right="3339" w:firstLine="431"/>
        <w:spacing w:after="0" w:line="250" w:lineRule="auto"/>
        <w:rPr>
          <w:sz w:val="20"/>
          <w:szCs w:val="20"/>
          <w:color w:val="auto"/>
        </w:rPr>
      </w:pPr>
      <w:r>
        <w:rPr>
          <w:rFonts w:ascii="Courier New" w:cs="Courier New" w:eastAsia="Courier New" w:hAnsi="Courier New"/>
          <w:sz w:val="14"/>
          <w:szCs w:val="14"/>
          <w:color w:val="auto"/>
        </w:rPr>
        <w:t>Gross margin, as a percentage of sales, was 23.6% in 1998, 24.3% in 1997 and 22.4% in 1996. The 1998 decrease was due to lower profit margins on a major product line while the cost and selling price of the product line was increasing throughout the year. The Company attempts to maintain relatively constant dollar margins as the cost of this product line increases and decreases. The cost of this product is normally subject to fluctuations and such fluctuations are expected to continue in future periods. By maintaining relatively stable dollar margins, the gross margin percentage will decrease when the cost of the product is increasing and increase when the cost of the product is decreasing. The 1997 increase was due mainly to better profit margins on a portion of the sales volume increase and the Company's ability to maintain relatively constant dollar profit margins on this major product line while the cost of the materials decreased. The Company has also generally been able to, and expects to continue to, adjust its selling prices as the cost of materials and other expenses change, thereby maintaining relatively stable gross margins.</w:t>
      </w:r>
    </w:p>
    <w:p>
      <w:pPr>
        <w:spacing w:after="0" w:line="172"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Company's caustic soda operations are located on the Mississippi River, enabling the Company to receive caustic soda through barge transportation. When the river has flooded, the Company has been able to receive caustic soda by tank cars. Although the use of tank cars has resulted in additional costs, results of operations have not been materially impacted. Based on this experience, the Company does not expect any future flooding to have a material impact on the Company's financial condition, results of operations,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expenses increased 7.1% and 7.3% in 1998 and 1997, respectively, over the previous year. The 1998 increase was due to increases in employee salaries and benefits cost and to costs related to upgrading the computer and phone systems. The 1997 increase was due to increasing the sales staff, which resulted in higher employee salaries and benefits costs and to general inflation in all other areas.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SETTLEMENT COSTS RELATED TO 1995 FIRE</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charges of $1,771,439 in 1997 and $750,000 in 1995 were recorded to cover legal fees and settlement costs in connection with the Company's defense of a lawsuit filed against it in Minnesota. The lawsuit resulted from a fire at an office/warehouse facility occupied by The Lynde Company, formerly a wholly owned subsidiary of the Company. Through September 27, 1998, the Company had paid $2,728,000 in settlement and legal costs relating to the fire. Most of the claimants have now been paid under the Settlement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primary and umbrella insurers denied coverage and refused to defend the lawsuit. Subsequent to the end of fiscal 1998, the Company has prevailed in its claims against its insurers and has been reimbursed $2.7 million for substantially all of its settlement and legal expenses. In addition, the Company anticipates that the claims remaining under the Settlement Agreement will be covered by the umbrella insurer as to the cost of defense and claims payment.</w:t>
      </w:r>
    </w:p>
    <w:p>
      <w:pPr>
        <w:sectPr>
          <w:pgSz w:w="11900" w:h="16838" w:orient="portrait"/>
          <w:cols w:equalWidth="0" w:num="1">
            <w:col w:w="10239"/>
          </w:cols>
          <w:pgMar w:left="220" w:top="616"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OTHER INCOME</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income was up 7.3% in 1998 as compared to the previous year due to a higher rate of return on the cash available for investments. Interest income was up 15.9% in 1997 as compared to 1996 due to more cash available for investment and to additional interest earned on the notes receivable relating to the sale of The Lynde Company. Interest expense decreased in 1998 and 1997 as compared to the previous year. Most of the interest expense is the result of the Company issuing a note payable to the seller in connection with the acquisition of the assets of Industrial Chemical &amp; Equipment Company in 1993. The gain on the sale of The Lynde Company relates to the Company's sale of the subsidiary on May 29, 1997. Other miscellaneous income decreased in 1998 and 1997 as compared to the previous years due to the gain on the sale of land in 1997 and to the gain on the sale of a building in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7"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effective income tax rate was 38.9% for the year ended September 27, 1998, 38.8% for the year ended September 28, 1997 and 38.0% for the year ended September 29, 1996. The differences are due mainly to variations in tax-free income on investments in municipal bonds.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Inflation has not had a significant impact on the Company, as selling prices have generally been adjusted as the cost of materials and other expenses have changed. On occasion, however, slight fluctuations in the cost of a single, large-volume product have not been reflected in the selling price of that product.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provided by operations in fiscal 1998 was $6,127,052 compared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$5,675,264 in fiscal 1997 and $7,241,783 in fiscal 1996. The increase in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over 1997 was due primarily to the increase in net income. The decrease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over 1996 was due primarily to an increase in trade 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caused by the sales increase, an increase in inventories to meet expected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increases, and to a decrease in accounts payable caused by the timing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year-end purchases.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and investments available-for-sale decreased by $2,304,155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$17,740,944 at the end of fiscal 1998. The Company is investing excess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in conservative investments. Cash equivalents consist of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 of deposit having a maturity of three months or less. Investments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consist of investment contracts with high-rated, stable insurance companies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marketable securities consisting of variable rate municipal bonds carried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which approximates cost. Cash equivalents and investments are highly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 and are available upon demand generally with only a minor penalty.</w:t>
      </w:r>
    </w:p>
    <w:p>
      <w:pPr>
        <w:sectPr>
          <w:pgSz w:w="11900" w:h="16838" w:orient="portrait"/>
          <w:cols w:equalWidth="0" w:num="1">
            <w:col w:w="10239"/>
          </w:cols>
          <w:pgMar w:left="220" w:top="616" w:right="1440" w:bottom="1440" w:gutter="0" w:footer="0" w:header="0"/>
        </w:sectPr>
      </w:pPr>
    </w:p>
    <w:bookmarkStart w:id="18" w:name="page19"/>
    <w:bookmarkEnd w:id="18"/>
    <w:p>
      <w:pPr>
        <w:ind w:right="3339" w:firstLine="431"/>
        <w:spacing w:after="0" w:line="251" w:lineRule="auto"/>
        <w:rPr>
          <w:sz w:val="20"/>
          <w:szCs w:val="20"/>
          <w:color w:val="auto"/>
        </w:rPr>
      </w:pPr>
      <w:r>
        <w:rPr>
          <w:rFonts w:ascii="Courier New" w:cs="Courier New" w:eastAsia="Courier New" w:hAnsi="Courier New"/>
          <w:sz w:val="14"/>
          <w:szCs w:val="14"/>
          <w:color w:val="auto"/>
        </w:rPr>
        <w:t>On May 29, 1997, the Company sold the inventory and operations of The Lynde Company, a wholly owned subsidiary which specialized in swimming pool chemicals, for $2,590,000, effective March 1, 1997. The Company recorded a gain on the sale of approximately $1.3 million. At closing, the Company received $500,000 cash and a note receivable for the balance. The note receivable is due over the next five years plus interest at 8%.</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Subsequent to fiscal 1998, the Company received $2.7 million from a litigation settlement (see Note 10). These proceeds will be used for future working capital requirements.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Capital expenditures in fiscal years 1998, 1997 and 1996 were $5,051,641, $4,017,543 and $4,299,071, respectively. Of the 1998 capital expenditures, the new food chemical production facility and truck wash area accounted for approximately $1.6 million, improvements to the outside storage tanks at Terminal I amounted to approximately $.5 million, transportation equipment additions accounted for $.6 million and building additions and the installation of automatic sprinkling systems at out-state locations accounted for $.7 million. Other building improvements and additions amounted to $.7 million and other warehouse, laboratory and office machinery and equipment accounted for $1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REPURCHASES</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During fiscal year 1998, the Company acquired and retired 153,000 shares of common stock for $1,568,296.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Management does not anticipate the need for stock or debt issuances in the short or long-term, as cash, investments and cash flows from operations have been adequate to fund working capital, capital investments, dividend needs and common stock repurchases. If the need for additional financing arises, however, management will consider issuance of debt or equity if such financing can be obtained on favorable terms. Although management continually looks for companies to acquire and for ways to modernize its warehouse facilities and equipment, no material commitments for acquisitions or capital expenditures currently exist.</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 than as discussed above, management is not aware of any matters or trends that have materially affected the results of operations for fiscal 1998 that are not expected to have either short or long-term implications, nor is it aware of any trends or other matters that have not materially affected results in fiscal 1998 but are expected to have a material effect on future periods.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READINESS</w:t>
      </w:r>
    </w:p>
    <w:p>
      <w:pPr>
        <w:spacing w:after="0" w:line="7"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As generally known, the Year 2000 issue pertains to the inability of some computer hardware and software and other electronic devices to operate properly as January 1,</w:t>
      </w:r>
    </w:p>
    <w:p>
      <w:pPr>
        <w:sectPr>
          <w:pgSz w:w="11900" w:h="16838" w:orient="portrait"/>
          <w:cols w:equalWidth="0" w:num="1">
            <w:col w:w="10239"/>
          </w:cols>
          <w:pgMar w:left="220" w:top="616" w:right="1440" w:bottom="1440" w:gutter="0" w:footer="0" w:header="0"/>
        </w:sectPr>
      </w:pPr>
    </w:p>
    <w:bookmarkStart w:id="19" w:name="page20"/>
    <w:bookmarkEnd w:id="19"/>
    <w:p>
      <w:pPr>
        <w:ind w:right="4019"/>
        <w:spacing w:after="0" w:line="252" w:lineRule="auto"/>
        <w:rPr>
          <w:sz w:val="20"/>
          <w:szCs w:val="20"/>
          <w:color w:val="auto"/>
        </w:rPr>
      </w:pPr>
      <w:r>
        <w:rPr>
          <w:rFonts w:ascii="Courier New" w:cs="Courier New" w:eastAsia="Courier New" w:hAnsi="Courier New"/>
          <w:sz w:val="14"/>
          <w:szCs w:val="14"/>
          <w:color w:val="auto"/>
        </w:rPr>
        <w:t>2000 approaches, and beyond. The Company has taken, and will continue to take, actions intended to minimize the impact of the Year 2000 issue, although it is impossible to eliminate these risks entirely.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major information technology (IT) systems and infrastructure have been upgraded or replaced in the ordinary course of business over the last two years. Approximately $450,000 has been spent through September 27, 1998 to upgrade the Company's primary IT systems, IT infrastructure and security systems, and to replace the telephone, voicemail, and timekeeping systems to Year 2000 compliant systems. The Company will continue to invest in technology to accommodate the Company's future growth, with such improvements intended to achieve Year 2000 compliance as a byproduct of the upgrades.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is currently implementing a Year 2000 compliance testing program of its hardware, software and equipment. Testing will include, but is not limited to, corporate IT systems, IT infrastructure, security systems, telephone systems, manufacturing and laboratory equipment, and timekeeping systems. Although the Company does not expect that costs necessary to replace non-compliant systems will have a material impact on the Company's results of operations, liquidity, or financial condition, it is not possible to estimate the total expected cost associated with achieving Year 2000 readiness.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relies on computer processing for its business activities and the Year 2000 issue creates risk for the Company from unforeseen problems in the Company's systems and from third parties with whom the Company does business. The failure of the Company's systems and/or third party systems could have a material adverse effect on the Company's results of operations, liquidity, and financial condition. Year 2000 readiness of third parties with whom the Company does business, particularly suppliers of critical products and providers of utility and communication services, could impair the Company's ability to deliver products and services and could cause system failures or errors, business interruptions and, in a worst case scenario, the inability to engage in normal business practices for an unknown length of time. This worst case scenario, if it should occur, could have a material adverse effect on the Company's operations, liquidity or financial condition, particularly if the disruption continues for a significant length of time. While third party risk related to the Year 2000 issues is difficult to quantify or control, the Company is taking steps to try to minimize the potential adverse effect that could arise. The Company has sent Year 2000 surveys to its suppliers asking for the compliance status of suppliers' products and internal operations. The responses received by the Company to date indicate that most of its suppliers expect to be Year 2000 compliant in a timely manner. The Company plans to develop third party contingency plans as it identifies partners evidencing inadequate Year 2000 preparations. Contingency plans may include plans to accumulate extra inventory and/or establish alternative sources of supply and channels of distribution. However, even with diligent planning, third party providers pose an uncertain risk that cannot be entirely eliminated.</w:t>
      </w:r>
    </w:p>
    <w:p>
      <w:pPr>
        <w:spacing w:after="0" w:line="34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Due to the general uncertainty inherent in the Year 2000 issue, resulting in part from the uncertainty of the Year 2000 issue readiness of third-party suppliers and customers,</w:t>
      </w:r>
    </w:p>
    <w:p>
      <w:pPr>
        <w:sectPr>
          <w:pgSz w:w="11900" w:h="16838" w:orient="portrait"/>
          <w:cols w:equalWidth="0" w:num="1">
            <w:col w:w="10239"/>
          </w:cols>
          <w:pgMar w:left="220" w:top="616" w:right="1440" w:bottom="1440" w:gutter="0" w:footer="0" w:header="0"/>
        </w:sectPr>
      </w:pPr>
    </w:p>
    <w:bookmarkStart w:id="20" w:name="page21"/>
    <w:bookmarkEnd w:id="20"/>
    <w:p>
      <w:pPr>
        <w:ind w:right="3599"/>
        <w:spacing w:after="0" w:line="252" w:lineRule="auto"/>
        <w:rPr>
          <w:sz w:val="20"/>
          <w:szCs w:val="20"/>
          <w:color w:val="auto"/>
        </w:rPr>
      </w:pPr>
      <w:r>
        <w:rPr>
          <w:rFonts w:ascii="Courier New" w:cs="Courier New" w:eastAsia="Courier New" w:hAnsi="Courier New"/>
          <w:sz w:val="14"/>
          <w:szCs w:val="14"/>
          <w:color w:val="auto"/>
        </w:rPr>
        <w:t>the Company is unable to determine at this time whether the consequences of Year 2000 issue failures will have a material impact on the Company's results of operations, liquidity, or financial condition.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end of fiscal 1998, the Company had an investment portfolio of fixed income securities, excluding $17,171,214 of those classified as cash and cash equivalents and variable rate securities, of $2,418,573.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June 1997, the Financial Accounting Standards Board (FASB) issued Statement of Financial Accounting Standards (SFAS) No. 130, "Reporting Comprehensive Income," which establishes standards for reporting and display of comprehensive income and its components in a full set of general purpose financial statements. Comprehensive income will include all changes in shareholders' equity except those resulting from investments by and distributions to owners. The Company will be required to adopt SFAS No. 130 in fiscal 1999. Such adoption is not expected to have a material impact on the Company.</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1997, the FASB also issued SFAS No. 131, "Disclosure about Segments of an Enterprise and Related Information." SFAS No. 131 redefines how operating segments are determined and requires disclosures of certain financial and descriptive information about a company's operating segments. The Company has not yet determined the effects SFAS No. 131 will have on the financial statements. The Company will be required to adopt SFAS No. 131 in fiscal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SFAS No. 133 is effective for fiscal years beginning after June 15, 1999, with earlier adoption encouraged. Management has not yet determined the effects SFAS No. 133 will have on its financial position or the results of its operations.</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jc w:val="right"/>
        <w:ind w:right="759"/>
        <w:spacing w:after="0"/>
        <w:tabs>
          <w:tab w:leader="none" w:pos="1280" w:val="left"/>
        </w:tabs>
        <w:rPr>
          <w:sz w:val="20"/>
          <w:szCs w:val="20"/>
          <w:color w:val="auto"/>
        </w:rPr>
      </w:pPr>
      <w:r>
        <w:rPr>
          <w:rFonts w:ascii="Courier New" w:cs="Courier New" w:eastAsia="Courier New" w:hAnsi="Courier New"/>
          <w:sz w:val="14"/>
          <w:szCs w:val="14"/>
          <w:color w:val="auto"/>
        </w:rPr>
        <w:t>September 27,</w:t>
      </w:r>
      <w:r>
        <w:rPr>
          <w:sz w:val="20"/>
          <w:szCs w:val="20"/>
          <w:color w:val="auto"/>
        </w:rPr>
        <w:tab/>
      </w:r>
      <w:r>
        <w:rPr>
          <w:rFonts w:ascii="Courier New" w:cs="Courier New" w:eastAsia="Courier New" w:hAnsi="Courier New"/>
          <w:sz w:val="14"/>
          <w:szCs w:val="14"/>
          <w:color w:val="auto"/>
        </w:rPr>
        <w:t>September 28,</w:t>
      </w:r>
    </w:p>
    <w:p>
      <w:pPr>
        <w:spacing w:after="0" w:line="7" w:lineRule="exact"/>
        <w:rPr>
          <w:sz w:val="20"/>
          <w:szCs w:val="20"/>
          <w:color w:val="auto"/>
        </w:rPr>
      </w:pPr>
    </w:p>
    <w:p>
      <w:pPr>
        <w:jc w:val="both"/>
        <w:ind w:left="7320"/>
        <w:spacing w:after="0"/>
        <w:tabs>
          <w:tab w:leader="none" w:pos="912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$ 3,197,015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$ 8,065,021</w:t>
            </w:r>
          </w:p>
        </w:tc>
      </w:tr>
      <w:tr>
        <w:trPr>
          <w:trHeight w:val="166"/>
        </w:trPr>
        <w:tc>
          <w:tcPr>
            <w:tcW w:w="6520" w:type="dxa"/>
            <w:vAlign w:val="bottom"/>
          </w:tcPr>
          <w:p>
            <w:pPr>
              <w:ind w:left="360"/>
              <w:spacing w:after="0"/>
              <w:rPr>
                <w:sz w:val="20"/>
                <w:szCs w:val="20"/>
                <w:color w:val="auto"/>
              </w:rPr>
            </w:pPr>
            <w:r>
              <w:rPr>
                <w:rFonts w:ascii="Courier New" w:cs="Courier New" w:eastAsia="Courier New" w:hAnsi="Courier New"/>
                <w:sz w:val="14"/>
                <w:szCs w:val="14"/>
                <w:color w:val="auto"/>
              </w:rPr>
              <w:t>Investments available-for-sale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14,543,929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11,980,078</w:t>
            </w:r>
          </w:p>
        </w:tc>
      </w:tr>
      <w:tr>
        <w:trPr>
          <w:trHeight w:val="166"/>
        </w:trPr>
        <w:tc>
          <w:tcPr>
            <w:tcW w:w="6520" w:type="dxa"/>
            <w:vAlign w:val="bottom"/>
          </w:tcPr>
          <w:p>
            <w:pPr>
              <w:ind w:left="360"/>
              <w:spacing w:after="0"/>
              <w:rPr>
                <w:sz w:val="20"/>
                <w:szCs w:val="20"/>
                <w:color w:val="auto"/>
              </w:rPr>
            </w:pPr>
            <w:r>
              <w:rPr>
                <w:rFonts w:ascii="Courier New" w:cs="Courier New" w:eastAsia="Courier New" w:hAnsi="Courier New"/>
                <w:sz w:val="14"/>
                <w:szCs w:val="14"/>
                <w:color w:val="auto"/>
              </w:rPr>
              <w:t>Trade receivables - less allowance for doubtful</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accounts:  1998, $378,726; 1997, $361,830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11,436,690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11,117,991</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Notes receivable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271,027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222,946</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Inventories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10,816,460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8,580,705</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Prepaid expenses and other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1,848,662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1,912,325</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assets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42,113,783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41,879,066</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Land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645,194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655,194</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Buildings and improvements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17,593,650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14,716,226</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Machinery and equipment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7,302,134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6,173,501</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Transportation equipment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5,211,745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5,051,518</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Office furniture and equipment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1,978,677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1,668,849</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32,731,400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28,265,288</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Less accumulated depreciation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14,307,911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12,777,743</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property, plant and equipment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18,423,489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15,487,545</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ind w:left="360"/>
              <w:spacing w:after="0"/>
              <w:rPr>
                <w:sz w:val="20"/>
                <w:szCs w:val="20"/>
                <w:color w:val="auto"/>
              </w:rPr>
            </w:pPr>
            <w:r>
              <w:rPr>
                <w:rFonts w:ascii="Courier New" w:cs="Courier New" w:eastAsia="Courier New" w:hAnsi="Courier New"/>
                <w:sz w:val="14"/>
                <w:szCs w:val="14"/>
                <w:color w:val="auto"/>
              </w:rPr>
              <w:t>Intangible assets - less accumulated</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amortization:  1998, $393,015; 1997, $329,917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664,199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727,297</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Investments held-to-maturity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1,848,843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1,750,658</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Notes receivable - noncurrent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3,302,923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3,639,712</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182,238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168,338</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other assets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5,998,203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6,286,005</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ASSETS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$66,535,475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$63,652,616</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5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Accounts payable - trade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$ 4,970,341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$ 5,729,584</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portion of long-term debt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89,123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59,928</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Dividends payable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1,147,090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1,044,351</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payroll and employee benefits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3,245,815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2,452,746</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Container deposits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1,503,889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1,539,585</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 accruals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664,347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2,389,123</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liabilities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11,620,605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13,215,317</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LONG-TERM DEBT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423,402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512,525</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INCOME TAXES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1,011,500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983,000</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COMMITMENTS AND CONTINGENCIES (NOTES 4, 6 AND 8)..........................</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ind w:left="360"/>
              <w:spacing w:after="0"/>
              <w:rPr>
                <w:sz w:val="20"/>
                <w:szCs w:val="20"/>
                <w:color w:val="auto"/>
              </w:rPr>
            </w:pPr>
            <w:r>
              <w:rPr>
                <w:rFonts w:ascii="Courier New" w:cs="Courier New" w:eastAsia="Courier New" w:hAnsi="Courier New"/>
                <w:sz w:val="14"/>
                <w:szCs w:val="14"/>
                <w:color w:val="auto"/>
              </w:rPr>
              <w:t>Common stock - authorized: 15,000,000 shares of $.05 par value;</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1998 - 11,450,895 shares;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520" w:type="dxa"/>
            <w:vAlign w:val="bottom"/>
          </w:tcPr>
          <w:p>
            <w:pPr>
              <w:ind w:left="520"/>
              <w:spacing w:after="0"/>
              <w:rPr>
                <w:sz w:val="20"/>
                <w:szCs w:val="20"/>
                <w:color w:val="auto"/>
              </w:rPr>
            </w:pPr>
            <w:r>
              <w:rPr>
                <w:rFonts w:ascii="Courier New" w:cs="Courier New" w:eastAsia="Courier New" w:hAnsi="Courier New"/>
                <w:sz w:val="14"/>
                <w:szCs w:val="14"/>
                <w:color w:val="auto"/>
              </w:rPr>
              <w:t>1997 - 11,603,895 shares</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572,545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580,195</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 paid-in capital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41,960,535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42,517,455</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Retained earnings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10,946,888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5,844,124</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shareholders' equity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53,479,968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48,941,774</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LIABILITIES AND SHAREHOLDERS' EQUITY ...............................</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$66,535,475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$63,652,616</w:t>
            </w:r>
          </w:p>
        </w:tc>
      </w:tr>
      <w:tr>
        <w:trPr>
          <w:trHeight w:val="166"/>
        </w:trPr>
        <w:tc>
          <w:tcPr>
            <w:tcW w:w="65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0239"/>
          </w:cols>
          <w:pgMar w:left="220" w:top="616"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For the Fiscal Years Ended</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340" w:type="dxa"/>
            <w:vAlign w:val="bottom"/>
          </w:tcPr>
          <w:p>
            <w:pPr>
              <w:spacing w:after="0"/>
              <w:rPr>
                <w:sz w:val="14"/>
                <w:szCs w:val="14"/>
                <w:color w:val="auto"/>
              </w:rPr>
            </w:pPr>
          </w:p>
        </w:tc>
        <w:tc>
          <w:tcPr>
            <w:tcW w:w="534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September 27,</w:t>
            </w:r>
          </w:p>
        </w:tc>
        <w:tc>
          <w:tcPr>
            <w:tcW w:w="25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September 28,</w:t>
            </w:r>
          </w:p>
        </w:tc>
        <w:tc>
          <w:tcPr>
            <w:tcW w:w="1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 29,</w:t>
            </w:r>
          </w:p>
        </w:tc>
      </w:tr>
      <w:tr>
        <w:trPr>
          <w:trHeight w:val="166"/>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068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$ 94,722,511</w:t>
            </w:r>
          </w:p>
        </w:tc>
        <w:tc>
          <w:tcPr>
            <w:tcW w:w="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87,745,980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80,886,062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Cost of sales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72,380,576</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66,413,954</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62,789,554</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22,341,935</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21,332,026</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18,096,508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10,170,255</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9,499,558</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8,853,319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Litigation and settlement costs relating to 1995 fire .......</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1,771,439</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Income from operations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12,171,680</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10,061,029</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9,243,189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income (deductions):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1,237,789</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1,153,322</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995,012</w:t>
            </w:r>
          </w:p>
        </w:tc>
      </w:tr>
      <w:tr>
        <w:trPr>
          <w:trHeight w:val="166"/>
        </w:trPr>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w:t>
            </w:r>
          </w:p>
        </w:tc>
        <w:tc>
          <w:tcPr>
            <w:tcW w:w="2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(43,516)</w:t>
            </w:r>
          </w:p>
        </w:tc>
        <w:tc>
          <w:tcPr>
            <w:tcW w:w="86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(47,439)</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(53,170)</w:t>
            </w:r>
          </w:p>
        </w:tc>
      </w:tr>
      <w:tr>
        <w:trPr>
          <w:trHeight w:val="166"/>
        </w:trPr>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sale of The Lynde Company .......................</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1,324,827</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83,084</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234,518</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262,020</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other income, net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1,277,357</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2,665,228</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1,203,862</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INCOME BEFORE INCOME TAXES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13,449,037</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12,726,257</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10,447,051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Provision for income taxes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5,235,168</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4,935,770</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3,970,641</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8,213,869</w:t>
            </w:r>
          </w:p>
        </w:tc>
        <w:tc>
          <w:tcPr>
            <w:tcW w:w="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7,790,487</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6,476,410</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OUTSTANDING ...............</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11,594,752</w:t>
            </w:r>
          </w:p>
        </w:tc>
        <w:tc>
          <w:tcPr>
            <w:tcW w:w="86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11,603,895</w:t>
            </w:r>
          </w:p>
        </w:tc>
        <w:tc>
          <w:tcPr>
            <w:tcW w:w="300" w:type="dxa"/>
            <w:vAlign w:val="bottom"/>
          </w:tcPr>
          <w:p>
            <w:pPr>
              <w:spacing w:after="0"/>
              <w:rPr>
                <w:sz w:val="14"/>
                <w:szCs w:val="14"/>
                <w:color w:val="auto"/>
              </w:rPr>
            </w:pP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11,603,895</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BASIC AND DILUTED EARNINGS PER SHARE ........................</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0.71</w:t>
            </w:r>
          </w:p>
        </w:tc>
        <w:tc>
          <w:tcPr>
            <w:tcW w:w="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0.67</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0.56</w:t>
            </w:r>
          </w:p>
        </w:tc>
      </w:tr>
      <w:tr>
        <w:trPr>
          <w:trHeight w:val="166"/>
        </w:trPr>
        <w:tc>
          <w:tcPr>
            <w:tcW w:w="5340" w:type="dxa"/>
            <w:vAlign w:val="bottom"/>
          </w:tcPr>
          <w:p>
            <w:pPr>
              <w:spacing w:after="0"/>
              <w:rPr>
                <w:sz w:val="14"/>
                <w:szCs w:val="14"/>
                <w:color w:val="auto"/>
              </w:rPr>
            </w:pPr>
          </w:p>
        </w:tc>
        <w:tc>
          <w:tcPr>
            <w:tcW w:w="5340" w:type="dxa"/>
            <w:vAlign w:val="bottom"/>
            <w:gridSpan w:val="6"/>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200" w:lineRule="exact"/>
        <w:rPr>
          <w:sz w:val="20"/>
          <w:szCs w:val="20"/>
          <w:color w:val="auto"/>
        </w:rPr>
      </w:pPr>
    </w:p>
    <w:p>
      <w:pPr>
        <w:spacing w:after="0" w:line="304" w:lineRule="exact"/>
        <w:rPr>
          <w:sz w:val="20"/>
          <w:szCs w:val="20"/>
          <w:color w:val="auto"/>
        </w:rPr>
      </w:pPr>
    </w:p>
    <w:p>
      <w:pPr>
        <w:ind w:left="6560"/>
        <w:spacing w:after="0"/>
        <w:tabs>
          <w:tab w:leader="none" w:pos="87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ADDITIONAL</w:t>
      </w:r>
    </w:p>
    <w:p>
      <w:pPr>
        <w:spacing w:after="0" w:line="7" w:lineRule="exact"/>
        <w:rPr>
          <w:sz w:val="20"/>
          <w:szCs w:val="20"/>
          <w:color w:val="auto"/>
        </w:rPr>
      </w:pPr>
    </w:p>
    <w:p>
      <w:pPr>
        <w:ind w:left="5960"/>
        <w:spacing w:after="0"/>
        <w:tabs>
          <w:tab w:leader="none" w:pos="8860" w:val="left"/>
          <w:tab w:leader="none" w:pos="10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r>
    </w:p>
    <w:p>
      <w:pPr>
        <w:spacing w:after="0" w:line="7" w:lineRule="exact"/>
        <w:rPr>
          <w:sz w:val="20"/>
          <w:szCs w:val="20"/>
          <w:color w:val="auto"/>
        </w:rPr>
      </w:pPr>
    </w:p>
    <w:p>
      <w:pPr>
        <w:ind w:left="6120"/>
        <w:spacing w:after="0"/>
        <w:tabs>
          <w:tab w:leader="none" w:pos="7480" w:val="left"/>
          <w:tab w:leader="none" w:pos="8860" w:val="left"/>
          <w:tab w:leader="none" w:pos="104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OCTOBER 1, 1995 ........................................</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10,525,772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526,289</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$ 34,235,623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3,356,710</w:t>
            </w:r>
          </w:p>
        </w:tc>
      </w:tr>
      <w:tr>
        <w:trPr>
          <w:trHeight w:val="166"/>
        </w:trPr>
        <w:tc>
          <w:tcPr>
            <w:tcW w:w="5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Stock dividend ................................................</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525,918</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26,296</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4,444,007</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(4,470,303)</w:t>
            </w:r>
          </w:p>
        </w:tc>
      </w:tr>
      <w:tr>
        <w:trPr>
          <w:trHeight w:val="166"/>
        </w:trPr>
        <w:tc>
          <w:tcPr>
            <w:tcW w:w="5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Cash dividend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(1,729,200)</w:t>
            </w:r>
          </w:p>
        </w:tc>
      </w:tr>
      <w:tr>
        <w:trPr>
          <w:trHeight w:val="166"/>
        </w:trPr>
        <w:tc>
          <w:tcPr>
            <w:tcW w:w="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tax savings from dividends paid on ESOP shares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149,300</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5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6,476,410</w:t>
            </w: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5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SEPTEMBER 29, 1996 .....................................</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11,051,690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552,585</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38,679,630</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3,782,917</w:t>
            </w:r>
          </w:p>
        </w:tc>
      </w:tr>
      <w:tr>
        <w:trPr>
          <w:trHeight w:val="166"/>
        </w:trPr>
        <w:tc>
          <w:tcPr>
            <w:tcW w:w="5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Stock dividend ................................................</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552,205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27,610</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3,837,825</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(3,865,435)</w:t>
            </w:r>
          </w:p>
        </w:tc>
      </w:tr>
      <w:tr>
        <w:trPr>
          <w:trHeight w:val="166"/>
        </w:trPr>
        <w:tc>
          <w:tcPr>
            <w:tcW w:w="5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Cash dividend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(2,041,623)</w:t>
            </w:r>
          </w:p>
        </w:tc>
      </w:tr>
      <w:tr>
        <w:trPr>
          <w:trHeight w:val="166"/>
        </w:trPr>
        <w:tc>
          <w:tcPr>
            <w:tcW w:w="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tax savings from dividends paid on ESOP shares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177,778</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5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7,790,487</w:t>
            </w: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5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SEPTEMBER 28, 1997 .....................................</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11,603,895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580,195</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42,517,455</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5,844,124</w:t>
            </w:r>
          </w:p>
        </w:tc>
      </w:tr>
      <w:tr>
        <w:trPr>
          <w:trHeight w:val="166"/>
        </w:trPr>
        <w:tc>
          <w:tcPr>
            <w:tcW w:w="5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Cash dividend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(2,307,479)</w:t>
            </w:r>
          </w:p>
        </w:tc>
      </w:tr>
      <w:tr>
        <w:trPr>
          <w:trHeight w:val="166"/>
        </w:trPr>
        <w:tc>
          <w:tcPr>
            <w:tcW w:w="58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Stock acquired and retired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(153,000)</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(556,920)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(1,003,726)</w:t>
            </w:r>
          </w:p>
        </w:tc>
      </w:tr>
      <w:tr>
        <w:trPr>
          <w:trHeight w:val="166"/>
        </w:trPr>
        <w:tc>
          <w:tcPr>
            <w:tcW w:w="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tax savings from dividends paid on ESOP shares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200,100</w:t>
            </w: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Net</w:t>
            </w:r>
          </w:p>
        </w:tc>
        <w:tc>
          <w:tcPr>
            <w:tcW w:w="5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8,213,869</w:t>
            </w: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5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SEPTEMBER 27, 1998 .....................................</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11,450,895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572,545</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$ 41,960,535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10,946,888</w:t>
            </w:r>
          </w:p>
        </w:tc>
      </w:tr>
      <w:tr>
        <w:trPr>
          <w:trHeight w:val="166"/>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5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1540"/>
          </w:cols>
          <w:pgMar w:left="220" w:top="616"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ind w:left="7760"/>
        <w:spacing w:after="0"/>
        <w:rPr>
          <w:sz w:val="20"/>
          <w:szCs w:val="20"/>
          <w:color w:val="auto"/>
        </w:rPr>
      </w:pPr>
      <w:r>
        <w:rPr>
          <w:rFonts w:ascii="Courier New" w:cs="Courier New" w:eastAsia="Courier New" w:hAnsi="Courier New"/>
          <w:sz w:val="14"/>
          <w:szCs w:val="14"/>
          <w:color w:val="auto"/>
        </w:rPr>
        <w:t>For the Fiscal Years Ended</w:t>
      </w: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20"/>
        <w:spacing w:after="0"/>
        <w:tabs>
          <w:tab w:leader="none" w:pos="8260" w:val="left"/>
          <w:tab w:leader="none" w:pos="9800" w:val="left"/>
        </w:tabs>
        <w:rPr>
          <w:sz w:val="20"/>
          <w:szCs w:val="20"/>
          <w:color w:val="auto"/>
        </w:rPr>
      </w:pPr>
      <w:r>
        <w:rPr>
          <w:rFonts w:ascii="Courier New" w:cs="Courier New" w:eastAsia="Courier New" w:hAnsi="Courier New"/>
          <w:sz w:val="14"/>
          <w:szCs w:val="14"/>
          <w:color w:val="auto"/>
        </w:rPr>
        <w:t>September 27,</w:t>
      </w:r>
      <w:r>
        <w:rPr>
          <w:sz w:val="20"/>
          <w:szCs w:val="20"/>
          <w:color w:val="auto"/>
        </w:rPr>
        <w:tab/>
      </w:r>
      <w:r>
        <w:rPr>
          <w:rFonts w:ascii="Courier New" w:cs="Courier New" w:eastAsia="Courier New" w:hAnsi="Courier New"/>
          <w:sz w:val="14"/>
          <w:szCs w:val="14"/>
          <w:color w:val="auto"/>
        </w:rPr>
        <w:t>September 28,</w:t>
      </w:r>
      <w:r>
        <w:rPr>
          <w:sz w:val="20"/>
          <w:szCs w:val="20"/>
          <w:color w:val="auto"/>
        </w:rPr>
        <w:tab/>
      </w:r>
      <w:r>
        <w:rPr>
          <w:rFonts w:ascii="Courier New" w:cs="Courier New" w:eastAsia="Courier New" w:hAnsi="Courier New"/>
          <w:sz w:val="14"/>
          <w:szCs w:val="14"/>
          <w:color w:val="auto"/>
        </w:rPr>
        <w:t>September 29,</w:t>
      </w:r>
    </w:p>
    <w:p>
      <w:pPr>
        <w:spacing w:after="0" w:line="7" w:lineRule="exact"/>
        <w:rPr>
          <w:sz w:val="20"/>
          <w:szCs w:val="20"/>
          <w:color w:val="auto"/>
        </w:rPr>
      </w:pPr>
    </w:p>
    <w:p>
      <w:pPr>
        <w:ind w:left="7580"/>
        <w:spacing w:after="0"/>
        <w:tabs>
          <w:tab w:leader="none" w:pos="9040" w:val="left"/>
          <w:tab w:leader="none" w:pos="105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20"/>
                <w:szCs w:val="20"/>
                <w:color w:val="auto"/>
              </w:rPr>
            </w:pPr>
            <w:r>
              <w:rPr>
                <w:rFonts w:ascii="Courier New" w:cs="Courier New" w:eastAsia="Courier New" w:hAnsi="Courier New"/>
                <w:sz w:val="14"/>
                <w:szCs w:val="14"/>
                <w:color w:val="auto"/>
              </w:rPr>
              <w:t>CASH FLOWS FORM OPERATING ACTIVITIES: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8,213,869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7,790,487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6,476,410</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sale of The Lynde Company .......................................</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(1,324,827)</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Litigation and settlement costs relating to 1995 fire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(1,083,866)</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1,175,286</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Reconciliation to cash flows: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1,993,112</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1,686,622</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1,477,228</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750,894</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(307,800)</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230,511</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on other assets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(112,084)</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(91,076)</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(81,093)</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(gain) from property disposals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20,992</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(110,807)</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(160,212)</w:t>
            </w:r>
          </w:p>
        </w:tc>
      </w:tr>
      <w:tr>
        <w:trPr>
          <w:trHeight w:val="166"/>
        </w:trPr>
        <w:tc>
          <w:tcPr>
            <w:tcW w:w="67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Changes in operating accounts (requiring) providing cash:</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Trade receivables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(318,699)</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(1,377,706)</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771,975</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(2,235,755)</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(1,221,750)</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79,925</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(759,243)</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(979,850)</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(1,981,770)</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liabilities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116,463</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383,058</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(262,185)</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(458,631)</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53,627</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690,994</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6,127,052</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5,675,264</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7,241,783</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CASH FLOWS FORM INVESTING ACTIVITIES: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Additions to property, plant and equipment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(5,051,641)</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(4,017,543)</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(4,299,071)</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investments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(2,563,852)</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(1,475,475)</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(3,183,787)</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of investments .....................................................</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647,945</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property disposals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164,691</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191,946</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198,069</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received on sale of assets and business of The Lynde Company .......</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500,000</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received on notes receivable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288,708</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196,120</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55,293</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(7,162,094)</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(4,604,952)</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(6,581,551)</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 repayment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(59,928)</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(56,008)</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(52,344)</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 paid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(2,204,740)</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(1,881,408)</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(1,581,870)</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and retirement of stock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(1,568,296)</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financing activities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(3,832,964)</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(1,937,416)</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(1,634,214)</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decrease in cash and cash equivalents ...................................</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(4,868,006)</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(867,104)</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(973,982)</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2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8,065,021</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8,932,125</w:t>
            </w:r>
          </w:p>
        </w:tc>
        <w:tc>
          <w:tcPr>
            <w:tcW w:w="3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9,906,107</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END OF YEAR ....................................</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3,197,015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8,065,021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8,932,125</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 receivable on sale of land and building ............................</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1,100,000</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 receivable on sale of The Lynde Company ............................</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2,090,083</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360"/>
              <w:spacing w:after="0"/>
              <w:rPr>
                <w:sz w:val="20"/>
                <w:szCs w:val="20"/>
                <w:color w:val="auto"/>
              </w:rPr>
            </w:pPr>
            <w:r>
              <w:rPr>
                <w:rFonts w:ascii="Courier New" w:cs="Courier New" w:eastAsia="Courier New" w:hAnsi="Courier New"/>
                <w:sz w:val="14"/>
                <w:szCs w:val="14"/>
                <w:color w:val="auto"/>
              </w:rPr>
              <w:t>Cash paid during the year for:</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56,834</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5,739,297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4,334,567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3,942,596</w:t>
            </w:r>
          </w:p>
        </w:tc>
      </w:tr>
      <w:tr>
        <w:trPr>
          <w:trHeight w:val="166"/>
        </w:trPr>
        <w:tc>
          <w:tcPr>
            <w:tcW w:w="6720" w:type="dxa"/>
            <w:vAlign w:val="bottom"/>
          </w:tcPr>
          <w:p>
            <w:pPr>
              <w:spacing w:after="0"/>
              <w:rPr>
                <w:sz w:val="14"/>
                <w:szCs w:val="14"/>
                <w:color w:val="auto"/>
              </w:rPr>
            </w:pPr>
          </w:p>
        </w:tc>
        <w:tc>
          <w:tcPr>
            <w:tcW w:w="422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ectPr>
          <w:pgSz w:w="11900" w:h="16838" w:orient="portrait"/>
          <w:cols w:equalWidth="0" w:num="1">
            <w:col w:w="11120"/>
          </w:cols>
          <w:pgMar w:left="220" w:top="616" w:right="55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AND SIGNIFICANT ACCOUNTING POLICIES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w:t>
      </w:r>
    </w:p>
    <w:p>
      <w:pPr>
        <w:spacing w:after="0" w:line="7" w:lineRule="exact"/>
        <w:rPr>
          <w:rFonts w:ascii="Courier New" w:cs="Courier New" w:eastAsia="Courier New" w:hAnsi="Courier New"/>
          <w:sz w:val="14"/>
          <w:szCs w:val="14"/>
          <w:color w:val="auto"/>
        </w:rPr>
      </w:pPr>
    </w:p>
    <w:p>
      <w:pPr>
        <w:ind w:left="44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Hawkins Chemical, Inc. and its wholly owned subsidiary, Hawkins Water Treatment Group, Inc., are engaged in the wholesale trade of chemicals and chemical feeding and control equipment and the formulating and blending of specialty chemicals.</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CONSOLIDATION</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include the consolidated accounts of Hawkins Chemical, Inc. and its wholly owned subsidiary (the Company). All significant inter-company transactions and balances have been eliminated. The Company's fiscal year is a 52/53-week year ending on the Sunday closest to September 30.</w:t>
      </w:r>
    </w:p>
    <w:p>
      <w:pPr>
        <w:spacing w:after="0" w:line="16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EQUIVALENTS</w:t>
      </w:r>
    </w:p>
    <w:p>
      <w:pPr>
        <w:spacing w:after="0" w:line="7" w:lineRule="exact"/>
        <w:rPr>
          <w:rFonts w:ascii="Courier New" w:cs="Courier New" w:eastAsia="Courier New" w:hAnsi="Courier New"/>
          <w:sz w:val="14"/>
          <w:szCs w:val="14"/>
          <w:color w:val="auto"/>
        </w:rPr>
      </w:pPr>
    </w:p>
    <w:p>
      <w:pPr>
        <w:ind w:left="44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equivalents include all liquid debt instruments (primarily cash funds and certificates of deposit) purchased with an original maturity of three months or less. Cash equivalents are carried at cost, which approximates market value.</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AVAILABLE-FOR-SALE</w:t>
      </w:r>
    </w:p>
    <w:p>
      <w:pPr>
        <w:spacing w:after="0" w:line="7" w:lineRule="exact"/>
        <w:rPr>
          <w:rFonts w:ascii="Courier New" w:cs="Courier New" w:eastAsia="Courier New" w:hAnsi="Courier New"/>
          <w:sz w:val="14"/>
          <w:szCs w:val="14"/>
          <w:color w:val="auto"/>
        </w:rPr>
      </w:pPr>
    </w:p>
    <w:p>
      <w:pPr>
        <w:ind w:left="440" w:right="36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w:t>
      </w:r>
    </w:p>
    <w:p>
      <w:pPr>
        <w:spacing w:after="0" w:line="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7" w:lineRule="exact"/>
        <w:rPr>
          <w:rFonts w:ascii="Courier New" w:cs="Courier New" w:eastAsia="Courier New" w:hAnsi="Courier New"/>
          <w:sz w:val="14"/>
          <w:szCs w:val="14"/>
          <w:color w:val="auto"/>
        </w:rPr>
      </w:pPr>
    </w:p>
    <w:p>
      <w:pPr>
        <w:ind w:left="44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consisting primarily of finished goods, are primarily valued at the lower of cost or net realizable value, with cost being determined using the last-in, first-out (LIFO) method. One division values its inventory using the first-in, first-out (FIFO) cost method (See Note 2).</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rFonts w:ascii="Courier New" w:cs="Courier New" w:eastAsia="Courier New" w:hAnsi="Courier New"/>
          <w:sz w:val="14"/>
          <w:szCs w:val="14"/>
          <w:color w:val="auto"/>
        </w:rPr>
      </w:pPr>
    </w:p>
    <w:p>
      <w:pPr>
        <w:ind w:left="44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is stated at cost and depreciated over the lives of the assets using both straight-line and declining-balance methods. Estimated lives are: 10 to 50 years for buildings and improvements; 3 to 15 years for machinery and equipment; 3 to 10 years for transportation equipment; and 3 to 10 years for office furniture and equipment.</w:t>
      </w:r>
    </w:p>
    <w:p>
      <w:pPr>
        <w:spacing w:after="0" w:line="16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INTANGIBLES</w:t>
      </w:r>
    </w:p>
    <w:p>
      <w:pPr>
        <w:spacing w:after="0" w:line="7" w:lineRule="exact"/>
        <w:rPr>
          <w:rFonts w:ascii="Courier New" w:cs="Courier New" w:eastAsia="Courier New" w:hAnsi="Courier New"/>
          <w:sz w:val="14"/>
          <w:szCs w:val="14"/>
          <w:color w:val="auto"/>
        </w:rPr>
      </w:pP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the purchase price and related costs over the fair value of the net assets acquired is being amortized over 15 or 40 years.</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HELD-TO-MATURITY</w:t>
      </w:r>
    </w:p>
    <w:p>
      <w:pPr>
        <w:spacing w:after="0" w:line="7" w:lineRule="exact"/>
        <w:rPr>
          <w:rFonts w:ascii="Courier New" w:cs="Courier New" w:eastAsia="Courier New" w:hAnsi="Courier New"/>
          <w:sz w:val="14"/>
          <w:szCs w:val="14"/>
          <w:color w:val="auto"/>
        </w:rPr>
      </w:pPr>
    </w:p>
    <w:p>
      <w:pPr>
        <w:ind w:left="44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Held-to-maturity securities consist of Minnesota municipal bonds which the Company has the intent and ability to hold to maturity, and are valued at amortized historical cost, increased for accretion of discounts and reduced by amortization of premiums, computed by the constant-yield method.</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RECOVERABILITY OF LONG-LIVED ASSETS</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reviews its long-lived assets whenever events or changes in circumstances indicate the 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utilizes Statement of Financial Accounting Standard (SFAS) No. 109, "Accounting for Income Taxes." Under SFAS No. 109, the deferred tax assets and liabilities are recognized based on differences between the financial statements and the tax bases of assets and liabilities using presently enacted tax rates.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recognizes revenues upon shipment of the product.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December 15, 1997, the Company adopted Statement of Financial Accounting Standard (SFAS) No. 128, "Earnings Per Share." Per share amounts for the fiscal years ended September 28, 1997 and September 29, 1996 have been restated for the adoption of SFAS No. 128. The per share amounts reported under SFAS No. 128 are not materially different than those calculated and presented under Accounting Principles Board Opinion No. 15. Basic and diluted earnings per share are computed by dividing net income by the weighted average number of common shares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 OF CREDIT RISK</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Financial instruments which potentially subject the Company to a concentration of credit risk principally consist of cash, 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certificates of deposit at a single financial institution. At September 27, 1998, the Company had certificates of deposit in excess of federally insured limits of approximately $3,100,000.</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end of fiscal 1998, the Company had an investment portfolio of fixed income securities, excluding $17,171,214 of those classified as cash and cash equivalents and variable rate securities, of $2,418,573.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AND UNCERTAINTIES</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There are no concentrations of business transacted with a particular customer or supplier nor concentrations of revenue from a particular service or geographic area that would severely impact the Company in the near term.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1997, the Financial Accounting Standards Board (FASB) issued SFAS No. 130, "Reporting Comprehensive Income," which establishes standards for reporting and display of comprehensive income and its components in a full set of general purpose financial statements. Comprehensive income will include all changes in shareholders' equity except those resulting from investments by and distributions to owners. The Company will be required to adopt SFAS No. 130 in fiscal 1999. Such adoption is not expected to have a material impact on the Company.</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June 1997, the FASB also issued SFAS No. 131, "Disclosure about Segments of an Enterprise and Related Information." SFAS No. 131 redefines how operating segments are determined and requires disclosures of certain financial and descriptive information about a company's operating segments.</w:t>
      </w:r>
    </w:p>
    <w:p>
      <w:pPr>
        <w:sectPr>
          <w:pgSz w:w="11900" w:h="16838" w:orient="portrait"/>
          <w:cols w:equalWidth="0" w:num="1">
            <w:col w:w="9799"/>
          </w:cols>
          <w:pgMar w:left="660" w:top="616" w:right="1440" w:bottom="1440" w:gutter="0" w:footer="0" w:header="0"/>
        </w:sectPr>
      </w:pPr>
    </w:p>
    <w:bookmarkStart w:id="26" w:name="page27"/>
    <w:bookmarkEnd w:id="26"/>
    <w:p>
      <w:pPr>
        <w:jc w:val="both"/>
        <w:ind w:left="440" w:right="3599"/>
        <w:spacing w:after="0" w:line="252" w:lineRule="auto"/>
        <w:rPr>
          <w:sz w:val="20"/>
          <w:szCs w:val="20"/>
          <w:color w:val="auto"/>
        </w:rPr>
      </w:pPr>
      <w:r>
        <w:rPr>
          <w:rFonts w:ascii="Courier New" w:cs="Courier New" w:eastAsia="Courier New" w:hAnsi="Courier New"/>
          <w:sz w:val="14"/>
          <w:szCs w:val="14"/>
          <w:color w:val="auto"/>
        </w:rPr>
        <w:t>The Company has not yet determined the effects SFAS No. 131 will have on the financial statements. The Company will be required to adopt SFAS No. 131 in fiscal 1999.</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SFAS No. 133 requires companies to record derivatives on the balance sheet as assets and liabilities, measured at fair value. Gains or losses resulting from changes I the values of those derivatives would be accounted for depending on the use of the derivative and whether it qualifies for hedge accounting. SFAS No. 133 is effective for fiscal years beginning after June 15, 1999, with earlier adoption encouraged. Management has not yet determined the effects SFAS No. 133 will have on its financial position or the results of its operations.</w:t>
      </w:r>
    </w:p>
    <w:p>
      <w:pPr>
        <w:spacing w:after="0" w:line="329"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338" w:lineRule="exact"/>
        <w:rPr>
          <w:sz w:val="20"/>
          <w:szCs w:val="20"/>
          <w:color w:val="auto"/>
        </w:rPr>
      </w:pPr>
    </w:p>
    <w:p>
      <w:pPr>
        <w:jc w:val="right"/>
        <w:ind w:right="4019"/>
        <w:spacing w:after="0"/>
        <w:tabs>
          <w:tab w:leader="none" w:pos="1780" w:val="left"/>
        </w:tabs>
        <w:rPr>
          <w:sz w:val="20"/>
          <w:szCs w:val="20"/>
          <w:color w:val="auto"/>
        </w:rPr>
      </w:pPr>
      <w:r>
        <w:rPr>
          <w:rFonts w:ascii="Courier New" w:cs="Courier New" w:eastAsia="Courier New" w:hAnsi="Courier New"/>
          <w:sz w:val="14"/>
          <w:szCs w:val="14"/>
          <w:color w:val="auto"/>
        </w:rPr>
        <w:t>September 27,</w:t>
      </w:r>
      <w:r>
        <w:rPr>
          <w:sz w:val="20"/>
          <w:szCs w:val="20"/>
          <w:color w:val="auto"/>
        </w:rPr>
        <w:tab/>
      </w:r>
      <w:r>
        <w:rPr>
          <w:rFonts w:ascii="Courier New" w:cs="Courier New" w:eastAsia="Courier New" w:hAnsi="Courier New"/>
          <w:sz w:val="14"/>
          <w:szCs w:val="14"/>
          <w:color w:val="auto"/>
        </w:rPr>
        <w:t>September 28,</w:t>
      </w:r>
    </w:p>
    <w:p>
      <w:pPr>
        <w:spacing w:after="0" w:line="7" w:lineRule="exact"/>
        <w:rPr>
          <w:sz w:val="20"/>
          <w:szCs w:val="20"/>
          <w:color w:val="auto"/>
        </w:rPr>
      </w:pPr>
    </w:p>
    <w:p>
      <w:pPr>
        <w:jc w:val="both"/>
        <w:ind w:left="4220"/>
        <w:spacing w:after="0"/>
        <w:tabs>
          <w:tab w:leader="none" w:pos="58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Finished goods (FIFO basis)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12,841,114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9,025,817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LIFO reserve .......................</w:t>
            </w:r>
          </w:p>
        </w:tc>
        <w:tc>
          <w:tcPr>
            <w:tcW w:w="38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(2,024,654)</w:t>
            </w: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(445,112)</w:t>
            </w:r>
          </w:p>
        </w:tc>
      </w:tr>
      <w:tr>
        <w:trPr>
          <w:trHeight w:val="166"/>
        </w:trPr>
        <w:tc>
          <w:tcPr>
            <w:tcW w:w="328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inventory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10,816,460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8,580,705</w:t>
            </w:r>
          </w:p>
        </w:tc>
      </w:tr>
      <w:tr>
        <w:trPr>
          <w:trHeight w:val="166"/>
        </w:trPr>
        <w:tc>
          <w:tcPr>
            <w:tcW w:w="328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Inventories valued under the LIFO method for the fiscal years ended September 27, 1998 and September 28, 1997, were approximately $12,238,000 and $7,796,000, respectively. The balance of the inventory was valued under the FIFO method.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fiscal 1998, the LIFO reserve increased by $1,579,542. As a result, the ending LIFO cost was less than the ending cost determined using the first-in, first-out (FIFO) method by $2,024,654. The increase in the LIFO reserve was caused by a significant increase in the cost of a single, large-volume component of inventory.</w:t>
      </w:r>
    </w:p>
    <w:p>
      <w:pPr>
        <w:spacing w:after="0" w:line="328"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RECEIVABLE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September 27, 1998 and September 28, 1997, the net balance outstanding on the note receivable from the sale of Tessman Seed was $615,091 and $733,432, respectively. On March 1, 1996, the balance of the note receivable was refinanced at the request of the borrower. The note receivable is due in equal installments of $146,466 with interest at 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1996, the Company sold a building and realized a gain of approximately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$142,000 on the sale. The Company received a $1,100,000 note receivable and cash of $108,188 at the time of the sale. The note receivable is secured by the building and is due in monthly installments of $9,201 including interest at 8% through January 1, 2004, when the remaining balance of $849,985 is due. At September 27, 1998 and September 28, 1997, the balance outstanding was $1,033,629 and $1,060,186,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1997, the Company sold the inventory and operations of The Lynde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(Lynde), a wholly owned subsidiary which specialized in swimming pool chemicals,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approximately $2,590,000. The Company recorded a gain on the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$1,324,827. At closing, the Company received $500,000 cash and a note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balance. The note receivable requires principal payments through March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plus interest at 8%. At September 27, 1998 and September 28, 1997,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outstanding on the note receivable was $1,925,230 and $2,069,040,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Revenues from Lynde for the fiscal years ended September 28,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September 29, 1996 were $725,500 and $3,413,200, respectively. Lynde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a net loss in 1997 of $19,600 through the effective date of the sale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net income for the year ended September 29, 1996 of $195,300.</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LONG-TERM DEBT</w:t>
      </w:r>
    </w:p>
    <w:p>
      <w:pPr>
        <w:sectPr>
          <w:pgSz w:w="11900" w:h="16838" w:orient="portrait"/>
          <w:cols w:equalWidth="0" w:num="1">
            <w:col w:w="10239"/>
          </w:cols>
          <w:pgMar w:left="220" w:top="616" w:right="1440" w:bottom="1440" w:gutter="0" w:footer="0" w:header="0"/>
        </w:sectPr>
      </w:pPr>
    </w:p>
    <w:bookmarkStart w:id="27" w:name="page28"/>
    <w:bookmarkEnd w:id="27"/>
    <w:p>
      <w:pPr>
        <w:ind w:right="3679"/>
        <w:spacing w:after="0" w:line="255" w:lineRule="auto"/>
        <w:rPr>
          <w:sz w:val="20"/>
          <w:szCs w:val="20"/>
          <w:color w:val="auto"/>
        </w:rPr>
      </w:pPr>
      <w:r>
        <w:rPr>
          <w:rFonts w:ascii="Courier New" w:cs="Courier New" w:eastAsia="Courier New" w:hAnsi="Courier New"/>
          <w:sz w:val="14"/>
          <w:szCs w:val="14"/>
          <w:color w:val="auto"/>
        </w:rPr>
        <w:t>Long-term debt at September 27, 1998 and September 28, 1997 is summarized as follows:</w:t>
      </w:r>
    </w:p>
    <w:p>
      <w:pPr>
        <w:spacing w:after="0" w:line="200" w:lineRule="exact"/>
        <w:rPr>
          <w:sz w:val="20"/>
          <w:szCs w:val="20"/>
          <w:color w:val="auto"/>
        </w:rPr>
      </w:pPr>
    </w:p>
    <w:p>
      <w:pPr>
        <w:spacing w:after="0" w:line="291" w:lineRule="exact"/>
        <w:rPr>
          <w:sz w:val="20"/>
          <w:szCs w:val="20"/>
          <w:color w:val="auto"/>
        </w:rPr>
      </w:pPr>
    </w:p>
    <w:p>
      <w:pPr>
        <w:ind w:left="3720"/>
        <w:spacing w:after="0"/>
        <w:tabs>
          <w:tab w:leader="none" w:pos="490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payable, due in annual</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installments to 2002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512,525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572,453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27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portion ..............</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89,123</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59,928</w:t>
            </w:r>
          </w:p>
        </w:tc>
      </w:tr>
      <w:tr>
        <w:trPr>
          <w:trHeight w:val="166"/>
        </w:trPr>
        <w:tc>
          <w:tcPr>
            <w:tcW w:w="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Total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423,402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512,525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4"/>
          <w:szCs w:val="14"/>
          <w:color w:val="auto"/>
        </w:rPr>
        <w:t>Long-term debt maturities for the five fiscal years subsequent to 1998 are: 1999 - - $89,123, 2000 - $95,362, 2001 - $102,037, 2002 - $109,180 and 2003 - $116,823.</w:t>
      </w:r>
    </w:p>
    <w:p>
      <w:pPr>
        <w:spacing w:after="0" w:line="160"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stock dividends in 1997 and 1996 were accounted for by transferring the fair value of the issued stock from retained earnings to the categories of permanent capitalization as common stock (par value) and additional paid-in capital. During 1998, the Company acquired and retired 153,000 shares of common stock for $1,568,296.</w:t>
      </w:r>
    </w:p>
    <w:p>
      <w:pPr>
        <w:spacing w:after="0" w:line="165"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various operating leases for land and buildings on which some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operations are located. Total rental expense for the years ended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1998, September 28, 1997 and September 29, 1996 was $47,612, $46,003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$60,955, respectively. Future minimum lease payments due under operating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an initial term of one year or more at September 27, 1998 are $8,596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73" w:lineRule="exact"/>
        <w:rPr>
          <w:sz w:val="20"/>
          <w:szCs w:val="20"/>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EMPLOYEE STOCK OWNERSHIP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 defined contribution pension plan covering substantially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its non-union employees. Pension expense for the years ended September 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September 28, 1997 and September 29, 1996 was $545,650, $459,367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$425,398, respectively. The Company's cost for the pension plan is determined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of each employee's covered compensation. Amounts charged to pension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contributed to union multi-employer pension plans (not included in the above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were not material. It is the Company's policy to fund all pension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an employee stock ownership plan covering substantially all of its non-union employees. Contributions are made at the discretion of the Board of Directors subject to a maximum amount allowed under the Internal Revenue Code. Contributions for the years ended September 27, 1998, September 28, 1997 and September 29, 1996 were $984,455, $889,979 and $824,955, respectively. The Company does not currently offer any post-retirement benefits, deferred stock or stock-based compensation plans.</w:t>
      </w:r>
    </w:p>
    <w:p>
      <w:pPr>
        <w:spacing w:after="0" w:line="164" w:lineRule="exact"/>
        <w:rPr>
          <w:sz w:val="20"/>
          <w:szCs w:val="20"/>
          <w:color w:val="auto"/>
        </w:rPr>
      </w:pP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1995, the Company had a fire in the office/warehouse of The Lynde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 former wholly owned subsidiary. Charges of $1,771,439 in 1997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$750,000 in 1995 were recorded to cover legal fees and settlement costs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Company's defense of a lawsuit filed against it as a result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fire. As of September 27, 1998, the Company has paid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$2,728,000 in settlement and legal costs. Most of the claimants have now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under a settlement agreement and the Company believes those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will be covered by the Company's umbrella insurer as to the cost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defense and claims payment. The Company's insurer denied coverage and refused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defend the lawsuit. At September 27, 1998 the Company was in litigation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insurers to recover the legal and settlement costs (see Note 10).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the Company is involved in various legal actions arising from the normal course of business. Management is of the opinion that any judgement or settlement resulting from pending or threatened litigation would not have a material adverse effect on the financial position, results of operations or cash flows of the Company.</w:t>
      </w:r>
    </w:p>
    <w:p>
      <w:pPr>
        <w:sectPr>
          <w:pgSz w:w="11900" w:h="16838" w:orient="portrait"/>
          <w:cols w:equalWidth="0" w:num="1">
            <w:col w:w="10239"/>
          </w:cols>
          <w:pgMar w:left="220" w:top="616" w:right="1440" w:bottom="1440" w:gutter="0" w:footer="0" w:header="0"/>
        </w:sectPr>
      </w:pPr>
    </w:p>
    <w:bookmarkStart w:id="28" w:name="page29"/>
    <w:bookmarkEnd w:id="28"/>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(benefits) for income taxes are as follows:</w:t>
      </w:r>
    </w:p>
    <w:p>
      <w:pPr>
        <w:spacing w:after="0" w:line="200" w:lineRule="exact"/>
        <w:rPr>
          <w:sz w:val="20"/>
          <w:szCs w:val="20"/>
          <w:color w:val="auto"/>
        </w:rPr>
      </w:pPr>
    </w:p>
    <w:p>
      <w:pPr>
        <w:spacing w:after="0" w:line="304" w:lineRule="exact"/>
        <w:rPr>
          <w:sz w:val="20"/>
          <w:szCs w:val="20"/>
          <w:color w:val="auto"/>
        </w:rPr>
      </w:pPr>
    </w:p>
    <w:p>
      <w:pPr>
        <w:ind w:left="4320"/>
        <w:spacing w:after="0"/>
        <w:tabs>
          <w:tab w:leader="none" w:pos="5500" w:val="left"/>
          <w:tab w:leader="none" w:pos="680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Federal - current</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$3,316,868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$4,143,883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$3,011,755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States - current</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1,167,300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1,099,687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799,010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751,000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(307,800)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159,876</w:t>
            </w:r>
          </w:p>
        </w:tc>
      </w:tr>
      <w:tr>
        <w:trPr>
          <w:trHeight w:val="166"/>
        </w:trPr>
        <w:tc>
          <w:tcPr>
            <w:tcW w:w="2600" w:type="dxa"/>
            <w:vAlign w:val="bottom"/>
          </w:tcPr>
          <w:p>
            <w:pPr>
              <w:spacing w:after="0"/>
              <w:rPr>
                <w:sz w:val="14"/>
                <w:szCs w:val="14"/>
                <w:color w:val="auto"/>
              </w:rPr>
            </w:pPr>
          </w:p>
        </w:tc>
        <w:tc>
          <w:tcPr>
            <w:tcW w:w="46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2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$5,235,168</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$4,935,770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$3,970,641</w:t>
            </w:r>
          </w:p>
        </w:tc>
      </w:tr>
      <w:tr>
        <w:trPr>
          <w:trHeight w:val="166"/>
        </w:trPr>
        <w:tc>
          <w:tcPr>
            <w:tcW w:w="2600" w:type="dxa"/>
            <w:vAlign w:val="bottom"/>
          </w:tcPr>
          <w:p>
            <w:pPr>
              <w:spacing w:after="0"/>
              <w:rPr>
                <w:sz w:val="14"/>
                <w:szCs w:val="14"/>
                <w:color w:val="auto"/>
              </w:rPr>
            </w:pPr>
          </w:p>
        </w:tc>
        <w:tc>
          <w:tcPr>
            <w:tcW w:w="46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 reconciliation of the provision for income taxes, based on income from continuing operations, to the applicable federal statutory income tax rate of 35% is as follows:</w:t>
      </w:r>
    </w:p>
    <w:p>
      <w:pPr>
        <w:spacing w:after="0" w:line="200" w:lineRule="exact"/>
        <w:rPr>
          <w:sz w:val="20"/>
          <w:szCs w:val="20"/>
          <w:color w:val="auto"/>
        </w:rPr>
      </w:pPr>
    </w:p>
    <w:p>
      <w:pPr>
        <w:spacing w:after="0" w:line="294" w:lineRule="exact"/>
        <w:rPr>
          <w:sz w:val="20"/>
          <w:szCs w:val="20"/>
          <w:color w:val="auto"/>
        </w:rPr>
      </w:pPr>
    </w:p>
    <w:p>
      <w:pPr>
        <w:ind w:left="4320"/>
        <w:spacing w:after="0"/>
        <w:tabs>
          <w:tab w:leader="none" w:pos="5580" w:val="left"/>
          <w:tab w:leader="none" w:pos="680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Statutory federal income tax</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$ 4,707,163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4,454,190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3,656,468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deduction</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770,418</w:t>
            </w:r>
          </w:p>
        </w:tc>
        <w:tc>
          <w:tcPr>
            <w:tcW w:w="2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687,454</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549,531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Tax-exempt income</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(122,876)</w:t>
            </w:r>
          </w:p>
        </w:tc>
        <w:tc>
          <w:tcPr>
            <w:tcW w:w="2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(108,856)</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(97,325)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(119,537)</w:t>
            </w:r>
          </w:p>
        </w:tc>
        <w:tc>
          <w:tcPr>
            <w:tcW w:w="2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(97,018)</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(138,033)</w:t>
            </w:r>
          </w:p>
        </w:tc>
      </w:tr>
      <w:tr>
        <w:trPr>
          <w:trHeight w:val="166"/>
        </w:trPr>
        <w:tc>
          <w:tcPr>
            <w:tcW w:w="3320" w:type="dxa"/>
            <w:vAlign w:val="bottom"/>
          </w:tcPr>
          <w:p>
            <w:pPr>
              <w:spacing w:after="0"/>
              <w:rPr>
                <w:sz w:val="14"/>
                <w:szCs w:val="14"/>
                <w:color w:val="auto"/>
              </w:rPr>
            </w:pPr>
          </w:p>
        </w:tc>
        <w:tc>
          <w:tcPr>
            <w:tcW w:w="39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$ 5,235,168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4,935,770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3,970,641</w:t>
            </w:r>
          </w:p>
        </w:tc>
      </w:tr>
      <w:tr>
        <w:trPr>
          <w:trHeight w:val="166"/>
        </w:trPr>
        <w:tc>
          <w:tcPr>
            <w:tcW w:w="3320" w:type="dxa"/>
            <w:vAlign w:val="bottom"/>
          </w:tcPr>
          <w:p>
            <w:pPr>
              <w:spacing w:after="0"/>
              <w:rPr>
                <w:sz w:val="14"/>
                <w:szCs w:val="14"/>
                <w:color w:val="auto"/>
              </w:rPr>
            </w:pPr>
          </w:p>
        </w:tc>
        <w:tc>
          <w:tcPr>
            <w:tcW w:w="39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tax effects of items comprising the Company's net deferred tax asset (liability) are as follows:</w:t>
      </w:r>
    </w:p>
    <w:p>
      <w:pPr>
        <w:spacing w:after="0" w:line="200" w:lineRule="exact"/>
        <w:rPr>
          <w:sz w:val="20"/>
          <w:szCs w:val="20"/>
          <w:color w:val="auto"/>
        </w:rPr>
      </w:pPr>
    </w:p>
    <w:p>
      <w:pPr>
        <w:spacing w:after="0" w:line="291" w:lineRule="exact"/>
        <w:rPr>
          <w:sz w:val="20"/>
          <w:szCs w:val="20"/>
          <w:color w:val="auto"/>
        </w:rPr>
      </w:pPr>
    </w:p>
    <w:p>
      <w:pPr>
        <w:ind w:left="4320"/>
        <w:spacing w:after="0"/>
        <w:tabs>
          <w:tab w:leader="none" w:pos="56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 deferred taxes: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Trade receivables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154,000</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Inventory</w:t>
            </w:r>
          </w:p>
        </w:tc>
        <w:tc>
          <w:tcPr>
            <w:tcW w:w="8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411,000</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750,000</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Accruals</w:t>
            </w:r>
          </w:p>
        </w:tc>
        <w:tc>
          <w:tcPr>
            <w:tcW w:w="8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164,500</w:t>
            </w:r>
          </w:p>
        </w:tc>
        <w:tc>
          <w:tcPr>
            <w:tcW w:w="3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544,000</w:t>
            </w:r>
          </w:p>
        </w:tc>
      </w:tr>
      <w:tr>
        <w:trPr>
          <w:trHeight w:val="166"/>
        </w:trPr>
        <w:tc>
          <w:tcPr>
            <w:tcW w:w="3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1,448,000</w:t>
            </w:r>
          </w:p>
        </w:tc>
      </w:tr>
      <w:tr>
        <w:trPr>
          <w:trHeight w:val="166"/>
        </w:trPr>
        <w:tc>
          <w:tcPr>
            <w:tcW w:w="3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Noncurrent deferred taxes: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The Lynde Company</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(456,000)</w:t>
            </w: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Property basis difference</w:t>
            </w:r>
          </w:p>
        </w:tc>
        <w:tc>
          <w:tcPr>
            <w:tcW w:w="8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(612,000)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(527,000)</w:t>
            </w:r>
          </w:p>
        </w:tc>
      </w:tr>
      <w:tr>
        <w:trPr>
          <w:trHeight w:val="166"/>
        </w:trPr>
        <w:tc>
          <w:tcPr>
            <w:tcW w:w="3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$(1,011,500)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(983,000)</w:t>
            </w:r>
          </w:p>
        </w:tc>
      </w:tr>
      <w:tr>
        <w:trPr>
          <w:trHeight w:val="166"/>
        </w:trPr>
        <w:tc>
          <w:tcPr>
            <w:tcW w:w="3020" w:type="dxa"/>
            <w:vAlign w:val="bottom"/>
          </w:tcPr>
          <w:p>
            <w:pPr>
              <w:spacing w:after="0"/>
              <w:rPr>
                <w:sz w:val="14"/>
                <w:szCs w:val="14"/>
                <w:color w:val="auto"/>
              </w:rPr>
            </w:pPr>
          </w:p>
        </w:tc>
        <w:tc>
          <w:tcPr>
            <w:tcW w:w="3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prepaid expenses and other on the consolidated balance sheets.</w:t>
      </w:r>
    </w:p>
    <w:p>
      <w:pPr>
        <w:spacing w:after="0" w:line="173" w:lineRule="exact"/>
        <w:rPr>
          <w:sz w:val="20"/>
          <w:szCs w:val="20"/>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Subsequent to the end of fiscal 1998, the Company has prevailed against its insurers in connection with the 1995 warehouse fire at The Lynde Company, a former wholly owned subsidiary. The Company has received payment of $2,728,000, which covers substantially all of its settlement and legal costs from 1995 through September 27, 1998. The Company's results of operations for its first fiscal quarter of 1999 will include $2,728,000 associated with this settlement.</w:t>
      </w:r>
    </w:p>
    <w:p>
      <w:pPr>
        <w:sectPr>
          <w:pgSz w:w="11900" w:h="16838" w:orient="portrait"/>
          <w:cols w:equalWidth="0" w:num="1">
            <w:col w:w="10239"/>
          </w:cols>
          <w:pgMar w:left="220" w:top="61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Hawkins Chemical, Inc.:</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Hawkins Chemical, Inc. and its subsidiary (the Company) as of September 27, 1998 and September 28, 1997 and the related consolidated statements of income, shareholders' equity and cash flows for each of the three years in the period ended September 27, 1998.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Hawkins Chemical, Inc. and its subsidiary at September 27, 1998 and September 28, 1997 and the results of their operations and their cash flows for each of the three years in the period ended September 27, 1998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 1998</w:t>
      </w:r>
    </w:p>
    <w:p>
      <w:pPr>
        <w:sectPr>
          <w:pgSz w:w="11900" w:h="16838" w:orient="portrait"/>
          <w:cols w:equalWidth="0" w:num="1">
            <w:col w:w="10239"/>
          </w:cols>
          <w:pgMar w:left="220" w:top="61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September</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Sales from</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$ 94,722,511</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$ 87,745,980</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$ 80,886,062</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$ 83,332,624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$ 71,423,471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3"/>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8,213,869</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7,790,487</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6,476,410</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5,723,963</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5,044,410</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and diluted earnings per common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from continuing operations</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Cash dividends paid per common share</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66,535,475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63,652,616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56,487,356</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53,690,814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45,974,984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6020" w:val="left"/>
          <w:tab w:leader="none" w:pos="7480" w:val="left"/>
          <w:tab w:leader="none" w:pos="8940" w:val="left"/>
          <w:tab w:leader="none" w:pos="10420" w:val="left"/>
        </w:tabs>
        <w:rPr>
          <w:sz w:val="20"/>
          <w:szCs w:val="20"/>
          <w:color w:val="auto"/>
        </w:rPr>
      </w:pPr>
      <w:r>
        <w:rPr>
          <w:rFonts w:ascii="Courier New" w:cs="Courier New" w:eastAsia="Courier New" w:hAnsi="Courier New"/>
          <w:sz w:val="14"/>
          <w:szCs w:val="14"/>
          <w:color w:val="auto"/>
        </w:rPr>
        <w:t>Long-term debt</w:t>
      </w:r>
      <w:r>
        <w:rPr>
          <w:sz w:val="20"/>
          <w:szCs w:val="20"/>
          <w:color w:val="auto"/>
        </w:rPr>
        <w:tab/>
      </w:r>
      <w:r>
        <w:rPr>
          <w:rFonts w:ascii="Courier New" w:cs="Courier New" w:eastAsia="Courier New" w:hAnsi="Courier New"/>
          <w:sz w:val="14"/>
          <w:szCs w:val="14"/>
          <w:color w:val="auto"/>
        </w:rPr>
        <w:t>423,402</w:t>
      </w:r>
      <w:r>
        <w:rPr>
          <w:sz w:val="20"/>
          <w:szCs w:val="20"/>
          <w:color w:val="auto"/>
        </w:rPr>
        <w:tab/>
      </w:r>
      <w:r>
        <w:rPr>
          <w:rFonts w:ascii="Courier New" w:cs="Courier New" w:eastAsia="Courier New" w:hAnsi="Courier New"/>
          <w:sz w:val="14"/>
          <w:szCs w:val="14"/>
          <w:color w:val="auto"/>
        </w:rPr>
        <w:t>512,525</w:t>
      </w:r>
      <w:r>
        <w:rPr>
          <w:sz w:val="20"/>
          <w:szCs w:val="20"/>
          <w:color w:val="auto"/>
        </w:rPr>
        <w:tab/>
      </w:r>
      <w:r>
        <w:rPr>
          <w:rFonts w:ascii="Courier New" w:cs="Courier New" w:eastAsia="Courier New" w:hAnsi="Courier New"/>
          <w:sz w:val="14"/>
          <w:szCs w:val="14"/>
          <w:color w:val="auto"/>
        </w:rPr>
        <w:t>572,453</w:t>
      </w:r>
      <w:r>
        <w:rPr>
          <w:sz w:val="20"/>
          <w:szCs w:val="20"/>
          <w:color w:val="auto"/>
        </w:rPr>
        <w:tab/>
      </w:r>
      <w:r>
        <w:rPr>
          <w:rFonts w:ascii="Courier New" w:cs="Courier New" w:eastAsia="Courier New" w:hAnsi="Courier New"/>
          <w:sz w:val="14"/>
          <w:szCs w:val="14"/>
          <w:color w:val="auto"/>
        </w:rPr>
        <w:t>628,461</w:t>
      </w:r>
      <w:r>
        <w:rPr>
          <w:sz w:val="20"/>
          <w:szCs w:val="20"/>
          <w:color w:val="auto"/>
        </w:rPr>
        <w:tab/>
      </w:r>
      <w:r>
        <w:rPr>
          <w:rFonts w:ascii="Courier New" w:cs="Courier New" w:eastAsia="Courier New" w:hAnsi="Courier New"/>
          <w:sz w:val="14"/>
          <w:szCs w:val="14"/>
          <w:color w:val="auto"/>
        </w:rPr>
        <w:t>680,805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All per share data has been restated to reflect the 5% stock dividends in</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1997, 1996 and 1994 and the 10% stock dividend in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MARKET MAKERS - Herzog, Heine, Geduld, Inc., New York, NY; John G.</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Kinnard and Company, Inc., Minneapolis, MN; S.J.</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Wolfe and Co., Dayton, OH</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OPERATIONS BY QUARTER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ind w:right="240"/>
        <w:spacing w:after="0" w:line="250" w:lineRule="auto"/>
        <w:rPr>
          <w:sz w:val="20"/>
          <w:szCs w:val="20"/>
          <w:color w:val="auto"/>
        </w:rPr>
      </w:pPr>
      <w:r>
        <w:rPr>
          <w:rFonts w:ascii="Courier New" w:cs="Courier New" w:eastAsia="Courier New" w:hAnsi="Courier New"/>
          <w:sz w:val="14"/>
          <w:szCs w:val="14"/>
          <w:color w:val="auto"/>
        </w:rPr>
        <w:t>(DOLLARS IN THOUSANDS EXCEPT PER SHARE DATA)</w:t>
      </w:r>
    </w:p>
    <w:p>
      <w:pPr>
        <w:spacing w:after="0" w:line="20" w:lineRule="exact"/>
        <w:rPr>
          <w:sz w:val="20"/>
          <w:szCs w:val="20"/>
          <w:color w:val="auto"/>
        </w:rPr>
      </w:pPr>
      <w:r>
        <w:rPr>
          <w:sz w:val="20"/>
          <w:szCs w:val="20"/>
          <w:color w:val="auto"/>
        </w:rPr>
        <w:br w:type="column"/>
      </w:r>
    </w:p>
    <w:p>
      <w:pPr>
        <w:jc w:val="both"/>
        <w:ind w:right="160"/>
        <w:spacing w:after="0" w:line="255" w:lineRule="auto"/>
        <w:rPr>
          <w:sz w:val="20"/>
          <w:szCs w:val="20"/>
          <w:color w:val="auto"/>
        </w:rPr>
      </w:pPr>
      <w:r>
        <w:rPr>
          <w:rFonts w:ascii="Courier New" w:cs="Courier New" w:eastAsia="Courier New" w:hAnsi="Courier New"/>
          <w:sz w:val="14"/>
          <w:szCs w:val="14"/>
          <w:color w:val="auto"/>
        </w:rPr>
        <w:t>First Quarter Second Quarter Third Quarter Fourth Quarter Total Year 1998 1997 1998 1997 1998 1997 1998 1997 1998 1997</w:t>
      </w:r>
    </w:p>
    <w:p>
      <w:pPr>
        <w:spacing w:after="0" w:line="160" w:lineRule="exact"/>
        <w:rPr>
          <w:sz w:val="20"/>
          <w:szCs w:val="20"/>
          <w:color w:val="auto"/>
        </w:rPr>
      </w:pPr>
    </w:p>
    <w:p>
      <w:pPr>
        <w:sectPr>
          <w:pgSz w:w="11900" w:h="16838" w:orient="portrait"/>
          <w:cols w:equalWidth="0" w:num="2">
            <w:col w:w="3000" w:space="720"/>
            <w:col w:w="782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$22,667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$22,316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$20,673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$25,720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$23,867</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$24,020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$23,270</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$94,723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$87,746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5,116</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4,165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6,154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6,841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22,342   21,332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Net income 1,898 1,456 1,717 1,478 2,229 2,963 2,370 1,893 8,214 7,790 - ------------------------------------------------------------------------------------------------------------------------------------ Basic and diluted earnings per share .16 .13 .15 .13 .19 .26 .20 .16 .71 .67 - ------------------------------------------------------------------------------------------------------------------------------------</w:t>
      </w:r>
    </w:p>
    <w:p>
      <w:pPr>
        <w:sectPr>
          <w:pgSz w:w="11900" w:h="16838" w:orient="portrait"/>
          <w:cols w:equalWidth="0" w:num="1">
            <w:col w:w="11540"/>
          </w:cols>
          <w:pgMar w:left="220" w:top="616" w:right="139"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QUARTERLY STOCK DATA</w:t>
      </w:r>
    </w:p>
    <w:p>
      <w:pPr>
        <w:spacing w:after="0" w:line="200" w:lineRule="exact"/>
        <w:rPr>
          <w:sz w:val="20"/>
          <w:szCs w:val="20"/>
          <w:color w:val="auto"/>
        </w:rPr>
      </w:pPr>
    </w:p>
    <w:p>
      <w:pPr>
        <w:spacing w:after="0" w:line="304" w:lineRule="exact"/>
        <w:rPr>
          <w:sz w:val="20"/>
          <w:szCs w:val="20"/>
          <w:color w:val="auto"/>
        </w:rPr>
      </w:pPr>
    </w:p>
    <w:p>
      <w:pPr>
        <w:ind w:left="2340"/>
        <w:spacing w:after="0"/>
        <w:tabs>
          <w:tab w:leader="none" w:pos="326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Fiscal 1998</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4th Quarter</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 1/8</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$ 9 7/8</w:t>
            </w: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3rd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2nd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1st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Fiscal 1997</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4th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3rd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2nd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spacing w:after="0"/>
              <w:rPr>
                <w:sz w:val="14"/>
                <w:szCs w:val="14"/>
                <w:color w:val="auto"/>
              </w:rPr>
            </w:pPr>
          </w:p>
        </w:tc>
      </w:tr>
      <w:tr>
        <w:trPr>
          <w:trHeight w:val="166"/>
        </w:trPr>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1st Quarter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common stock of Hawkins Chemical, Inc. is as quoted on the NASDAQ National Market System. The price information represents closing sale prices reported in the NASDAQ/NMS Monthly Statistical Report. There were 786 common shareholder accounts on September 27, 1998. The prices are adjusted to reflect the 5% stock dividend that occurred on April 11, 1997.</w:t>
      </w:r>
    </w:p>
    <w:p>
      <w:pPr>
        <w:sectPr>
          <w:pgSz w:w="11900" w:h="16838" w:orient="portrait"/>
          <w:cols w:equalWidth="0" w:num="1">
            <w:col w:w="10239"/>
          </w:cols>
          <w:pgMar w:left="220" w:top="616" w:right="1440" w:bottom="1440" w:gutter="0" w:footer="0" w:header="0"/>
        </w:sectPr>
      </w:pPr>
    </w:p>
    <w:bookmarkStart w:id="32" w:name="page33"/>
    <w:bookmarkEnd w:id="32"/>
    <w:p>
      <w:pPr>
        <w:ind w:left="2940"/>
        <w:spacing w:after="0"/>
        <w:rPr>
          <w:sz w:val="20"/>
          <w:szCs w:val="20"/>
          <w:color w:val="auto"/>
        </w:rPr>
      </w:pPr>
      <w:r>
        <w:rPr>
          <w:rFonts w:ascii="Courier New" w:cs="Courier New" w:eastAsia="Courier New" w:hAnsi="Courier New"/>
          <w:sz w:val="14"/>
          <w:szCs w:val="14"/>
          <w:color w:val="auto"/>
        </w:rPr>
        <w:t>EXHIBIT 21.1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 wholly owned subsidiary of the Registrant:</w:t>
      </w:r>
    </w:p>
    <w:p>
      <w:pPr>
        <w:sectPr>
          <w:pgSz w:w="11900" w:h="16838" w:orient="portrait"/>
          <w:cols w:equalWidth="0" w:num="1">
            <w:col w:w="10239"/>
          </w:cols>
          <w:pgMar w:left="220" w:top="47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IN WHICH ORGANIZED</w:t>
      </w:r>
    </w:p>
    <w:p>
      <w:pPr>
        <w:spacing w:after="0" w:line="173" w:lineRule="exact"/>
        <w:rPr>
          <w:sz w:val="20"/>
          <w:szCs w:val="20"/>
          <w:color w:val="auto"/>
        </w:rPr>
      </w:pPr>
    </w:p>
    <w:p>
      <w:pPr>
        <w:sectPr>
          <w:pgSz w:w="11900" w:h="16838" w:orient="portrait"/>
          <w:cols w:equalWidth="0" w:num="2">
            <w:col w:w="2740" w:space="720"/>
            <w:col w:w="677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Hawkins Water Treatment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Minnesota</w:t>
      </w:r>
    </w:p>
    <w:p>
      <w:pPr>
        <w:spacing w:after="0" w:line="200" w:lineRule="exact"/>
        <w:rPr>
          <w:sz w:val="20"/>
          <w:szCs w:val="20"/>
          <w:color w:val="auto"/>
        </w:rPr>
      </w:pPr>
    </w:p>
    <w:p>
      <w:pPr>
        <w:sectPr>
          <w:pgSz w:w="11900" w:h="16838" w:orient="portrait"/>
          <w:cols w:equalWidth="0" w:num="2">
            <w:col w:w="3340" w:space="720"/>
            <w:col w:w="6179"/>
          </w:cols>
          <w:pgMar w:left="220" w:top="473" w:right="1440" w:bottom="1440" w:gutter="0" w:footer="0" w:header="0"/>
          <w:type w:val="continuous"/>
        </w:sectPr>
      </w:pPr>
    </w:p>
    <w:p>
      <w:pPr>
        <w:spacing w:after="0" w:line="13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financial statements of the predecessors of Hawkins Water Treatment Group, Inc., Feed-Rite Controls, Inc., Mon-Dak Chemical, Inc., and Dakota Chemical, Inc. (which predecessors were merged into a single entity now known as Hawkins Water Treatment Group, Inc. following the end of fiscal 1997), are consolidated with those of the Registrant.</w:t>
      </w:r>
    </w:p>
    <w:p>
      <w:pPr>
        <w:spacing w:after="0" w:line="165"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Subsequent to September 27, 1998, Hawkins Water Treatment Group is being merged into Registrant and will continue to operate as a division of Registrant.</w:t>
      </w:r>
    </w:p>
    <w:p>
      <w:pPr>
        <w:sectPr>
          <w:pgSz w:w="11900" w:h="16838" w:orient="portrait"/>
          <w:cols w:equalWidth="0" w:num="1">
            <w:col w:w="10239"/>
          </w:cols>
          <w:pgMar w:left="220" w:top="473" w:right="1440" w:bottom="1440" w:gutter="0" w:footer="0" w:header="0"/>
          <w:type w:val="continuous"/>
        </w:sectPr>
      </w:pPr>
    </w:p>
    <w:bookmarkStart w:id="33" w:name="page34"/>
    <w:bookmarkEnd w:id="33"/>
    <w:p>
      <w:pPr>
        <w:ind w:left="2940"/>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 No. 33-41323 of Hawkins Chemical, Inc. and subsidiary (the "Company") on Form S-8 of our report dated December 3, 1998 incorporated by reference in the Annual Report on Form 10-K for the Company for the year ended September 27, 1998.</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24, 1998</w:t>
      </w:r>
    </w:p>
    <w:p>
      <w:pPr>
        <w:sectPr>
          <w:pgSz w:w="11900" w:h="16838" w:orient="portrait"/>
          <w:cols w:equalWidth="0" w:num="1">
            <w:col w:w="10239"/>
          </w:cols>
          <w:pgMar w:left="220" w:top="473"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SEP-27-1998</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SEP-29-1997</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SEP-27-1998</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3,197,015</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14,543,929</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11,815,416</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378,726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10,816,460</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42,113,783</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32,731,400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14,307,911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66,535,475</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11,620,605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423,402</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572,545</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52,907,423</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66,535,475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94,722,511</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94,722,511</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72,380,576</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72,380,576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43,516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13,449,037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5,235,168</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8,213,869</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8,213,869</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.71</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612"/>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Roman"/>
      <w:start w:val="1"/>
    </w:lvl>
    <w:lvl w:ilvl="1">
      <w:lvlJc w:val="left"/>
      <w:lvlText w:val="(%2)"/>
      <w:numFmt w:val="upperLetter"/>
      <w:start w:val="1"/>
    </w:lvl>
  </w:abstractNum>
  <w:abstractNum w:abstractNumId="4">
    <w:nsid w:val="1BEFD79F"/>
    <w:multiLevelType w:val="hybridMultilevel"/>
    <w:lvl w:ilvl="0">
      <w:lvlJc w:val="left"/>
      <w:lvlText w:val="%1"/>
      <w:numFmt w:val="lowerRoman"/>
      <w:start w:val="1"/>
    </w:lvl>
    <w:lvl w:ilvl="1">
      <w:lvlJc w:val="left"/>
      <w:lvlText w:val="(%2)"/>
      <w:numFmt w:val="upperLetter"/>
      <w:start w:val="3"/>
    </w:lvl>
  </w:abstractNum>
  <w:abstractNum w:abstractNumId="5">
    <w:nsid w:val="41A7C4C9"/>
    <w:multiLevelType w:val="hybridMultilevel"/>
    <w:lvl w:ilvl="0">
      <w:lvlJc w:val="left"/>
      <w:lvlText w:val="(%1)"/>
      <w:numFmt w:val="lowerRoman"/>
      <w:start w:val="2"/>
    </w:lvl>
    <w:lvl w:ilvl="1">
      <w:lvlJc w:val="left"/>
      <w:lvlText w:val="%2"/>
      <w:numFmt w:val="upperLetter"/>
      <w:start w:val="1"/>
    </w:lvl>
  </w:abstractNum>
  <w:abstractNum w:abstractNumId="6">
    <w:nsid w:val="6B68079A"/>
    <w:multiLevelType w:val="hybridMultilevel"/>
    <w:lvl w:ilvl="0">
      <w:lvlJc w:val="left"/>
      <w:lvlText w:val="(%1)"/>
      <w:numFmt w:val="lowerRoman"/>
      <w:start w:val="3"/>
    </w:lvl>
  </w:abstractNum>
  <w:abstractNum w:abstractNumId="7">
    <w:nsid w:val="4E6AFB66"/>
    <w:multiLevelType w:val="hybridMultilevel"/>
    <w:lvl w:ilvl="0">
      <w:lvlJc w:val="left"/>
      <w:lvlText w:val="(%1)"/>
      <w:numFmt w:val="lowerRoman"/>
      <w:start w:val="4"/>
    </w:lvl>
  </w:abstractNum>
  <w:abstractNum w:abstractNumId="8">
    <w:nsid w:val="25E45D32"/>
    <w:multiLevelType w:val="hybridMultilevel"/>
    <w:lvl w:ilvl="0">
      <w:lvlJc w:val="left"/>
      <w:lvlText w:val="(%1)"/>
      <w:numFmt w:val="lowerRoman"/>
      <w:start w:val="5"/>
    </w:lvl>
  </w:abstractNum>
  <w:abstractNum w:abstractNumId="9">
    <w:nsid w:val="519B500D"/>
    <w:multiLevelType w:val="hybridMultilevel"/>
    <w:lvl w:ilvl="0">
      <w:lvlJc w:val="left"/>
      <w:lvlText w:val="(%1)"/>
      <w:numFmt w:val="lowerRoman"/>
      <w:start w:val="11"/>
    </w:lvl>
  </w:abstractNum>
  <w:abstractNum w:abstractNumId="10">
    <w:nsid w:val="431BD7B7"/>
    <w:multiLevelType w:val="hybridMultilevel"/>
    <w:lvl w:ilvl="0">
      <w:lvlJc w:val="left"/>
      <w:lvlText w:val="(%1)"/>
      <w:numFmt w:val="lowerLetter"/>
      <w:start w:val="4"/>
    </w:lvl>
  </w:abstractNum>
  <w:abstractNum w:abstractNumId="11">
    <w:nsid w:val="3F2DBA31"/>
    <w:multiLevelType w:val="hybridMultilevel"/>
    <w:lvl w:ilvl="0">
      <w:lvlJc w:val="left"/>
      <w:lvlText w:val="-"/>
      <w:numFmt w:val="bullet"/>
      <w:start w:val="1"/>
    </w:lvl>
    <w:lvl w:ilvl="1">
      <w:lvlJc w:val="left"/>
      <w:lvlText w:val="(%2)"/>
      <w:numFmt w:val="decimal"/>
      <w:start w:val="1"/>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decimal"/>
      <w:start w:val="6"/>
    </w:lvl>
  </w:abstractNum>
  <w:abstractNum w:abstractNumId="20">
    <w:nsid w:val="2D1D5AE9"/>
    <w:multiLevelType w:val="hybridMultilevel"/>
    <w:lvl w:ilvl="0">
      <w:lvlJc w:val="left"/>
      <w:lvlText w:val="%1."/>
      <w:numFmt w:val="decimal"/>
      <w:start w:val="7"/>
    </w:lvl>
  </w:abstractNum>
  <w:abstractNum w:abstractNumId="21">
    <w:nsid w:val="6763845E"/>
    <w:multiLevelType w:val="hybridMultilevel"/>
    <w:lvl w:ilvl="0">
      <w:lvlJc w:val="left"/>
      <w:lvlText w:val="%1."/>
      <w:numFmt w:val="decimal"/>
      <w:start w:val="8"/>
    </w:lvl>
  </w:abstractNum>
  <w:abstractNum w:abstractNumId="22">
    <w:nsid w:val="75A2A8D4"/>
    <w:multiLevelType w:val="hybridMultilevel"/>
    <w:lvl w:ilvl="0">
      <w:lvlJc w:val="left"/>
      <w:lvlText w:val="%1."/>
      <w:numFmt w:val="decimal"/>
      <w:start w:val="9"/>
    </w:lvl>
  </w:abstractNum>
  <w:abstractNum w:abstractNumId="23">
    <w:nsid w:val="8EDBDAB"/>
    <w:multiLevelType w:val="hybridMultilevel"/>
    <w:lvl w:ilvl="0">
      <w:lvlJc w:val="left"/>
      <w:lvlText w:val="%1."/>
      <w:numFmt w:val="decimal"/>
      <w:start w:val="10"/>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2019-12-13T01:51:50Z</dcterms:created>
  <dcterms:modified xsi:type="dcterms:W3CDTF">2019-12-13T01:51:50Z</dcterms:modified>
</cp:coreProperties>
</file>