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Moran Theresa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VP - Quality &amp; Support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ROSEVILLE</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55113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04/29/2014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761</w:t>
            </w:r>
          </w:p>
        </w:tc>
        <w:tc>
          <w:tcPr>
            <w:tcW w:w="5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37.26</w:t>
            </w:r>
          </w:p>
        </w:tc>
        <w:tc>
          <w:tcPr>
            <w:tcW w:w="1260" w:type="dxa"/>
            <w:vAlign w:val="bottom"/>
            <w:tcBorders>
              <w:bottom w:val="single" w:sz="8" w:color="2C2C2C"/>
            </w:tcBorders>
            <w:gridSpan w:val="2"/>
          </w:tcPr>
          <w:p>
            <w:pPr>
              <w:jc w:val="center"/>
              <w:ind w:right="159"/>
              <w:spacing w:after="0"/>
              <w:rPr>
                <w:sz w:val="20"/>
                <w:szCs w:val="20"/>
                <w:color w:val="auto"/>
              </w:rPr>
            </w:pPr>
            <w:r>
              <w:rPr>
                <w:rFonts w:ascii="Arial" w:cs="Arial" w:eastAsia="Arial" w:hAnsi="Arial"/>
                <w:sz w:val="18"/>
                <w:szCs w:val="18"/>
                <w:color w:val="0000FF"/>
              </w:rPr>
              <w:t>8,129.859</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59"/>
              <w:spacing w:after="0"/>
              <w:rPr>
                <w:sz w:val="20"/>
                <w:szCs w:val="20"/>
                <w:color w:val="auto"/>
              </w:rPr>
            </w:pPr>
            <w:r>
              <w:rPr>
                <w:rFonts w:ascii="Arial" w:cs="Arial" w:eastAsia="Arial" w:hAnsi="Arial"/>
                <w:sz w:val="18"/>
                <w:szCs w:val="18"/>
                <w:color w:val="0000FF"/>
              </w:rPr>
              <w:t>33,930.0558</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330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4.093 shares acquired in October 2013 and 5.162 shares acquired in April 2014, each pursuant to the issuer's dividend reinvestment plan, and 89 shares acquired in June of 2013 and 103 shares acquired in December 2013, each pursuant to the issuer's employee stock purchase plan.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05/06/2014</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3043"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2019-12-17T11:04:21Z</dcterms:created>
  <dcterms:modified xsi:type="dcterms:W3CDTF">2019-12-17T11:04:21Z</dcterms:modified>
</cp:coreProperties>
</file>