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March 28, 2004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0-7647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00" w:type="dxa"/>
        <w:tblCellMar>
          <w:top w:w="0" w:type="dxa"/>
          <w:left w:w="0" w:type="dxa"/>
          <w:bottom w:w="0" w:type="dxa"/>
          <w:right w:w="0" w:type="dxa"/>
        </w:tblCellMar>
      </w:tblPr>
      <w:tr>
        <w:trPr>
          <w:trHeight w:val="220"/>
        </w:trPr>
        <w:tc>
          <w:tcPr>
            <w:tcW w:w="5340" w:type="dxa"/>
            <w:vAlign w:val="bottom"/>
          </w:tcPr>
          <w:p>
            <w:pPr>
              <w:jc w:val="center"/>
              <w:ind w:right="1150"/>
              <w:spacing w:after="0"/>
              <w:rPr>
                <w:sz w:val="20"/>
                <w:szCs w:val="20"/>
                <w:color w:val="auto"/>
              </w:rPr>
            </w:pPr>
            <w:r>
              <w:rPr>
                <w:rFonts w:ascii="Arial" w:cs="Arial" w:eastAsia="Arial" w:hAnsi="Arial"/>
                <w:sz w:val="18"/>
                <w:szCs w:val="18"/>
                <w:b w:val="1"/>
                <w:bCs w:val="1"/>
                <w:color w:val="auto"/>
              </w:rPr>
              <w:t>MINNESOTA</w:t>
            </w:r>
          </w:p>
        </w:tc>
        <w:tc>
          <w:tcPr>
            <w:tcW w:w="3840" w:type="dxa"/>
            <w:vAlign w:val="bottom"/>
          </w:tcPr>
          <w:p>
            <w:pPr>
              <w:jc w:val="right"/>
              <w:ind w:right="770"/>
              <w:spacing w:after="0"/>
              <w:rPr>
                <w:sz w:val="20"/>
                <w:szCs w:val="20"/>
                <w:color w:val="auto"/>
              </w:rPr>
            </w:pPr>
            <w:r>
              <w:rPr>
                <w:rFonts w:ascii="Arial" w:cs="Arial" w:eastAsia="Arial" w:hAnsi="Arial"/>
                <w:sz w:val="18"/>
                <w:szCs w:val="18"/>
                <w:b w:val="1"/>
                <w:bCs w:val="1"/>
                <w:color w:val="auto"/>
              </w:rPr>
              <w:t>41-0771293</w:t>
            </w:r>
          </w:p>
        </w:tc>
      </w:tr>
      <w:tr>
        <w:trPr>
          <w:trHeight w:val="230"/>
        </w:trPr>
        <w:tc>
          <w:tcPr>
            <w:tcW w:w="5340" w:type="dxa"/>
            <w:vAlign w:val="bottom"/>
          </w:tcPr>
          <w:p>
            <w:pPr>
              <w:jc w:val="center"/>
              <w:ind w:right="1150"/>
              <w:spacing w:after="0"/>
              <w:rPr>
                <w:sz w:val="20"/>
                <w:szCs w:val="20"/>
                <w:color w:val="auto"/>
              </w:rPr>
            </w:pPr>
            <w:r>
              <w:rPr>
                <w:rFonts w:ascii="Arial" w:cs="Arial" w:eastAsia="Arial" w:hAnsi="Arial"/>
                <w:sz w:val="18"/>
                <w:szCs w:val="18"/>
                <w:color w:val="auto"/>
                <w:w w:val="92"/>
              </w:rPr>
              <w:t>(State of Incorporation)</w:t>
            </w:r>
          </w:p>
        </w:tc>
        <w:tc>
          <w:tcPr>
            <w:tcW w:w="3840" w:type="dxa"/>
            <w:vAlign w:val="bottom"/>
          </w:tcPr>
          <w:p>
            <w:pPr>
              <w:jc w:val="center"/>
              <w:ind w:left="11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3100 East Hennepin Avenue, Minneapolis, Minnesota</w:t>
            </w:r>
          </w:p>
        </w:tc>
        <w:tc>
          <w:tcPr>
            <w:tcW w:w="3840" w:type="dxa"/>
            <w:vAlign w:val="bottom"/>
          </w:tcPr>
          <w:p>
            <w:pPr>
              <w:jc w:val="right"/>
              <w:ind w:right="990"/>
              <w:spacing w:after="0"/>
              <w:rPr>
                <w:sz w:val="20"/>
                <w:szCs w:val="20"/>
                <w:color w:val="auto"/>
              </w:rPr>
            </w:pPr>
            <w:r>
              <w:rPr>
                <w:rFonts w:ascii="Arial" w:cs="Arial" w:eastAsia="Arial" w:hAnsi="Arial"/>
                <w:sz w:val="18"/>
                <w:szCs w:val="18"/>
                <w:b w:val="1"/>
                <w:bCs w:val="1"/>
                <w:color w:val="auto"/>
              </w:rPr>
              <w:t>55413</w:t>
            </w:r>
          </w:p>
        </w:tc>
      </w:tr>
      <w:tr>
        <w:trPr>
          <w:trHeight w:val="230"/>
        </w:trPr>
        <w:tc>
          <w:tcPr>
            <w:tcW w:w="5340" w:type="dxa"/>
            <w:vAlign w:val="bottom"/>
          </w:tcPr>
          <w:p>
            <w:pPr>
              <w:jc w:val="center"/>
              <w:ind w:right="1150"/>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ind w:left="11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331-6910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12(b) of the Act: </w:t>
      </w:r>
      <w:r>
        <w:rPr>
          <w:rFonts w:ascii="Arial" w:cs="Arial" w:eastAsia="Arial" w:hAnsi="Arial"/>
          <w:sz w:val="18"/>
          <w:szCs w:val="18"/>
          <w:b w:val="1"/>
          <w:bCs w:val="1"/>
          <w:color w:val="auto"/>
        </w:rPr>
        <w:t>NONE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COMMON STOCK, PAR VALUE $.05 PER SHARE</w:t>
      </w:r>
    </w:p>
    <w:p>
      <w:pPr>
        <w:spacing w:after="0" w:line="211" w:lineRule="exact"/>
        <w:rPr>
          <w:sz w:val="24"/>
          <w:szCs w:val="24"/>
          <w:color w:val="auto"/>
        </w:rPr>
      </w:pPr>
    </w:p>
    <w:p>
      <w:pPr>
        <w:ind w:right="1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8" w:lineRule="exact"/>
        <w:rPr>
          <w:sz w:val="24"/>
          <w:szCs w:val="24"/>
          <w:color w:val="auto"/>
        </w:rPr>
      </w:pPr>
    </w:p>
    <w:p>
      <w:pPr>
        <w:ind w:left="4660"/>
        <w:spacing w:after="0" w:line="207" w:lineRule="exact"/>
        <w:tabs>
          <w:tab w:leader="none" w:pos="5340" w:val="left"/>
          <w:tab w:leader="none" w:pos="5980" w:val="left"/>
          <w:tab w:leader="none" w:pos="66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4"/>
          <w:szCs w:val="14"/>
          <w:color w:val="auto"/>
        </w:rPr>
        <w:t>o</w:t>
      </w:r>
    </w:p>
    <w:p>
      <w:pPr>
        <w:spacing w:after="0" w:line="216" w:lineRule="exact"/>
        <w:rPr>
          <w:sz w:val="24"/>
          <w:szCs w:val="24"/>
          <w:color w:val="auto"/>
        </w:rPr>
      </w:pPr>
    </w:p>
    <w:p>
      <w:pPr>
        <w:ind w:right="100" w:firstLine="648"/>
        <w:spacing w:after="0" w:line="259" w:lineRule="auto"/>
        <w:rPr>
          <w:sz w:val="20"/>
          <w:szCs w:val="20"/>
          <w:color w:val="auto"/>
        </w:rPr>
      </w:pPr>
      <w:r>
        <w:rPr>
          <w:rFonts w:ascii="Arial" w:cs="Arial" w:eastAsia="Arial" w:hAnsi="Arial"/>
          <w:sz w:val="18"/>
          <w:szCs w:val="18"/>
          <w:color w:val="auto"/>
        </w:rPr>
        <w:t>The aggregate market value of voting stock held by non-affiliates of the Registrant on September 30, 2003 (the last business day of the Registrant’s most recently completed second fiscal quarter) was $99,493,482 based upon the closing sale price for Hawkins, Inc.’s common stock on that date as reported by The Nasdaq Stock Market, excluding all shares held by officers and directors of the Registrant and by the Trustees of the Registrant’s Employee Stock Ownership Plan and Trust.</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June 1, 2004, the Registrant had 10,216,688 shares of common stock outstanding.</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ind w:right="280" w:firstLine="648"/>
        <w:spacing w:after="0" w:line="277"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2004 Annual Meeting of Shareholders to be held August 5,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PART I</w:t>
      </w:r>
    </w:p>
    <w:p>
      <w:pPr>
        <w:spacing w:after="0" w:line="225"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25" w:lineRule="exact"/>
        <w:rPr>
          <w:sz w:val="24"/>
          <w:szCs w:val="24"/>
          <w:color w:val="auto"/>
        </w:rPr>
      </w:pPr>
    </w:p>
    <w:p>
      <w:pPr>
        <w:jc w:val="both"/>
        <w:ind w:right="80" w:firstLine="656"/>
        <w:spacing w:after="0" w:line="286" w:lineRule="auto"/>
        <w:tabs>
          <w:tab w:leader="none" w:pos="1307" w:val="left"/>
        </w:tabs>
        <w:numPr>
          <w:ilvl w:val="0"/>
          <w:numId w:val="1"/>
        </w:numPr>
        <w:rPr>
          <w:rFonts w:ascii="Arial" w:cs="Arial" w:eastAsia="Arial" w:hAnsi="Arial"/>
          <w:sz w:val="17"/>
          <w:szCs w:val="17"/>
          <w:color w:val="auto"/>
        </w:rPr>
      </w:pPr>
      <w:r>
        <w:rPr>
          <w:rFonts w:ascii="Arial" w:cs="Arial" w:eastAsia="Arial" w:hAnsi="Arial"/>
          <w:sz w:val="17"/>
          <w:szCs w:val="17"/>
          <w:color w:val="auto"/>
        </w:rPr>
        <w:t>GENERAL DEVELOPMENT OF THE BUSINESS. Hawkins, Inc. was incorporated in Minnesota in 1955 and has its principal executive offices at 3100 East Hennepin Avenue, Minneapolis, Minnesota. As used in this Annual Report on Form 10-K, except where otherwise stated or indicated by the content, “Hawkins,” “we,” “the Company,” “our,” or “the Registrant” means Hawkins, Inc. and its predecessors.</w:t>
      </w:r>
    </w:p>
    <w:p>
      <w:pPr>
        <w:spacing w:after="0" w:line="16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During fiscal 2000, the Company acquired certain assets of St. Mary’s Chemicals, Inc. (discussed more fully in paragraph (c)(i)(B) below). In fiscal 2001, the Company changed its corporate name to Hawkins, Inc., reflecting the fact the Company has expanded its original business beyond the distribution of chemicals.</w:t>
      </w:r>
    </w:p>
    <w:p>
      <w:pPr>
        <w:spacing w:after="0" w:line="181" w:lineRule="exact"/>
        <w:rPr>
          <w:sz w:val="24"/>
          <w:szCs w:val="24"/>
          <w:color w:val="auto"/>
        </w:rPr>
      </w:pPr>
    </w:p>
    <w:p>
      <w:pPr>
        <w:jc w:val="both"/>
        <w:ind w:right="260" w:firstLine="656"/>
        <w:spacing w:after="0" w:line="264" w:lineRule="auto"/>
        <w:tabs>
          <w:tab w:leader="none" w:pos="1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INFORMATION ABOUT INDUSTRY SEGMENTS. The Company’s principal business is the formulation, blending and distribution of bulk and specialty chemicals, which it conducts in two principal segments: Water Treatment and Industrial. Financial information regarding these segments is reported in the Company’s audited financial statements. See Items 7 and 8 below.</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NARRATIVE DESCRIPTION OF THE BUSINESS.</w:t>
      </w:r>
    </w:p>
    <w:p>
      <w:pPr>
        <w:sectPr>
          <w:pgSz w:w="11900" w:h="16838" w:orient="portrait"/>
          <w:cols w:equalWidth="0" w:num="1">
            <w:col w:w="11400"/>
          </w:cols>
          <w:pgMar w:left="240" w:top="585" w:right="259" w:bottom="0" w:gutter="0" w:footer="0" w:header="0"/>
        </w:sectPr>
      </w:pPr>
    </w:p>
    <w:bookmarkStart w:id="1" w:name="page2"/>
    <w:bookmarkEnd w:id="1"/>
    <w:p>
      <w:pPr>
        <w:ind w:left="-540" w:right="200" w:firstLine="645"/>
        <w:spacing w:after="0" w:line="277" w:lineRule="auto"/>
        <w:tabs>
          <w:tab w:leader="none" w:pos="778"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PRODUCTS AND MARKETS. The Company’s business is conducted in two segments, Water Treatment and Industrial, which are more fully described below:</w:t>
      </w:r>
    </w:p>
    <w:p>
      <w:pPr>
        <w:spacing w:after="0" w:line="170" w:lineRule="exact"/>
        <w:rPr>
          <w:rFonts w:ascii="Arial" w:cs="Arial" w:eastAsia="Arial" w:hAnsi="Arial"/>
          <w:sz w:val="18"/>
          <w:szCs w:val="18"/>
          <w:color w:val="auto"/>
        </w:rPr>
      </w:pPr>
    </w:p>
    <w:p>
      <w:pPr>
        <w:ind w:left="100" w:firstLine="653"/>
        <w:spacing w:after="0" w:line="271" w:lineRule="auto"/>
        <w:tabs>
          <w:tab w:leader="none" w:pos="1403" w:val="left"/>
        </w:tabs>
        <w:numPr>
          <w:ilvl w:val="1"/>
          <w:numId w:val="3"/>
        </w:numPr>
        <w:rPr>
          <w:rFonts w:ascii="Arial" w:cs="Arial" w:eastAsia="Arial" w:hAnsi="Arial"/>
          <w:sz w:val="17"/>
          <w:szCs w:val="17"/>
          <w:color w:val="auto"/>
        </w:rPr>
      </w:pPr>
      <w:r>
        <w:rPr>
          <w:rFonts w:ascii="Arial" w:cs="Arial" w:eastAsia="Arial" w:hAnsi="Arial"/>
          <w:sz w:val="17"/>
          <w:szCs w:val="17"/>
          <w:color w:val="auto"/>
        </w:rPr>
        <w:t>WATER TREATMENT. The Water Treatment segment specializes in providing equipment, chemicals and solutions to problems for potable water, municipal and industrial wastewater, industrial process water and non-residential swimming pool water. The Water Treatment Group has warehouses in twelve cities and utilizes a Driver/Technician/Salesperson approach in supplying products and service to customers in Minnesota, Wisconsin, Iowa, North Dakota, South Dakota, Nebraska, Illinois, Michigan, Montana, Kansas and Wyoming. In December 2000, operations in the Minneapolis/St. Paul area relocated to a new 59,000 square-foot facility, “the Red Rock facility.” The Red Rock facility, located on the Mississippi River in St. Paul, Minnesota, has improved operational efficiencies, as the Water Treatment operations are now located at the facility where several key products are produced and the consolidated warehouse space has reduced the amount of time required to load trucks between deliveries.</w:t>
      </w:r>
    </w:p>
    <w:p>
      <w:pPr>
        <w:spacing w:after="0" w:line="178" w:lineRule="exact"/>
        <w:rPr>
          <w:rFonts w:ascii="Arial" w:cs="Arial" w:eastAsia="Arial" w:hAnsi="Arial"/>
          <w:sz w:val="17"/>
          <w:szCs w:val="17"/>
          <w:color w:val="auto"/>
        </w:rPr>
      </w:pPr>
    </w:p>
    <w:p>
      <w:pPr>
        <w:ind w:left="100" w:right="140" w:firstLine="653"/>
        <w:spacing w:after="0" w:line="273" w:lineRule="auto"/>
        <w:tabs>
          <w:tab w:leader="none" w:pos="142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INDUSTRIAL. The Industrial segment specializes in providing industrial chemicals and services to the energy, electronics, chemical processing, pulp and paper, medical device and plating industries. In addition, the Industrial segment provides products and services to food manufacturers and processing plants. The Industrial segment also distributes a variety of pharmaceutical products, manufactures and sells certain food grade products, including the Cheese-Phos® liquid phosphate product (discussed more fully in paragraph (iv) below) and other blended products, none of which are material to the Company. This segment conducts its business primarily through distribution centers and terminal operations.</w:t>
      </w:r>
    </w:p>
    <w:p>
      <w:pPr>
        <w:spacing w:after="0" w:line="178" w:lineRule="exact"/>
        <w:rPr>
          <w:sz w:val="20"/>
          <w:szCs w:val="20"/>
          <w:color w:val="auto"/>
        </w:rPr>
      </w:pPr>
    </w:p>
    <w:p>
      <w:pPr>
        <w:ind w:left="100" w:right="20" w:firstLine="648"/>
        <w:spacing w:after="0" w:line="253" w:lineRule="auto"/>
        <w:rPr>
          <w:sz w:val="20"/>
          <w:szCs w:val="20"/>
          <w:color w:val="auto"/>
        </w:rPr>
      </w:pPr>
      <w:r>
        <w:rPr>
          <w:rFonts w:ascii="Arial" w:cs="Arial" w:eastAsia="Arial" w:hAnsi="Arial"/>
          <w:sz w:val="18"/>
          <w:szCs w:val="18"/>
          <w:color w:val="auto"/>
        </w:rPr>
        <w:t>The Industrial segment receives, stores and distributes various chemicals in bulk, including liquid caustic soda, phosphoric acid, potassium hydroxide and aqua ammonia; manufactures sodium hypochlorite (bleach) and agricultural products; repackages water treatment chemicals; and performs custom blending of certain chemicals for customers according to customer formulas. The Industrial segment operates liquid caustic soda barge terminals to receive shipments during the period the Mississippi River is open to barge traffic (approximately April 1 through November 15). During the remainder of the year, the Company relies on stockpiles, as well as supplies shipped in by railroad tank car. Approximately 80% of the terminal operations business is related to liquid caustic soda. Pursuant to operating agreements it has with other chemical companies, the Company receives and stores liquid caustic soda and other chemicals at its two terminal sites, Hawkins Terminal 1 and Terminal 2. Terminal 1 and Terminal 2 are located on opposite sides of the Mississippi River in St. Paul, Minnesota.</w:t>
      </w:r>
    </w:p>
    <w:p>
      <w:pPr>
        <w:spacing w:after="0" w:line="197" w:lineRule="exact"/>
        <w:rPr>
          <w:sz w:val="20"/>
          <w:szCs w:val="20"/>
          <w:color w:val="auto"/>
        </w:rPr>
      </w:pPr>
    </w:p>
    <w:p>
      <w:pPr>
        <w:ind w:left="100" w:right="20" w:firstLine="648"/>
        <w:spacing w:after="0" w:line="272" w:lineRule="auto"/>
        <w:rPr>
          <w:sz w:val="20"/>
          <w:szCs w:val="20"/>
          <w:color w:val="auto"/>
        </w:rPr>
      </w:pPr>
      <w:r>
        <w:rPr>
          <w:rFonts w:ascii="Arial" w:cs="Arial" w:eastAsia="Arial" w:hAnsi="Arial"/>
          <w:sz w:val="17"/>
          <w:szCs w:val="17"/>
          <w:color w:val="auto"/>
        </w:rPr>
        <w:t>Since 1963, flooding of the Mississippi River has required the Company’s terminal operations to be temporarily shifted out of its buildings four times, the most recent being in the spring of 2001. From approximately April 12, 2001 to May 8, 2001, the areas around the terminals were flooded, preventing shipments to and from these locations. The terminals themselves were not flooded, as the facilities were adequately protected by dikes. Additionally, the high water interrupted barge traffic on the Mississippi River and no caustic soda barges were received from the closing of the river in the fall of 2000 until the end of May 2001. No substantial interruptions to sales resulted from the flooding, as trucks and railroad tank cars were used as an alternative means of supply. However, the Company incurred additional shipping, labor, and other costs and was not able to pass through all of</w:t>
      </w:r>
    </w:p>
    <w:p>
      <w:pPr>
        <w:spacing w:after="0" w:line="1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right="20"/>
        <w:spacing w:after="0" w:line="272" w:lineRule="auto"/>
        <w:rPr>
          <w:sz w:val="20"/>
          <w:szCs w:val="20"/>
          <w:color w:val="auto"/>
        </w:rPr>
      </w:pPr>
      <w:r>
        <w:rPr>
          <w:rFonts w:ascii="Arial" w:cs="Arial" w:eastAsia="Arial" w:hAnsi="Arial"/>
          <w:sz w:val="17"/>
          <w:szCs w:val="17"/>
          <w:color w:val="auto"/>
        </w:rPr>
        <w:t>these costs to its customers. This had a negative impact on earnings in the third quarter of fiscal 2001 of approximately $200,000. No assurance can be given that flooding will not recur or that there will not be material damage or interruption to the Company’s operations in the future from flooding. In September 2001, a 1.5 million-gallon caustic soda storage tank was completed at the Red Rock facility, allowing it to serve as an additional terminal for bulk chemicals. Historically, the property on which the Red Rock facility is located has not been subject to flooding when Terminals 1 and 2 were not usable due to high water, and the facility was not affected by the flooding in 2001. The Company believes the impact of future flooding, if any, will be reduced as the Red Rock facility is expected to allow the Company to continue normal shipping to customers during periods of high water levels.</w:t>
      </w:r>
    </w:p>
    <w:p>
      <w:pPr>
        <w:spacing w:after="0" w:line="178" w:lineRule="exact"/>
        <w:rPr>
          <w:sz w:val="20"/>
          <w:szCs w:val="20"/>
          <w:color w:val="auto"/>
        </w:rPr>
      </w:pPr>
    </w:p>
    <w:p>
      <w:pPr>
        <w:ind w:left="100" w:right="20" w:firstLine="648"/>
        <w:spacing w:after="0" w:line="255" w:lineRule="auto"/>
        <w:rPr>
          <w:sz w:val="20"/>
          <w:szCs w:val="20"/>
          <w:color w:val="auto"/>
        </w:rPr>
      </w:pPr>
      <w:r>
        <w:rPr>
          <w:rFonts w:ascii="Arial" w:cs="Arial" w:eastAsia="Arial" w:hAnsi="Arial"/>
          <w:sz w:val="18"/>
          <w:szCs w:val="18"/>
          <w:color w:val="auto"/>
        </w:rPr>
        <w:t>The Industrial segment also includes a manufacturing, blending and sales distribution center for industrial chemicals, food grade chemicals, high-purity electronic chemicals and laboratory chemicals and supplies. Bulk industrial chemicals are generally repackaged and sold in smaller quantities to the Company’s customers. Sales are concentrated primarily in Wisconsin, Minnesota, northern Iowa, and North and South Dakota. The principal products are acids and alkalis and industrial and food grade salts. The Industrial segment also specializes in sales to the plating and electronic industries, relying on a specially trained sales staff that works directly with customers on their surface finishing needs.</w:t>
      </w:r>
    </w:p>
    <w:p>
      <w:pPr>
        <w:spacing w:after="0" w:line="193" w:lineRule="exact"/>
        <w:rPr>
          <w:sz w:val="20"/>
          <w:szCs w:val="20"/>
          <w:color w:val="auto"/>
        </w:rPr>
      </w:pPr>
    </w:p>
    <w:p>
      <w:pPr>
        <w:ind w:left="100" w:right="120" w:firstLine="648"/>
        <w:spacing w:after="0" w:line="270" w:lineRule="auto"/>
        <w:rPr>
          <w:sz w:val="20"/>
          <w:szCs w:val="20"/>
          <w:color w:val="auto"/>
        </w:rPr>
      </w:pPr>
      <w:r>
        <w:rPr>
          <w:rFonts w:ascii="Arial" w:cs="Arial" w:eastAsia="Arial" w:hAnsi="Arial"/>
          <w:sz w:val="17"/>
          <w:szCs w:val="17"/>
          <w:color w:val="auto"/>
        </w:rPr>
        <w:t>On May 26, 2000, the Company completed the acquisition of certain assets of St. Mary’s Chemicals, Inc. d.b.a. Universal Chemicals. Universal Chemicals, a Minnesota-based company, was engaged in the business of marketing, selling, and distributing pharmaceutical chemicals to pharmacies and pharmacy wholesalers. On May 26, 2000, the Company also entered into a five-year employment agreement with one of the previous owners and consulting agreements with the other two previous owners of Universal Chemicals. The employment agreement and consulting agreements contain performance bonuses and non-compete provisions. The agreements are based on Universal Chemicals’ cumulative operating results, as defined in the agreements, for five years after the acquisition date and have a maximum payout of $3,520,000. Based upon financial results through March 28, 2004, no payment amount would be due. The non-compete provisions extend for a period of five years after the termination of the employment or consulting agreements, and require annual payments of $100,000 to $200,000 depending on Universal Chemicals’ operating results, as defined in the agreements, for five years after the termination date.</w:t>
      </w:r>
    </w:p>
    <w:p>
      <w:pPr>
        <w:spacing w:after="0" w:line="178" w:lineRule="exact"/>
        <w:rPr>
          <w:sz w:val="20"/>
          <w:szCs w:val="20"/>
          <w:color w:val="auto"/>
        </w:rPr>
      </w:pPr>
    </w:p>
    <w:p>
      <w:pPr>
        <w:ind w:left="780" w:hanging="675"/>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NEW PRODUCTS. The Company did not have any significant new products during the fiscal year ended March 28, 2004.</w:t>
      </w:r>
    </w:p>
    <w:p>
      <w:pPr>
        <w:spacing w:after="0" w:line="236" w:lineRule="exact"/>
        <w:rPr>
          <w:rFonts w:ascii="Arial" w:cs="Arial" w:eastAsia="Arial" w:hAnsi="Arial"/>
          <w:sz w:val="17"/>
          <w:szCs w:val="17"/>
          <w:color w:val="auto"/>
        </w:rPr>
      </w:pPr>
    </w:p>
    <w:p>
      <w:pPr>
        <w:ind w:left="-540" w:right="40" w:firstLine="645"/>
        <w:spacing w:after="0" w:line="276" w:lineRule="auto"/>
        <w:tabs>
          <w:tab w:leader="none" w:pos="797" w:val="left"/>
        </w:tabs>
        <w:numPr>
          <w:ilvl w:val="0"/>
          <w:numId w:val="4"/>
        </w:numPr>
        <w:rPr>
          <w:rFonts w:ascii="Arial" w:cs="Arial" w:eastAsia="Arial" w:hAnsi="Arial"/>
          <w:sz w:val="17"/>
          <w:szCs w:val="17"/>
          <w:color w:val="auto"/>
        </w:rPr>
      </w:pPr>
      <w:r>
        <w:rPr>
          <w:rFonts w:ascii="Arial" w:cs="Arial" w:eastAsia="Arial" w:hAnsi="Arial"/>
          <w:sz w:val="17"/>
          <w:szCs w:val="17"/>
          <w:color w:val="auto"/>
        </w:rPr>
        <w:t>RAW MATERIALS. The Company’s segments have approximately 300 suppliers, including many of the major chemical producers in the United States, of which approximately 20 account for a majority of the Company’s purchases. The Company’s segments typically have written distributorship agreements or supply contracts with their suppliers that are renewed from time to time. Although there is no assurance that any contract or understanding with any supplier will not be terminated in the foreseeable future, most of the products purchased can be obtained from alternative sources should existing relationships be terminated.</w:t>
      </w:r>
    </w:p>
    <w:p>
      <w:pPr>
        <w:sectPr>
          <w:pgSz w:w="11900" w:h="16838" w:orient="portrait"/>
          <w:cols w:equalWidth="0" w:num="1">
            <w:col w:w="10180"/>
          </w:cols>
          <w:pgMar w:left="1440" w:top="341" w:right="279" w:bottom="0" w:gutter="0" w:footer="0" w:header="0"/>
        </w:sectPr>
      </w:pPr>
    </w:p>
    <w:bookmarkStart w:id="2" w:name="page3"/>
    <w:bookmarkEnd w:id="2"/>
    <w:p>
      <w:pPr>
        <w:ind w:left="660" w:right="60" w:firstLine="645"/>
        <w:spacing w:after="0" w:line="270" w:lineRule="auto"/>
        <w:tabs>
          <w:tab w:leader="none" w:pos="1973" w:val="left"/>
        </w:tabs>
        <w:numPr>
          <w:ilvl w:val="0"/>
          <w:numId w:val="5"/>
        </w:numPr>
        <w:rPr>
          <w:rFonts w:ascii="Arial" w:cs="Arial" w:eastAsia="Arial" w:hAnsi="Arial"/>
          <w:sz w:val="17"/>
          <w:szCs w:val="17"/>
          <w:color w:val="auto"/>
        </w:rPr>
      </w:pPr>
      <w:r>
        <w:rPr>
          <w:rFonts w:ascii="Arial" w:cs="Arial" w:eastAsia="Arial" w:hAnsi="Arial"/>
          <w:sz w:val="17"/>
          <w:szCs w:val="17"/>
          <w:color w:val="auto"/>
        </w:rPr>
        <w:t>PATENTS, TRADEMARKS, LICENSES, FRANCHISES, AND CONCESSIONS. There are no patents, trademarks, licenses, franchises or concessions that are currently material to the successful operation of the Company’s business. The Company has, however, obtained a patent on a liquid form of sodium phosphate for use in the processed food industry, as described below. The patent was granted on October 17, 1995 and will expire on November 8, 2013. The Company’s patented Cheese-Phos®, a two-component liquid sodium phosphate, is stored at room temperature. Other competing liquid sodium phosphates must be stored at elevated temperatures to prevent crystallization because they are single component. Liquid delivery systems, in general, are more economical than dry delivery systems and are easier to automate, measure, monitor and control. As a two-component liquid process, Cheese-Phos®, when mixed with varied amounts of sodium hydroxide, can create all of the ratios of sodium phosphates that process cheese makers use. This minimizes inventories for producers. Cheese-Phos® has not and is not expected to materially increase the Company’s sales or profits.</w:t>
      </w:r>
    </w:p>
    <w:p>
      <w:pPr>
        <w:spacing w:after="0" w:line="181" w:lineRule="exact"/>
        <w:rPr>
          <w:rFonts w:ascii="Arial" w:cs="Arial" w:eastAsia="Arial" w:hAnsi="Arial"/>
          <w:sz w:val="17"/>
          <w:szCs w:val="17"/>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ASPECTS. The Water Treatment segment has historically experienced higher sales during the April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September timeframe, which is due primarily to an increase in chemicals used by municipal water treatment facilities.</w:t>
      </w:r>
    </w:p>
    <w:p>
      <w:pPr>
        <w:spacing w:after="0" w:line="211" w:lineRule="exact"/>
        <w:rPr>
          <w:sz w:val="20"/>
          <w:szCs w:val="20"/>
          <w:color w:val="auto"/>
        </w:rPr>
      </w:pPr>
    </w:p>
    <w:p>
      <w:pPr>
        <w:ind w:left="660" w:right="200" w:firstLine="645"/>
        <w:spacing w:after="0" w:line="264" w:lineRule="auto"/>
        <w:tabs>
          <w:tab w:leader="none" w:pos="1973"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WORKING CAPITAL ITEMS. As a bulk distributor of chemicals, the Company is required to carry significant amounts of inventory to meet rapid delivery requirements of customers. Working capital requirements vary on a seasonal basis as a result of the seasonality of the water treatment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right="60" w:firstLine="645"/>
        <w:spacing w:after="0" w:line="264" w:lineRule="auto"/>
        <w:tabs>
          <w:tab w:leader="none" w:pos="198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DEPENDENCE ON LIMITED NUMBER OF CUSTOMERS. No one customer represents more than approximately 5% of the Company’s sales, but the loss of its five largest customers could have a material adverse effect on the Company’s results of operations. Additionally, no one customer represents 10% or more of either the Water Treatment segment or Industrial segment sales.</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BACKLOG. Backlog is not material to an understanding of the Company’s business.</w:t>
      </w:r>
    </w:p>
    <w:p>
      <w:pPr>
        <w:spacing w:after="0" w:line="225" w:lineRule="exact"/>
        <w:rPr>
          <w:rFonts w:ascii="Arial" w:cs="Arial" w:eastAsia="Arial" w:hAnsi="Arial"/>
          <w:sz w:val="18"/>
          <w:szCs w:val="18"/>
          <w:color w:val="auto"/>
        </w:rPr>
      </w:pPr>
    </w:p>
    <w:p>
      <w:pPr>
        <w:ind w:left="660" w:right="740" w:firstLine="645"/>
        <w:spacing w:after="0" w:line="277" w:lineRule="auto"/>
        <w:tabs>
          <w:tab w:leader="none" w:pos="2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GOVERNMENT CONTRACTS. No material portion of the Company’s business is subject to renegotiation of profits or termination of contracts at the election of any state or federal governmental subdivision or agency.</w:t>
      </w:r>
    </w:p>
    <w:p>
      <w:pPr>
        <w:spacing w:after="0" w:line="170" w:lineRule="exact"/>
        <w:rPr>
          <w:rFonts w:ascii="Arial" w:cs="Arial" w:eastAsia="Arial" w:hAnsi="Arial"/>
          <w:sz w:val="18"/>
          <w:szCs w:val="18"/>
          <w:color w:val="auto"/>
        </w:rPr>
      </w:pPr>
    </w:p>
    <w:p>
      <w:pPr>
        <w:ind w:left="660" w:right="100" w:firstLine="645"/>
        <w:spacing w:after="0" w:line="259" w:lineRule="auto"/>
        <w:tabs>
          <w:tab w:leader="none" w:pos="1991" w:val="left"/>
        </w:tabs>
        <w:numPr>
          <w:ilvl w:val="1"/>
          <w:numId w:val="7"/>
        </w:numPr>
        <w:rPr>
          <w:rFonts w:ascii="Arial" w:cs="Arial" w:eastAsia="Arial" w:hAnsi="Arial"/>
          <w:sz w:val="18"/>
          <w:szCs w:val="18"/>
          <w:color w:val="auto"/>
        </w:rPr>
      </w:pPr>
      <w:r>
        <w:rPr>
          <w:rFonts w:ascii="Arial" w:cs="Arial" w:eastAsia="Arial" w:hAnsi="Arial"/>
          <w:sz w:val="18"/>
          <w:szCs w:val="18"/>
          <w:color w:val="auto"/>
        </w:rPr>
        <w:t>COMPETITIVE CONDITIONS. The Company operates in a competitive industry and competes with producers, distributors and sales agents offering chemicals equivalent to all of the products handled by the Company. Many such producers and distributors are substantially larger than the Company. No one competitor, however, is dominant in the Company’s market. Price and service are the principal factors affecting competition in the industry.</w:t>
      </w:r>
    </w:p>
    <w:p>
      <w:pPr>
        <w:spacing w:after="0" w:line="186" w:lineRule="exact"/>
        <w:rPr>
          <w:rFonts w:ascii="Arial" w:cs="Arial" w:eastAsia="Arial" w:hAnsi="Arial"/>
          <w:sz w:val="18"/>
          <w:szCs w:val="18"/>
          <w:color w:val="auto"/>
        </w:rPr>
      </w:pPr>
    </w:p>
    <w:p>
      <w:pPr>
        <w:ind w:left="660" w:right="140" w:firstLine="645"/>
        <w:spacing w:after="0" w:line="264" w:lineRule="auto"/>
        <w:tabs>
          <w:tab w:leader="none" w:pos="2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RESEARCH AND DEVELOPMENT. The Company does not have a formal research and development function. Employees are assigned to research and development projects as the need arises. During the fiscal year ended March 28, 2004, expenditures for research and development were negligible and not material to the Company’s business.</w:t>
      </w:r>
    </w:p>
    <w:p>
      <w:pPr>
        <w:spacing w:after="0" w:line="181" w:lineRule="exact"/>
        <w:rPr>
          <w:rFonts w:ascii="Arial" w:cs="Arial" w:eastAsia="Arial" w:hAnsi="Arial"/>
          <w:sz w:val="18"/>
          <w:szCs w:val="18"/>
          <w:color w:val="auto"/>
        </w:rPr>
      </w:pPr>
    </w:p>
    <w:p>
      <w:pPr>
        <w:ind w:left="660" w:right="320" w:firstLine="645"/>
        <w:spacing w:after="0" w:line="257" w:lineRule="auto"/>
        <w:tabs>
          <w:tab w:leader="none" w:pos="2010" w:val="left"/>
        </w:tabs>
        <w:numPr>
          <w:ilvl w:val="1"/>
          <w:numId w:val="7"/>
        </w:numPr>
        <w:rPr>
          <w:rFonts w:ascii="Arial" w:cs="Arial" w:eastAsia="Arial" w:hAnsi="Arial"/>
          <w:sz w:val="18"/>
          <w:szCs w:val="18"/>
          <w:color w:val="auto"/>
        </w:rPr>
      </w:pPr>
      <w:r>
        <w:rPr>
          <w:rFonts w:ascii="Arial" w:cs="Arial" w:eastAsia="Arial" w:hAnsi="Arial"/>
          <w:sz w:val="18"/>
          <w:szCs w:val="18"/>
          <w:color w:val="auto"/>
        </w:rPr>
        <w:t>ENVIRONMENTAL MATTERS. The Company is primarily a compounder and distributor, rather than a manufacturer, of chemical products. As such, compliance with current federal, state and local provisions regarding discharge of materials into the environment, or otherwise relating to the protection of the environment, is not anticipated to have any material effects upon the capital expenditures, earnings or competitive position of the Company. The Company does not currently anticipate making any material capital expenditures for environmental control facilities during fiscal 2005.</w:t>
      </w:r>
    </w:p>
    <w:p>
      <w:pPr>
        <w:spacing w:after="0" w:line="188" w:lineRule="exact"/>
        <w:rPr>
          <w:rFonts w:ascii="Arial" w:cs="Arial" w:eastAsia="Arial" w:hAnsi="Arial"/>
          <w:sz w:val="18"/>
          <w:szCs w:val="18"/>
          <w:color w:val="auto"/>
        </w:rPr>
      </w:pPr>
    </w:p>
    <w:p>
      <w:pPr>
        <w:ind w:left="2020" w:hanging="715"/>
        <w:spacing w:after="0"/>
        <w:tabs>
          <w:tab w:leader="none" w:pos="2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EMPLOYEES. The number of persons employed by the Company as of March 28, 2004 was 205.</w:t>
      </w:r>
    </w:p>
    <w:p>
      <w:pPr>
        <w:spacing w:after="0" w:line="225" w:lineRule="exact"/>
        <w:rPr>
          <w:rFonts w:ascii="Arial" w:cs="Arial" w:eastAsia="Arial" w:hAnsi="Arial"/>
          <w:sz w:val="18"/>
          <w:szCs w:val="18"/>
          <w:color w:val="auto"/>
        </w:rPr>
      </w:pPr>
    </w:p>
    <w:p>
      <w:pPr>
        <w:ind w:right="340" w:firstLine="656"/>
        <w:spacing w:after="0" w:line="264" w:lineRule="auto"/>
        <w:tabs>
          <w:tab w:leader="none" w:pos="1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INFORMATION ABOUT FOREIGN AND DOMESTIC OPERATIONS AND EXPORT SALES. Because the Company deals primarily in one geographic area of the United States, a breakdown of sales, profitability or assets attributable to different geographic areas is not meaningful to an understanding of the Company’s business.</w:t>
      </w:r>
    </w:p>
    <w:p>
      <w:pPr>
        <w:spacing w:after="0" w:line="181" w:lineRule="exact"/>
        <w:rPr>
          <w:rFonts w:ascii="Arial" w:cs="Arial" w:eastAsia="Arial" w:hAnsi="Arial"/>
          <w:sz w:val="18"/>
          <w:szCs w:val="18"/>
          <w:color w:val="auto"/>
        </w:rPr>
      </w:pPr>
    </w:p>
    <w:p>
      <w:pPr>
        <w:ind w:right="160" w:firstLine="656"/>
        <w:spacing w:after="0" w:line="297" w:lineRule="auto"/>
        <w:tabs>
          <w:tab w:leader="none" w:pos="1307" w:val="left"/>
        </w:tabs>
        <w:numPr>
          <w:ilvl w:val="0"/>
          <w:numId w:val="8"/>
        </w:numPr>
        <w:rPr>
          <w:rFonts w:ascii="Arial" w:cs="Arial" w:eastAsia="Arial" w:hAnsi="Arial"/>
          <w:sz w:val="16"/>
          <w:szCs w:val="16"/>
          <w:color w:val="auto"/>
        </w:rPr>
      </w:pPr>
      <w:r>
        <w:rPr>
          <w:rFonts w:ascii="Arial" w:cs="Arial" w:eastAsia="Arial" w:hAnsi="Arial"/>
          <w:sz w:val="16"/>
          <w:szCs w:val="16"/>
          <w:color w:val="auto"/>
        </w:rPr>
        <w:t>AVAILABLE INFORMATION. We have made available, free of charge, through our Internet website (http:// www.hawkinsinc.com) our Annual Reports on Form 10-K, Quarterly Reports on Form 10-Q, Current Reports on Form 8-K, and if applicable, amendments to those reports, as soon as reasonably practicable after we electronically file such materials with, or furnish them to, the Securities and Exchange Commission. Reports of beneficial ownership filed by our directors and executive officers pursuant to Section 16(a) of the 1934 Act are also available on our website. We are not including the information contained on our website as part of, or incorporating it by reference into, this Annual Report on Form 10-K.</w:t>
      </w:r>
    </w:p>
    <w:p>
      <w:pPr>
        <w:spacing w:after="0" w:line="15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PROPERTIES.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owns its principal location, which consists of approximately 11 acres of land in Minneapolis, Minnesota, with six buildings containing a total of 160,000 square feet of office and warehouse space. The Company’s principal office is located in one of these buildings, at 3100 East Hennepin Avenue. As of the date hereof, the Company has installed sprinkler systems in substantially all of its warehouse facilities for fire protection. The Company carries insurance covering the replacement of property damaged by fire or flood.</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noted above, in December 2000 the Company completed the Red Rock facility, which consists of a 59,000 square-foot building located on approximately 10 acres of land. This facility has outside storage capacity of approximately 1.5 million gallons for the storage of liquid caustic soda, as well as numerous smaller tanks for storing and mixing chemicals. The land is leased from the Port Authority of the City of St. Paul, Minnesota through July 31, 2029 for a basic rent plus an amount based on the annual tonnage unloaded at the site. The basic rent and annual tonnage rent are to be renegotiated every five years beginning August 1, 2004.</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addition to the facilities described above, the Company’s other facilities are described below. These facilities, together with those described above, are adequate and suitable for the purposes they serve. Unless noted, each facility is owned and is fully utilized by the Company.</w:t>
      </w:r>
    </w:p>
    <w:p>
      <w:pPr>
        <w:sectPr>
          <w:pgSz w:w="11900" w:h="16838" w:orient="portrait"/>
          <w:cols w:equalWidth="0" w:num="1">
            <w:col w:w="11400"/>
          </w:cols>
          <w:pgMar w:left="240" w:top="125" w:right="25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w:t>
            </w:r>
          </w:p>
        </w:tc>
        <w:tc>
          <w:tcPr>
            <w:tcW w:w="3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Location</w:t>
            </w:r>
          </w:p>
        </w:tc>
        <w:tc>
          <w:tcPr>
            <w:tcW w:w="4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Primary Use</w:t>
            </w:r>
          </w:p>
        </w:tc>
        <w:tc>
          <w:tcPr>
            <w:tcW w:w="1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Approx.</w:t>
            </w:r>
          </w:p>
        </w:tc>
        <w:tc>
          <w:tcPr>
            <w:tcW w:w="0" w:type="dxa"/>
            <w:vAlign w:val="bottom"/>
          </w:tcPr>
          <w:p>
            <w:pPr>
              <w:spacing w:after="0"/>
              <w:rPr>
                <w:sz w:val="1"/>
                <w:szCs w:val="1"/>
                <w:color w:val="auto"/>
              </w:rPr>
            </w:pPr>
          </w:p>
        </w:tc>
      </w:tr>
      <w:tr>
        <w:trPr>
          <w:trHeight w:val="171"/>
        </w:trPr>
        <w:tc>
          <w:tcPr>
            <w:tcW w:w="2500" w:type="dxa"/>
            <w:vAlign w:val="bottom"/>
            <w:gridSpan w:val="3"/>
            <w:vMerge w:val="continue"/>
          </w:tcPr>
          <w:p>
            <w:pPr>
              <w:spacing w:after="0"/>
              <w:rPr>
                <w:sz w:val="14"/>
                <w:szCs w:val="14"/>
                <w:color w:val="auto"/>
              </w:rPr>
            </w:pPr>
          </w:p>
        </w:tc>
        <w:tc>
          <w:tcPr>
            <w:tcW w:w="3120" w:type="dxa"/>
            <w:vAlign w:val="bottom"/>
            <w:gridSpan w:val="2"/>
            <w:vMerge w:val="continue"/>
          </w:tcPr>
          <w:p>
            <w:pPr>
              <w:spacing w:after="0"/>
              <w:rPr>
                <w:sz w:val="14"/>
                <w:szCs w:val="14"/>
                <w:color w:val="auto"/>
              </w:rPr>
            </w:pPr>
          </w:p>
        </w:tc>
        <w:tc>
          <w:tcPr>
            <w:tcW w:w="4000" w:type="dxa"/>
            <w:vAlign w:val="bottom"/>
            <w:gridSpan w:val="2"/>
            <w:vMerge w:val="continue"/>
          </w:tcPr>
          <w:p>
            <w:pPr>
              <w:spacing w:after="0"/>
              <w:rPr>
                <w:sz w:val="14"/>
                <w:szCs w:val="14"/>
                <w:color w:val="auto"/>
              </w:rPr>
            </w:pPr>
          </w:p>
        </w:tc>
        <w:tc>
          <w:tcPr>
            <w:tcW w:w="1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Square Feet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3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St. Paul, MN (1)</w:t>
            </w:r>
          </w:p>
        </w:tc>
        <w:tc>
          <w:tcPr>
            <w:tcW w:w="4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Office, Warehouse and Garage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St. Paul, MN (2)</w:t>
            </w:r>
          </w:p>
        </w:tc>
        <w:tc>
          <w:tcPr>
            <w:tcW w:w="400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Office</w:t>
            </w:r>
          </w:p>
        </w:tc>
        <w:tc>
          <w:tcPr>
            <w:tcW w:w="180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 Treatment</w:t>
            </w:r>
          </w:p>
        </w:tc>
        <w:tc>
          <w:tcPr>
            <w:tcW w:w="31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2"/>
              </w:rPr>
              <w:t>Fargo, ND (3)</w:t>
            </w:r>
          </w:p>
        </w:tc>
        <w:tc>
          <w:tcPr>
            <w:tcW w:w="4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Office and Warehouse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Fond du Lac, WI</w:t>
            </w:r>
          </w:p>
        </w:tc>
        <w:tc>
          <w:tcPr>
            <w:tcW w:w="40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Warehouse</w:t>
            </w:r>
          </w:p>
        </w:tc>
        <w:tc>
          <w:tcPr>
            <w:tcW w:w="1800" w:type="dxa"/>
            <w:vAlign w:val="bottom"/>
          </w:tcPr>
          <w:p>
            <w:pPr>
              <w:jc w:val="right"/>
              <w:spacing w:after="0"/>
              <w:rPr>
                <w:sz w:val="20"/>
                <w:szCs w:val="20"/>
                <w:color w:val="auto"/>
              </w:rPr>
            </w:pPr>
            <w:r>
              <w:rPr>
                <w:rFonts w:ascii="Arial" w:cs="Arial" w:eastAsia="Arial" w:hAnsi="Arial"/>
                <w:sz w:val="18"/>
                <w:szCs w:val="18"/>
                <w:color w:val="auto"/>
              </w:rPr>
              <w:t>20,300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Washburn, ND (4)</w:t>
            </w:r>
          </w:p>
        </w:tc>
        <w:tc>
          <w:tcPr>
            <w:tcW w:w="4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Office and Warehouse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Billings, MT</w:t>
            </w:r>
          </w:p>
        </w:tc>
        <w:tc>
          <w:tcPr>
            <w:tcW w:w="40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Office and Warehouse</w:t>
            </w:r>
          </w:p>
        </w:tc>
        <w:tc>
          <w:tcPr>
            <w:tcW w:w="1800" w:type="dxa"/>
            <w:vAlign w:val="bottom"/>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Sioux Falls, SD (5)</w:t>
            </w:r>
          </w:p>
        </w:tc>
        <w:tc>
          <w:tcPr>
            <w:tcW w:w="4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Warehouse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Rapid City, SD</w:t>
            </w:r>
          </w:p>
        </w:tc>
        <w:tc>
          <w:tcPr>
            <w:tcW w:w="40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Warehouse</w:t>
            </w:r>
          </w:p>
        </w:tc>
        <w:tc>
          <w:tcPr>
            <w:tcW w:w="1800" w:type="dxa"/>
            <w:vAlign w:val="bottom"/>
          </w:tcPr>
          <w:p>
            <w:pPr>
              <w:jc w:val="right"/>
              <w:spacing w:after="0"/>
              <w:rPr>
                <w:sz w:val="20"/>
                <w:szCs w:val="20"/>
                <w:color w:val="auto"/>
              </w:rPr>
            </w:pPr>
            <w:r>
              <w:rPr>
                <w:rFonts w:ascii="Arial" w:cs="Arial" w:eastAsia="Arial" w:hAnsi="Arial"/>
                <w:sz w:val="18"/>
                <w:szCs w:val="18"/>
                <w:color w:val="auto"/>
              </w:rPr>
              <w:t>3,600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6"/>
              </w:rPr>
              <w:t>Willow Springs, IL (2)</w:t>
            </w:r>
          </w:p>
        </w:tc>
        <w:tc>
          <w:tcPr>
            <w:tcW w:w="4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Warehouse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Superior, WI</w:t>
            </w:r>
          </w:p>
        </w:tc>
        <w:tc>
          <w:tcPr>
            <w:tcW w:w="40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Office and Warehouse</w:t>
            </w:r>
          </w:p>
        </w:tc>
        <w:tc>
          <w:tcPr>
            <w:tcW w:w="1800" w:type="dxa"/>
            <w:vAlign w:val="bottom"/>
          </w:tcPr>
          <w:p>
            <w:pPr>
              <w:jc w:val="right"/>
              <w:spacing w:after="0"/>
              <w:rPr>
                <w:sz w:val="20"/>
                <w:szCs w:val="20"/>
                <w:color w:val="auto"/>
              </w:rPr>
            </w:pPr>
            <w:r>
              <w:rPr>
                <w:rFonts w:ascii="Arial" w:cs="Arial" w:eastAsia="Arial" w:hAnsi="Arial"/>
                <w:sz w:val="18"/>
                <w:szCs w:val="18"/>
                <w:color w:val="auto"/>
              </w:rPr>
              <w:t>17,000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Slater, IA</w:t>
            </w:r>
          </w:p>
        </w:tc>
        <w:tc>
          <w:tcPr>
            <w:tcW w:w="4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Warehouse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Lincoln, NE (2)</w:t>
            </w:r>
          </w:p>
        </w:tc>
        <w:tc>
          <w:tcPr>
            <w:tcW w:w="40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Office and Warehouse</w:t>
            </w:r>
          </w:p>
        </w:tc>
        <w:tc>
          <w:tcPr>
            <w:tcW w:w="1800" w:type="dxa"/>
            <w:vAlign w:val="bottom"/>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6"/>
              </w:rPr>
              <w:t>Eldridge, IA</w:t>
            </w:r>
          </w:p>
        </w:tc>
        <w:tc>
          <w:tcPr>
            <w:tcW w:w="4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Office and Warehouse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660" w:right="100" w:hanging="4"/>
        <w:spacing w:after="0" w:line="272" w:lineRule="auto"/>
        <w:tabs>
          <w:tab w:leader="none" w:pos="1329"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Company’s terminal operations are located at two sites on opposite sides of the Mississippi River, made up of three buildings, nine outside storage tanks with a total capacity of approximately 8,900,000 gallons for the storage of liquid caustic soda, as well as numerous smaller tanks for storing and mixing chemicals. The land is leased from the Port Authority of the City of St. Paul, Minnesota for a basic rent plus an amount based on the annual tonnage unloaded at each site. The applicable leases run until December 31, 2008, at which time the Company has an option to renew the leases for an additional five-year period on the same terms and conditions subject to renegotiation of rent. The Company also has options to renew these leases for additional successive five-year renewal periods (extending until 2018) for which the rent may be adjusted pursuant to the rental renegotiation provisions contained in the leases.</w:t>
      </w:r>
    </w:p>
    <w:p>
      <w:pPr>
        <w:spacing w:after="0" w:line="177" w:lineRule="exact"/>
        <w:rPr>
          <w:rFonts w:ascii="Arial" w:cs="Arial" w:eastAsia="Arial" w:hAnsi="Arial"/>
          <w:sz w:val="17"/>
          <w:szCs w:val="17"/>
          <w:color w:val="auto"/>
        </w:rPr>
      </w:pPr>
    </w:p>
    <w:p>
      <w:pPr>
        <w:ind w:left="1320" w:hanging="66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facility is leased from a third party.</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 of this facility is leased to a third party (5,000 square feet).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 of this facility is leased to a third party (2,500 square feet).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 of this facility is leased to a third party (6,000 square feet).</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 xml:space="preserve">The Company was a defendant in a lawsuit encaptioned </w:t>
      </w:r>
      <w:r>
        <w:rPr>
          <w:rFonts w:ascii="Arial" w:cs="Arial" w:eastAsia="Arial" w:hAnsi="Arial"/>
          <w:sz w:val="16"/>
          <w:szCs w:val="16"/>
          <w:i w:val="1"/>
          <w:iCs w:val="1"/>
          <w:color w:val="auto"/>
        </w:rPr>
        <w:t>Chavarria et al v. Hawkins, Inc., Panorama Compounding Pharmacy, and Valley Drug and</w:t>
      </w:r>
      <w:r>
        <w:rPr>
          <w:rFonts w:ascii="Arial" w:cs="Arial" w:eastAsia="Arial" w:hAnsi="Arial"/>
          <w:sz w:val="16"/>
          <w:szCs w:val="16"/>
          <w:color w:val="auto"/>
        </w:rPr>
        <w:t xml:space="preserve"> </w:t>
      </w:r>
      <w:r>
        <w:rPr>
          <w:rFonts w:ascii="Arial" w:cs="Arial" w:eastAsia="Arial" w:hAnsi="Arial"/>
          <w:sz w:val="16"/>
          <w:szCs w:val="16"/>
          <w:i w:val="1"/>
          <w:iCs w:val="1"/>
          <w:color w:val="auto"/>
        </w:rPr>
        <w:t>Compounding, et al</w:t>
      </w:r>
      <w:r>
        <w:rPr>
          <w:rFonts w:ascii="Arial" w:cs="Arial" w:eastAsia="Arial" w:hAnsi="Arial"/>
          <w:sz w:val="16"/>
          <w:szCs w:val="16"/>
          <w:color w:val="auto"/>
        </w:rPr>
        <w:t>. This action was filed on September 7, 2001 in the Superior Court of the State of California, County of Los Angeles, Northwest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Case No. LC 057561. The plaintiffs were seeking unspecified compensatory and punitive damages relating to claims arising from the alleged mislabeling of certain inventory purchased by the Company as part of an acquisition in May 2000. A tentative settlement was reached in February 2004, and on April 9, 2004 the case was dismissed. Pursuant to the terms of the settlement, the Company did not admit or deny any of the allegations of the complaint. The Company was responsible for the payment of $3.0 million that was not covered by insurance, which was charged against income from operations and paid during the fourth quarter of fiscal 2004. The Company is pursuing reimbursement of the settlement payment and defense costs from third parties.</w:t>
      </w:r>
    </w:p>
    <w:p>
      <w:pPr>
        <w:spacing w:after="0" w:line="16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SUBMISSION OF MATTERS TO A VOTE OF SECURITY 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EXECUTIVE OFFICERS OF THE REGISTRANT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executive officers of the Company, their ages and offices held, as of June 1, 2004 are set forth below:</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6700" w:type="dxa"/>
            <w:vAlign w:val="bottom"/>
          </w:tcPr>
          <w:p>
            <w:pPr>
              <w:ind w:left="3160"/>
              <w:spacing w:after="0"/>
              <w:rPr>
                <w:sz w:val="20"/>
                <w:szCs w:val="20"/>
                <w:color w:val="auto"/>
              </w:rPr>
            </w:pPr>
            <w:r>
              <w:rPr>
                <w:rFonts w:ascii="Arial" w:cs="Arial" w:eastAsia="Arial" w:hAnsi="Arial"/>
                <w:sz w:val="14"/>
                <w:szCs w:val="14"/>
                <w:b w:val="1"/>
                <w:bCs w:val="1"/>
                <w:color w:val="auto"/>
              </w:rPr>
              <w:t>Office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6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Chairman of the Board and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E. Dee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6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Chief Financial Officer, Secretary, and Treasurer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Keenan A. Paulson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6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 Water Treatment Group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Sevenich</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6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 Manufacturing and Specialty Products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Soderlund</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6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 Pharmaceuticals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John R. Hawkins has been the Company’s Chairman and Chief Executive Officer since February 16, 2000. He was President and Chief Operating Officer from December 1998 to February 2000 and was Secretary from 1991 to December 1999. He was an Executive Vice President from 1997 to December 1998 and Vice President of Sales from 1987 to 1997.</w:t>
      </w:r>
    </w:p>
    <w:p>
      <w:pPr>
        <w:spacing w:after="0" w:line="18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Marvin E. Dee has been the Company’s Vice President and Chief Financial Officer since September 1999 and its Secretary and Treasurer since December 1999. He was the Chief Financial Officer of Nath Companies from 1997 to September 1999, the Vice President of Finance and Treasurer of Tricord Systems, Inc. from 1993 to 1997 and Senior Director of Accounting of NordicTrack, Inc. in 1993 and the Controller of NordicTrack from 1991 to 1992.</w:t>
      </w:r>
    </w:p>
    <w:p>
      <w:pPr>
        <w:sectPr>
          <w:pgSz w:w="11900" w:h="16838" w:orient="portrait"/>
          <w:cols w:equalWidth="0" w:num="1">
            <w:col w:w="11420"/>
          </w:cols>
          <w:pgMar w:left="240" w:top="320" w:right="239" w:bottom="0" w:gutter="0" w:footer="0" w:header="0"/>
        </w:sectPr>
      </w:pPr>
    </w:p>
    <w:bookmarkStart w:id="4" w:name="page5"/>
    <w:bookmarkEnd w:id="4"/>
    <w:p>
      <w:pPr>
        <w:spacing w:after="0" w:line="6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Keenan A. Paulson has been the Company’s Vice President - Water Treatment Group since May 2000. Prior to attaining this position, Ms. Paulson held various positions during her 32-year career with the Company, most recently as its Water Treatment General Manager.</w:t>
      </w:r>
    </w:p>
    <w:p>
      <w:pPr>
        <w:spacing w:after="0" w:line="14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John R. Sevenich has been the Company’s Vice President - Manufacturing and Specialty Products since May 2000. He was the Business Unit Manager of Manufacturing from 1998 to May 2000 and was a Sales Representative with the Company from 1989 to 1998.</w:t>
      </w:r>
    </w:p>
    <w:p>
      <w:pPr>
        <w:spacing w:after="0" w:line="170" w:lineRule="exact"/>
        <w:rPr>
          <w:sz w:val="20"/>
          <w:szCs w:val="20"/>
          <w:color w:val="auto"/>
        </w:rPr>
      </w:pPr>
    </w:p>
    <w:p>
      <w:pPr>
        <w:ind w:right="1060" w:firstLine="648"/>
        <w:spacing w:after="0" w:line="308" w:lineRule="auto"/>
        <w:rPr>
          <w:sz w:val="20"/>
          <w:szCs w:val="20"/>
          <w:color w:val="auto"/>
        </w:rPr>
      </w:pPr>
      <w:r>
        <w:rPr>
          <w:rFonts w:ascii="Arial" w:cs="Arial" w:eastAsia="Arial" w:hAnsi="Arial"/>
          <w:sz w:val="17"/>
          <w:szCs w:val="17"/>
          <w:color w:val="auto"/>
        </w:rPr>
        <w:t>Daniel E. Soderlund has been the Company’s Vice President - Pharmaceuticals since May 2000. He was the Business Unit Manager of Pharmaceuticals from April 1999 to May 2000 and was a Sales Representative with the Company from 1992 to April 1999.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MARKET FOR THE COMPANY’S COMMON EQUITY AND RELATED STOCKHOLDER MATTERS.</w:t>
      </w:r>
    </w:p>
    <w:p>
      <w:pPr>
        <w:spacing w:after="0" w:line="217"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Quarterly Stock Data</w:t>
            </w:r>
          </w:p>
        </w:tc>
        <w:tc>
          <w:tcPr>
            <w:tcW w:w="1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High</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r>
      <w:tr>
        <w:trPr>
          <w:trHeight w:val="210"/>
        </w:trPr>
        <w:tc>
          <w:tcPr>
            <w:tcW w:w="4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2004</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7"/>
        </w:trPr>
        <w:tc>
          <w:tcPr>
            <w:tcW w:w="448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13.650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11.600</w:t>
            </w:r>
          </w:p>
        </w:tc>
        <w:tc>
          <w:tcPr>
            <w:tcW w:w="60" w:type="dxa"/>
            <w:vAlign w:val="bottom"/>
          </w:tcPr>
          <w:p>
            <w:pPr>
              <w:spacing w:after="0"/>
              <w:rPr>
                <w:sz w:val="22"/>
                <w:szCs w:val="22"/>
                <w:color w:val="auto"/>
              </w:rPr>
            </w:pPr>
          </w:p>
        </w:tc>
      </w:tr>
      <w:tr>
        <w:trPr>
          <w:trHeight w:val="257"/>
        </w:trPr>
        <w:tc>
          <w:tcPr>
            <w:tcW w:w="448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12.620</w:t>
            </w:r>
          </w:p>
        </w:tc>
      </w:tr>
      <w:tr>
        <w:trPr>
          <w:trHeight w:val="257"/>
        </w:trPr>
        <w:tc>
          <w:tcPr>
            <w:tcW w:w="448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18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12.970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10.280</w:t>
            </w:r>
          </w:p>
        </w:tc>
      </w:tr>
      <w:tr>
        <w:trPr>
          <w:trHeight w:val="257"/>
        </w:trPr>
        <w:tc>
          <w:tcPr>
            <w:tcW w:w="448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11.350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60" w:type="dxa"/>
            <w:vAlign w:val="bottom"/>
            <w:shd w:val="clear" w:color="auto" w:fill="CCEEFF"/>
          </w:tcPr>
          <w:p>
            <w:pPr>
              <w:spacing w:after="0"/>
              <w:rPr>
                <w:sz w:val="22"/>
                <w:szCs w:val="22"/>
                <w:color w:val="auto"/>
              </w:rPr>
            </w:pPr>
          </w:p>
        </w:tc>
      </w:tr>
      <w:tr>
        <w:trPr>
          <w:trHeight w:val="216"/>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7"/>
        </w:trPr>
        <w:tc>
          <w:tcPr>
            <w:tcW w:w="448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9.400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8.400</w:t>
            </w:r>
          </w:p>
        </w:tc>
        <w:tc>
          <w:tcPr>
            <w:tcW w:w="60" w:type="dxa"/>
            <w:vAlign w:val="bottom"/>
          </w:tcPr>
          <w:p>
            <w:pPr>
              <w:spacing w:after="0"/>
              <w:rPr>
                <w:sz w:val="22"/>
                <w:szCs w:val="22"/>
                <w:color w:val="auto"/>
              </w:rPr>
            </w:pPr>
          </w:p>
        </w:tc>
      </w:tr>
      <w:tr>
        <w:trPr>
          <w:trHeight w:val="257"/>
        </w:trPr>
        <w:tc>
          <w:tcPr>
            <w:tcW w:w="448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60" w:type="dxa"/>
            <w:vAlign w:val="bottom"/>
            <w:shd w:val="clear" w:color="auto" w:fill="CCEEFF"/>
          </w:tcPr>
          <w:p>
            <w:pPr>
              <w:spacing w:after="0"/>
              <w:rPr>
                <w:sz w:val="22"/>
                <w:szCs w:val="22"/>
                <w:color w:val="auto"/>
              </w:rPr>
            </w:pPr>
          </w:p>
        </w:tc>
      </w:tr>
      <w:tr>
        <w:trPr>
          <w:trHeight w:val="257"/>
        </w:trPr>
        <w:tc>
          <w:tcPr>
            <w:tcW w:w="448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18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9.900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8.110</w:t>
            </w:r>
          </w:p>
        </w:tc>
      </w:tr>
      <w:tr>
        <w:trPr>
          <w:trHeight w:val="257"/>
        </w:trPr>
        <w:tc>
          <w:tcPr>
            <w:tcW w:w="448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60" w:type="dxa"/>
            <w:vAlign w:val="bottom"/>
            <w:shd w:val="clear" w:color="auto" w:fill="CCEEFF"/>
          </w:tcPr>
          <w:p>
            <w:pPr>
              <w:spacing w:after="0"/>
              <w:rPr>
                <w:sz w:val="22"/>
                <w:szCs w:val="22"/>
                <w:color w:val="auto"/>
              </w:rPr>
            </w:pPr>
          </w:p>
        </w:tc>
      </w:tr>
      <w:tr>
        <w:trPr>
          <w:trHeight w:val="365"/>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Cash Dividends</w:t>
            </w:r>
          </w:p>
        </w:tc>
        <w:tc>
          <w:tcPr>
            <w:tcW w:w="18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Declared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Paid</w:t>
            </w:r>
          </w:p>
        </w:tc>
      </w:tr>
      <w:tr>
        <w:trPr>
          <w:trHeight w:val="210"/>
        </w:trPr>
        <w:tc>
          <w:tcPr>
            <w:tcW w:w="4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7"/>
        </w:trPr>
        <w:tc>
          <w:tcPr>
            <w:tcW w:w="448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2"/>
                <w:szCs w:val="22"/>
                <w:color w:val="auto"/>
              </w:rPr>
            </w:pPr>
          </w:p>
        </w:tc>
      </w:tr>
      <w:tr>
        <w:trPr>
          <w:trHeight w:val="216"/>
        </w:trPr>
        <w:tc>
          <w:tcPr>
            <w:tcW w:w="4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Fiscal 2004</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448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57"/>
        </w:trPr>
        <w:tc>
          <w:tcPr>
            <w:tcW w:w="448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2"/>
                <w:szCs w:val="22"/>
                <w:color w:val="auto"/>
              </w:rPr>
            </w:pPr>
          </w:p>
        </w:tc>
      </w:tr>
      <w:tr>
        <w:trPr>
          <w:trHeight w:val="257"/>
        </w:trPr>
        <w:tc>
          <w:tcPr>
            <w:tcW w:w="448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57"/>
        </w:trPr>
        <w:tc>
          <w:tcPr>
            <w:tcW w:w="448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2"/>
                <w:szCs w:val="22"/>
                <w:color w:val="auto"/>
              </w:rPr>
            </w:pPr>
          </w:p>
        </w:tc>
      </w:tr>
      <w:tr>
        <w:trPr>
          <w:trHeight w:val="216"/>
        </w:trPr>
        <w:tc>
          <w:tcPr>
            <w:tcW w:w="4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Fiscal 2003</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448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57"/>
        </w:trPr>
        <w:tc>
          <w:tcPr>
            <w:tcW w:w="448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2"/>
                <w:szCs w:val="22"/>
                <w:color w:val="auto"/>
              </w:rPr>
            </w:pPr>
          </w:p>
        </w:tc>
      </w:tr>
      <w:tr>
        <w:trPr>
          <w:trHeight w:val="257"/>
        </w:trPr>
        <w:tc>
          <w:tcPr>
            <w:tcW w:w="448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390"/>
        </w:trPr>
        <w:tc>
          <w:tcPr>
            <w:tcW w:w="4480" w:type="dxa"/>
            <w:vAlign w:val="bottom"/>
            <w:gridSpan w:val="2"/>
          </w:tcPr>
          <w:p>
            <w:pPr>
              <w:ind w:left="540"/>
              <w:spacing w:after="0"/>
              <w:rPr>
                <w:sz w:val="20"/>
                <w:szCs w:val="20"/>
                <w:color w:val="auto"/>
              </w:rPr>
            </w:pPr>
            <w:r>
              <w:rPr>
                <w:rFonts w:ascii="Arial" w:cs="Arial" w:eastAsia="Arial" w:hAnsi="Arial"/>
                <w:sz w:val="18"/>
                <w:szCs w:val="18"/>
                <w:color w:val="auto"/>
              </w:rPr>
              <w:t>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Quarter</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4"/>
                <w:szCs w:val="24"/>
                <w:color w:val="auto"/>
              </w:rPr>
            </w:pPr>
          </w:p>
        </w:tc>
      </w:tr>
    </w:tbl>
    <w:p>
      <w:pPr>
        <w:spacing w:after="0" w:line="6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common shares are traded on The Nasdaq Stock Marketâ under the symbol “HWKN.” The price information represents closing sale prices as reported by The Nasdaq Stock Market. As of March 28, 2004, there were approximately 650 registered common shareholders, which includes nominees or broker dealers holding stock on behalf of an estimated 1,750 beneficial owners.</w:t>
      </w:r>
    </w:p>
    <w:p>
      <w:pPr>
        <w:spacing w:after="0" w:line="18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Company first started paying cash dividends in 1985 and has done so consecutively since that time. Future dividend levels will be dependent upon Hawkins’ results of operations, financial position, cash flows and other factors, and will be evaluated by the Hawkins Board of Directors.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SELECTED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TABLES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Fiscal Year</w:t>
            </w: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Fiscal Year</w:t>
            </w: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Six-Month</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Transitional</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Period Ended</w:t>
            </w:r>
          </w:p>
        </w:tc>
        <w:tc>
          <w:tcPr>
            <w:tcW w:w="220" w:type="dxa"/>
            <w:vAlign w:val="bottom"/>
          </w:tcPr>
          <w:p>
            <w:pPr>
              <w:spacing w:after="0"/>
              <w:rPr>
                <w:sz w:val="16"/>
                <w:szCs w:val="16"/>
                <w:color w:val="auto"/>
              </w:rPr>
            </w:pPr>
          </w:p>
        </w:tc>
        <w:tc>
          <w:tcPr>
            <w:tcW w:w="292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rPr>
              <w:t>Fiscal Years Ended September</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00" w:type="dxa"/>
            <w:vAlign w:val="bottom"/>
            <w:vMerge w:val="restart"/>
          </w:tcPr>
          <w:p>
            <w:pPr>
              <w:spacing w:after="0"/>
              <w:rPr>
                <w:sz w:val="2"/>
                <w:szCs w:val="2"/>
                <w:color w:val="auto"/>
              </w:rPr>
            </w:pPr>
          </w:p>
        </w:tc>
        <w:tc>
          <w:tcPr>
            <w:tcW w:w="1480" w:type="dxa"/>
            <w:vAlign w:val="bottom"/>
            <w:gridSpan w:val="2"/>
            <w:vMerge w:val="restart"/>
          </w:tcPr>
          <w:p>
            <w:pPr>
              <w:jc w:val="center"/>
              <w:ind w:right="260"/>
              <w:spacing w:after="0" w:line="113" w:lineRule="exact"/>
              <w:rPr>
                <w:sz w:val="20"/>
                <w:szCs w:val="20"/>
                <w:color w:val="auto"/>
              </w:rPr>
            </w:pPr>
            <w:r>
              <w:rPr>
                <w:rFonts w:ascii="Arial" w:cs="Arial" w:eastAsia="Arial" w:hAnsi="Arial"/>
                <w:sz w:val="13"/>
                <w:szCs w:val="13"/>
                <w:b w:val="1"/>
                <w:bCs w:val="1"/>
                <w:color w:val="auto"/>
              </w:rPr>
              <w:t>March 28,</w:t>
            </w:r>
          </w:p>
        </w:tc>
        <w:tc>
          <w:tcPr>
            <w:tcW w:w="148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March 30,</w:t>
            </w:r>
          </w:p>
        </w:tc>
        <w:tc>
          <w:tcPr>
            <w:tcW w:w="140" w:type="dxa"/>
            <w:vAlign w:val="bottom"/>
          </w:tcPr>
          <w:p>
            <w:pPr>
              <w:spacing w:after="0"/>
              <w:rPr>
                <w:sz w:val="2"/>
                <w:szCs w:val="2"/>
                <w:color w:val="auto"/>
              </w:rPr>
            </w:pPr>
          </w:p>
        </w:tc>
        <w:tc>
          <w:tcPr>
            <w:tcW w:w="1360" w:type="dxa"/>
            <w:vAlign w:val="bottom"/>
            <w:gridSpan w:val="2"/>
            <w:vMerge w:val="restart"/>
          </w:tcPr>
          <w:p>
            <w:pPr>
              <w:jc w:val="center"/>
              <w:ind w:right="400"/>
              <w:spacing w:after="0" w:line="113" w:lineRule="exact"/>
              <w:rPr>
                <w:sz w:val="20"/>
                <w:szCs w:val="20"/>
                <w:color w:val="auto"/>
              </w:rPr>
            </w:pPr>
            <w:r>
              <w:rPr>
                <w:rFonts w:ascii="Arial" w:cs="Arial" w:eastAsia="Arial" w:hAnsi="Arial"/>
                <w:sz w:val="13"/>
                <w:szCs w:val="13"/>
                <w:b w:val="1"/>
                <w:bCs w:val="1"/>
                <w:color w:val="auto"/>
              </w:rPr>
              <w:t>March 31,</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52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w w:val="96"/>
              </w:rPr>
              <w:t>2004</w:t>
            </w:r>
          </w:p>
        </w:tc>
        <w:tc>
          <w:tcPr>
            <w:tcW w:w="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2002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107,028,131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   104,004,611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49,868,179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107,931,668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98,021,731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96,734,470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5,751,884</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8,430,172</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3,083,771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7,117,578</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8,567,699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w:t>
            </w:r>
          </w:p>
        </w:tc>
        <w:tc>
          <w:tcPr>
            <w:tcW w:w="1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5" w:name="page6"/>
    <w:bookmarkEnd w:id="5"/>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w:t>
            </w:r>
          </w:p>
        </w:tc>
        <w:tc>
          <w:tcPr>
            <w:tcW w:w="15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declared per</w:t>
            </w:r>
          </w:p>
        </w:tc>
        <w:tc>
          <w:tcPr>
            <w:tcW w:w="15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w:t>
            </w: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.36</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.33</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paid per common</w:t>
            </w:r>
          </w:p>
        </w:tc>
        <w:tc>
          <w:tcPr>
            <w:tcW w:w="15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.36</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82,616,905</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81,098,739</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71,487,133</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74,868,121</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69,894,520</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68,999,827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116,823</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226,003</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328,040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Company changed its fiscal year end from the Sunday closest to September 30 to the Sunday closest to March 31, beginning after a six-month transitional period ended on March 31, 2002. See “Management’s Discussion and Analysis of Financial Condition and Results of Operations - General.”</w:t>
      </w:r>
    </w:p>
    <w:p>
      <w:pPr>
        <w:spacing w:after="0" w:line="12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information contained in this Annual Report on Form 10-K for the year ended March 28, 2004 contains statements that we believe to be “forward-looking statements” within the meaning of the Private Securities Litigation Reform Act of 1995.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Annual Report on Form 10-K and in any public statements we make could be materially different from actual results. They can be affected by assumptions we might make or by known or unknown risks or uncertainties, including those described below under “Risk Factors” and other factors disclosed throughout this Annual Report on Form 10-K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Annual Report on Form 10-K. Investors are cautioned not to place undue reliance on any forward-looking statements. Investors should also understand that it is not possible to predict or identify all factors that might affect actual results and should not consider the following list to be a complete statement of all potential risks and uncertainties.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addition to specific factors which may be described in connection with any of the Company’s forward-looking statements, factors which could cause actual results to differ materially include, but are not limited to, the following items.</w:t>
      </w:r>
    </w:p>
    <w:p>
      <w:pPr>
        <w:spacing w:after="0" w:line="197" w:lineRule="exact"/>
        <w:rPr>
          <w:sz w:val="20"/>
          <w:szCs w:val="20"/>
          <w:color w:val="auto"/>
        </w:rPr>
      </w:pPr>
    </w:p>
    <w:p>
      <w:pPr>
        <w:ind w:left="1000" w:right="180" w:hanging="305"/>
        <w:spacing w:after="0" w:line="259" w:lineRule="auto"/>
        <w:tabs>
          <w:tab w:leader="none" w:pos="994" w:val="left"/>
        </w:tabs>
        <w:numPr>
          <w:ilvl w:val="0"/>
          <w:numId w:val="10"/>
        </w:numPr>
        <w:rPr>
          <w:rFonts w:ascii="Arial" w:cs="Arial" w:eastAsia="Arial" w:hAnsi="Arial"/>
          <w:sz w:val="21"/>
          <w:szCs w:val="21"/>
          <w:color w:val="auto"/>
        </w:rPr>
      </w:pPr>
      <w:r>
        <w:rPr>
          <w:rFonts w:ascii="Arial" w:cs="Arial" w:eastAsia="Arial" w:hAnsi="Arial"/>
          <w:sz w:val="17"/>
          <w:szCs w:val="17"/>
          <w:color w:val="auto"/>
        </w:rPr>
        <w:t>Reduced profit margins due to the cyclical nature of commodity chemical prices. The cyclicality of commodity chemical markets, such as caustic soda, primarily results from changes in the balance between supply and demand and the level of general economic activity. The Company cannot predict with any certainty whether the markets for its commodity chemicals will favorably impact the Company’s operations or whether the Company will experience losses due to excess production resulting in oversupply and lower prices.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0" w:right="340" w:hanging="305"/>
        <w:spacing w:after="0" w:line="297" w:lineRule="auto"/>
        <w:tabs>
          <w:tab w:leader="none" w:pos="994" w:val="left"/>
        </w:tabs>
        <w:numPr>
          <w:ilvl w:val="0"/>
          <w:numId w:val="11"/>
        </w:numPr>
        <w:rPr>
          <w:rFonts w:ascii="Arial" w:cs="Arial" w:eastAsia="Arial" w:hAnsi="Arial"/>
          <w:sz w:val="19"/>
          <w:szCs w:val="19"/>
          <w:color w:val="auto"/>
        </w:rPr>
      </w:pPr>
      <w:r>
        <w:rPr>
          <w:rFonts w:ascii="Arial" w:cs="Arial" w:eastAsia="Arial" w:hAnsi="Arial"/>
          <w:sz w:val="16"/>
          <w:szCs w:val="16"/>
          <w:color w:val="auto"/>
        </w:rPr>
        <w:t>Unforeseen liabilities arising from litigation, particularly liabilities that may arise from claims under environmental laws which may impose liability for the release of hazardous materials whether or not the Company had knowledge of or was responsible for such release.</w:t>
      </w:r>
    </w:p>
    <w:p>
      <w:pPr>
        <w:spacing w:after="0" w:line="177" w:lineRule="exact"/>
        <w:rPr>
          <w:rFonts w:ascii="Arial" w:cs="Arial" w:eastAsia="Arial" w:hAnsi="Arial"/>
          <w:sz w:val="19"/>
          <w:szCs w:val="19"/>
          <w:color w:val="auto"/>
        </w:rPr>
      </w:pPr>
    </w:p>
    <w:p>
      <w:pPr>
        <w:ind w:left="1000" w:right="220" w:hanging="305"/>
        <w:spacing w:after="0" w:line="232" w:lineRule="auto"/>
        <w:tabs>
          <w:tab w:leader="none" w:pos="994" w:val="left"/>
        </w:tabs>
        <w:numPr>
          <w:ilvl w:val="0"/>
          <w:numId w:val="11"/>
        </w:numPr>
        <w:rPr>
          <w:rFonts w:ascii="Arial" w:cs="Arial" w:eastAsia="Arial" w:hAnsi="Arial"/>
          <w:sz w:val="22"/>
          <w:szCs w:val="22"/>
          <w:color w:val="auto"/>
        </w:rPr>
      </w:pPr>
      <w:r>
        <w:rPr>
          <w:rFonts w:ascii="Arial" w:cs="Arial" w:eastAsia="Arial" w:hAnsi="Arial"/>
          <w:sz w:val="18"/>
          <w:szCs w:val="18"/>
          <w:color w:val="auto"/>
        </w:rPr>
        <w:t>Changes in governmental and regulatory policies that affect the Company which may entail significant cost increases relating to the handling, storage, transportation, treatment or disposal of hazardous materials.</w:t>
      </w:r>
    </w:p>
    <w:p>
      <w:pPr>
        <w:spacing w:after="0" w:line="208" w:lineRule="exact"/>
        <w:rPr>
          <w:rFonts w:ascii="Arial" w:cs="Arial" w:eastAsia="Arial" w:hAnsi="Arial"/>
          <w:sz w:val="22"/>
          <w:szCs w:val="22"/>
          <w:color w:val="auto"/>
        </w:rPr>
      </w:pPr>
    </w:p>
    <w:p>
      <w:pPr>
        <w:ind w:left="980" w:hanging="285"/>
        <w:spacing w:after="0"/>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Increased competition which could affect our ability to raise prices or successfully enter certain markets.</w:t>
      </w:r>
    </w:p>
    <w:p>
      <w:pPr>
        <w:spacing w:after="0" w:line="206" w:lineRule="exact"/>
        <w:rPr>
          <w:rFonts w:ascii="Arial" w:cs="Arial" w:eastAsia="Arial" w:hAnsi="Arial"/>
          <w:sz w:val="22"/>
          <w:szCs w:val="22"/>
          <w:color w:val="auto"/>
        </w:rPr>
      </w:pPr>
    </w:p>
    <w:p>
      <w:pPr>
        <w:ind w:left="980" w:hanging="285"/>
        <w:spacing w:after="0"/>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Changes in customer demand which may significantly reduce revenues and income.</w:t>
      </w:r>
    </w:p>
    <w:p>
      <w:pPr>
        <w:spacing w:after="0" w:line="206" w:lineRule="exact"/>
        <w:rPr>
          <w:rFonts w:ascii="Arial" w:cs="Arial" w:eastAsia="Arial" w:hAnsi="Arial"/>
          <w:sz w:val="22"/>
          <w:szCs w:val="22"/>
          <w:color w:val="auto"/>
        </w:rPr>
      </w:pPr>
    </w:p>
    <w:p>
      <w:pPr>
        <w:ind w:left="980" w:hanging="285"/>
        <w:spacing w:after="0"/>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Changes in product costs or operating expenses which may reduce our operating margins.</w:t>
      </w:r>
    </w:p>
    <w:p>
      <w:pPr>
        <w:spacing w:after="0" w:line="206" w:lineRule="exact"/>
        <w:rPr>
          <w:rFonts w:ascii="Arial" w:cs="Arial" w:eastAsia="Arial" w:hAnsi="Arial"/>
          <w:sz w:val="22"/>
          <w:szCs w:val="22"/>
          <w:color w:val="auto"/>
        </w:rPr>
      </w:pPr>
    </w:p>
    <w:p>
      <w:pPr>
        <w:ind w:left="980" w:hanging="285"/>
        <w:spacing w:after="0"/>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financial condition of our customers and their ability to purchase our products at comparable prices.</w:t>
      </w:r>
    </w:p>
    <w:p>
      <w:pPr>
        <w:spacing w:after="0" w:line="228" w:lineRule="exact"/>
        <w:rPr>
          <w:rFonts w:ascii="Arial" w:cs="Arial" w:eastAsia="Arial" w:hAnsi="Arial"/>
          <w:sz w:val="22"/>
          <w:szCs w:val="22"/>
          <w:color w:val="auto"/>
        </w:rPr>
      </w:pPr>
    </w:p>
    <w:p>
      <w:pPr>
        <w:ind w:left="1000" w:right="40" w:hanging="305"/>
        <w:spacing w:after="0" w:line="232" w:lineRule="auto"/>
        <w:tabs>
          <w:tab w:leader="none" w:pos="994" w:val="left"/>
        </w:tabs>
        <w:numPr>
          <w:ilvl w:val="0"/>
          <w:numId w:val="11"/>
        </w:numPr>
        <w:rPr>
          <w:rFonts w:ascii="Arial" w:cs="Arial" w:eastAsia="Arial" w:hAnsi="Arial"/>
          <w:sz w:val="22"/>
          <w:szCs w:val="22"/>
          <w:color w:val="auto"/>
        </w:rPr>
      </w:pPr>
      <w:r>
        <w:rPr>
          <w:rFonts w:ascii="Arial" w:cs="Arial" w:eastAsia="Arial" w:hAnsi="Arial"/>
          <w:sz w:val="18"/>
          <w:szCs w:val="18"/>
          <w:color w:val="auto"/>
        </w:rPr>
        <w:t>Significant changes in our business strategies, including acquisition, divestiture and restructuring activities which may affect our ability to focus on operating activities or increase costs.</w:t>
      </w:r>
    </w:p>
    <w:p>
      <w:pPr>
        <w:spacing w:after="0" w:line="230" w:lineRule="exact"/>
        <w:rPr>
          <w:rFonts w:ascii="Arial" w:cs="Arial" w:eastAsia="Arial" w:hAnsi="Arial"/>
          <w:sz w:val="22"/>
          <w:szCs w:val="22"/>
          <w:color w:val="auto"/>
        </w:rPr>
      </w:pPr>
    </w:p>
    <w:p>
      <w:pPr>
        <w:ind w:left="1000" w:right="320" w:hanging="305"/>
        <w:spacing w:after="0" w:line="232" w:lineRule="auto"/>
        <w:tabs>
          <w:tab w:leader="none" w:pos="994" w:val="left"/>
        </w:tabs>
        <w:numPr>
          <w:ilvl w:val="0"/>
          <w:numId w:val="11"/>
        </w:numPr>
        <w:rPr>
          <w:rFonts w:ascii="Arial" w:cs="Arial" w:eastAsia="Arial" w:hAnsi="Arial"/>
          <w:sz w:val="22"/>
          <w:szCs w:val="22"/>
          <w:color w:val="auto"/>
        </w:rPr>
      </w:pPr>
      <w:r>
        <w:rPr>
          <w:rFonts w:ascii="Arial" w:cs="Arial" w:eastAsia="Arial" w:hAnsi="Arial"/>
          <w:sz w:val="18"/>
          <w:szCs w:val="18"/>
          <w:color w:val="auto"/>
        </w:rPr>
        <w:t>General economic and political conditions, such as political instability or the rate of economic growth in our principal geographic or product markets.</w:t>
      </w:r>
    </w:p>
    <w:p>
      <w:pPr>
        <w:spacing w:after="0" w:line="230" w:lineRule="exact"/>
        <w:rPr>
          <w:rFonts w:ascii="Arial" w:cs="Arial" w:eastAsia="Arial" w:hAnsi="Arial"/>
          <w:sz w:val="22"/>
          <w:szCs w:val="22"/>
          <w:color w:val="auto"/>
        </w:rPr>
      </w:pPr>
    </w:p>
    <w:p>
      <w:pPr>
        <w:ind w:left="1000" w:right="40" w:hanging="305"/>
        <w:spacing w:after="0" w:line="232" w:lineRule="auto"/>
        <w:tabs>
          <w:tab w:leader="none" w:pos="994" w:val="left"/>
        </w:tabs>
        <w:numPr>
          <w:ilvl w:val="0"/>
          <w:numId w:val="11"/>
        </w:numPr>
        <w:rPr>
          <w:rFonts w:ascii="Arial" w:cs="Arial" w:eastAsia="Arial" w:hAnsi="Arial"/>
          <w:sz w:val="22"/>
          <w:szCs w:val="22"/>
          <w:color w:val="auto"/>
        </w:rPr>
      </w:pPr>
      <w:r>
        <w:rPr>
          <w:rFonts w:ascii="Arial" w:cs="Arial" w:eastAsia="Arial" w:hAnsi="Arial"/>
          <w:sz w:val="18"/>
          <w:szCs w:val="18"/>
          <w:color w:val="auto"/>
        </w:rPr>
        <w:t>Changes in operating factors, such as our ability to make continued improvements in distribution efficiencies and inventory risks due to shifts in market demand.</w:t>
      </w:r>
    </w:p>
    <w:p>
      <w:pPr>
        <w:spacing w:after="0" w:line="230" w:lineRule="exact"/>
        <w:rPr>
          <w:rFonts w:ascii="Arial" w:cs="Arial" w:eastAsia="Arial" w:hAnsi="Arial"/>
          <w:sz w:val="22"/>
          <w:szCs w:val="22"/>
          <w:color w:val="auto"/>
        </w:rPr>
      </w:pPr>
    </w:p>
    <w:p>
      <w:pPr>
        <w:ind w:left="1000" w:right="340" w:hanging="305"/>
        <w:spacing w:after="0" w:line="232" w:lineRule="auto"/>
        <w:tabs>
          <w:tab w:leader="none" w:pos="994" w:val="left"/>
        </w:tabs>
        <w:numPr>
          <w:ilvl w:val="0"/>
          <w:numId w:val="11"/>
        </w:numPr>
        <w:rPr>
          <w:rFonts w:ascii="Arial" w:cs="Arial" w:eastAsia="Arial" w:hAnsi="Arial"/>
          <w:sz w:val="22"/>
          <w:szCs w:val="22"/>
          <w:color w:val="auto"/>
        </w:rPr>
      </w:pPr>
      <w:r>
        <w:rPr>
          <w:rFonts w:ascii="Arial" w:cs="Arial" w:eastAsia="Arial" w:hAnsi="Arial"/>
          <w:sz w:val="18"/>
          <w:szCs w:val="18"/>
          <w:color w:val="auto"/>
        </w:rPr>
        <w:t>Unforeseen or recurring operational problems or natural disasters at any of our facilities causing significant lost production and/or increased costs.</w:t>
      </w:r>
    </w:p>
    <w:p>
      <w:pPr>
        <w:spacing w:after="0" w:line="208" w:lineRule="exact"/>
        <w:rPr>
          <w:rFonts w:ascii="Arial" w:cs="Arial" w:eastAsia="Arial" w:hAnsi="Arial"/>
          <w:sz w:val="22"/>
          <w:szCs w:val="22"/>
          <w:color w:val="auto"/>
        </w:rPr>
      </w:pPr>
    </w:p>
    <w:p>
      <w:pPr>
        <w:ind w:left="980" w:hanging="285"/>
        <w:spacing w:after="0"/>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Technology risks, such as failure to continue to make process improvements to reduce costs or to analyze our business.</w:t>
      </w:r>
    </w:p>
    <w:p>
      <w:pPr>
        <w:spacing w:after="0" w:line="206" w:lineRule="exact"/>
        <w:rPr>
          <w:rFonts w:ascii="Arial" w:cs="Arial" w:eastAsia="Arial" w:hAnsi="Arial"/>
          <w:sz w:val="22"/>
          <w:szCs w:val="22"/>
          <w:color w:val="auto"/>
        </w:rPr>
      </w:pPr>
    </w:p>
    <w:p>
      <w:pPr>
        <w:ind w:left="980" w:hanging="285"/>
        <w:spacing w:after="0"/>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color w:val="auto"/>
        </w:rPr>
        <w:t>Loss of senior management or other key personnel and our ability to hire suitable replacements in a timely manner.</w:t>
      </w:r>
    </w:p>
    <w:p>
      <w:pPr>
        <w:sectPr>
          <w:pgSz w:w="11900" w:h="16884" w:orient="portrait"/>
          <w:cols w:equalWidth="0" w:num="1">
            <w:col w:w="11420"/>
          </w:cols>
          <w:pgMar w:left="240" w:top="140" w:right="239" w:bottom="0" w:gutter="0" w:footer="0" w:header="0"/>
        </w:sectPr>
      </w:pPr>
    </w:p>
    <w:bookmarkStart w:id="6" w:name="page7"/>
    <w:bookmarkEnd w:id="6"/>
    <w:p>
      <w:pPr>
        <w:ind w:left="1000" w:right="60" w:hanging="305"/>
        <w:spacing w:after="0" w:line="283" w:lineRule="auto"/>
        <w:tabs>
          <w:tab w:leader="none" w:pos="994" w:val="left"/>
        </w:tabs>
        <w:numPr>
          <w:ilvl w:val="0"/>
          <w:numId w:val="12"/>
        </w:numPr>
        <w:rPr>
          <w:rFonts w:ascii="Arial" w:cs="Arial" w:eastAsia="Arial" w:hAnsi="Arial"/>
          <w:sz w:val="19"/>
          <w:szCs w:val="19"/>
          <w:color w:val="auto"/>
        </w:rPr>
      </w:pPr>
      <w:r>
        <w:rPr>
          <w:rFonts w:ascii="Arial" w:cs="Arial" w:eastAsia="Arial" w:hAnsi="Arial"/>
          <w:sz w:val="16"/>
          <w:szCs w:val="16"/>
          <w:color w:val="auto"/>
        </w:rPr>
        <w:t>The Company is currently implementing an Enterprise Resource Planning (ERP) system. The ERP system implementation is critical for the Company to make its internal control certifications required by the end of fiscal 2005 pursuant to Section 404 of the Sarbanes-Oxley Act. The Company believes the ERP system will be implemented by October 1, 2004. If the ERP system is not implemented by that date and/or there is not adequate training, policies and procedures implemented and documented on a timely basis, the Company may not be able to make an unqualified certification regarding the Company’s internal controls pursuant to Section 404 of the Sarbanes-Oxley Act at the end of fiscal 2005.</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These factors are not exhaustive and new factors may emerge or existing factors may change in a manner that impacts our business. We assume no obligation and disclaim any duty to update the forward-looking statements in this Annual Report on Form 10-K or any other public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In December 2001, the Company changed its fiscal year end to a 52/53-week year ending on the Sunday closest to March 31 from a 52/53-week fiscal year ending on the Sunday closest to September 30. The change in year-end better matches the Company’s annual reporting process to its natural business cycles. This change resulted in a six-month transitional period ended March 31, 2002. This discussion compares the Company’s fiscal year ended March 28, 2004 with the fiscal year ended March 30, 2003, the fiscal year ended March 30, 2003 with the six-month transitional period ended March 31, 2002, and the six-month transitional period ended March 31, 2002 with the fiscal year ended September 30, 2001. Due to the seasonality of the Company’s business, management feels it would be more meaningful to the readers of these statements to compare results of operations to comparable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OVERALL SUMMARY</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Sales for the fiscal year ended March 28, 2004 were $107,028,131 versus $104,004,611 for the fiscal year ended March 30, 2003, $49,868,179 for the six-month transitional period ended March 31, 2002 and $107,931,668 for the fiscal year ended September 30, 2001. Net income for the fiscal year ended March 28, 2004 was $5,751,884 or $.56 per share compared to $8,430,172, or $.83 per share for the fiscal year ended March 30, 2003, $3,083,771, or $.30 per share for the six-month transitional period ended March 31, 2002, and $7,117,578, or $.69 per share for the fiscal year ended September 30, 2001. Return on average shareholders’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equity was 8.6% for the fiscal year ended March 28, 2004 compared to 13.4% for the fiscal year ended March 30, 2003, 10.5% for the six-month transitional period ended March 31, 2002 and 12.3% for the fiscal year ended September 30, 2001. Book value per share was $6.65 at March 28, 2004, $6.43 at March 30, 2003, and $5.91 at March 31,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60" w:type="dxa"/>
            <w:vAlign w:val="bottom"/>
            <w:gridSpan w:val="2"/>
            <w:vMerge w:val="restart"/>
          </w:tcPr>
          <w:p>
            <w:pPr>
              <w:jc w:val="center"/>
              <w:ind w:right="250"/>
              <w:spacing w:after="0"/>
              <w:rPr>
                <w:sz w:val="20"/>
                <w:szCs w:val="20"/>
                <w:color w:val="auto"/>
              </w:rPr>
            </w:pPr>
            <w:r>
              <w:rPr>
                <w:rFonts w:ascii="Arial" w:cs="Arial" w:eastAsia="Arial" w:hAnsi="Arial"/>
                <w:sz w:val="14"/>
                <w:szCs w:val="14"/>
                <w:b w:val="1"/>
                <w:bCs w:val="1"/>
                <w:color w:val="auto"/>
                <w:w w:val="90"/>
              </w:rPr>
              <w:t>Fiscal</w:t>
            </w:r>
          </w:p>
        </w:tc>
        <w:tc>
          <w:tcPr>
            <w:tcW w:w="1740" w:type="dxa"/>
            <w:vAlign w:val="bottom"/>
            <w:gridSpan w:val="2"/>
            <w:vMerge w:val="restart"/>
          </w:tcPr>
          <w:p>
            <w:pPr>
              <w:jc w:val="center"/>
              <w:ind w:right="250"/>
              <w:spacing w:after="0"/>
              <w:rPr>
                <w:sz w:val="20"/>
                <w:szCs w:val="20"/>
                <w:color w:val="auto"/>
              </w:rPr>
            </w:pPr>
            <w:r>
              <w:rPr>
                <w:rFonts w:ascii="Arial" w:cs="Arial" w:eastAsia="Arial" w:hAnsi="Arial"/>
                <w:sz w:val="14"/>
                <w:szCs w:val="14"/>
                <w:b w:val="1"/>
                <w:bCs w:val="1"/>
                <w:color w:val="auto"/>
                <w:w w:val="90"/>
              </w:rPr>
              <w:t>Fiscal</w:t>
            </w:r>
          </w:p>
        </w:tc>
        <w:tc>
          <w:tcPr>
            <w:tcW w:w="172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7"/>
              </w:rPr>
              <w:t>Six-Month</w:t>
            </w:r>
          </w:p>
        </w:tc>
        <w:tc>
          <w:tcPr>
            <w:tcW w:w="1760" w:type="dxa"/>
            <w:vAlign w:val="bottom"/>
            <w:gridSpan w:val="2"/>
            <w:vMerge w:val="restart"/>
          </w:tcPr>
          <w:p>
            <w:pPr>
              <w:jc w:val="center"/>
              <w:ind w:right="110"/>
              <w:spacing w:after="0"/>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72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3"/>
              </w:rPr>
              <w:t>Transitional</w:t>
            </w: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66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74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96"/>
              </w:rPr>
              <w:t>Year Ended</w:t>
            </w:r>
          </w:p>
        </w:tc>
        <w:tc>
          <w:tcPr>
            <w:tcW w:w="172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5"/>
              </w:rPr>
              <w:t>Period Ended</w:t>
            </w:r>
          </w:p>
        </w:tc>
        <w:tc>
          <w:tcPr>
            <w:tcW w:w="17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6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6"/>
              </w:rPr>
              <w:t>March 28, 2004</w:t>
            </w:r>
          </w:p>
        </w:tc>
        <w:tc>
          <w:tcPr>
            <w:tcW w:w="174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4"/>
              </w:rPr>
              <w:t>March 30, 2003</w:t>
            </w:r>
          </w:p>
        </w:tc>
        <w:tc>
          <w:tcPr>
            <w:tcW w:w="172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4"/>
              </w:rPr>
              <w:t>March 31, 2002</w:t>
            </w:r>
          </w:p>
        </w:tc>
        <w:tc>
          <w:tcPr>
            <w:tcW w:w="17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1"/>
              </w:rPr>
              <w:t>September 30, 2001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6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Cost of sales</w:t>
            </w:r>
          </w:p>
        </w:tc>
        <w:tc>
          <w:tcPr>
            <w:tcW w:w="1660" w:type="dxa"/>
            <w:vAlign w:val="bottom"/>
            <w:gridSpan w:val="2"/>
          </w:tcPr>
          <w:p>
            <w:pPr>
              <w:jc w:val="right"/>
              <w:ind w:right="30"/>
              <w:spacing w:after="0"/>
              <w:rPr>
                <w:sz w:val="20"/>
                <w:szCs w:val="20"/>
                <w:color w:val="auto"/>
              </w:rPr>
            </w:pPr>
            <w:r>
              <w:rPr>
                <w:rFonts w:ascii="Arial" w:cs="Arial" w:eastAsia="Arial" w:hAnsi="Arial"/>
                <w:sz w:val="18"/>
                <w:szCs w:val="18"/>
                <w:color w:val="auto"/>
              </w:rPr>
              <w:t>(73.9)%</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(73.1)%</w:t>
            </w:r>
          </w:p>
        </w:tc>
        <w:tc>
          <w:tcPr>
            <w:tcW w:w="1720" w:type="dxa"/>
            <w:vAlign w:val="bottom"/>
            <w:gridSpan w:val="2"/>
          </w:tcPr>
          <w:p>
            <w:pPr>
              <w:jc w:val="right"/>
              <w:ind w:right="10"/>
              <w:spacing w:after="0"/>
              <w:rPr>
                <w:sz w:val="20"/>
                <w:szCs w:val="20"/>
                <w:color w:val="auto"/>
              </w:rPr>
            </w:pPr>
            <w:r>
              <w:rPr>
                <w:rFonts w:ascii="Arial" w:cs="Arial" w:eastAsia="Arial" w:hAnsi="Arial"/>
                <w:sz w:val="18"/>
                <w:szCs w:val="18"/>
                <w:color w:val="auto"/>
              </w:rPr>
              <w:t>(76.9)%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26.1%</w:t>
            </w: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26.9%</w:t>
            </w: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1660" w:type="dxa"/>
            <w:vAlign w:val="bottom"/>
            <w:gridSpan w:val="2"/>
          </w:tcPr>
          <w:p>
            <w:pPr>
              <w:jc w:val="right"/>
              <w:ind w:right="30"/>
              <w:spacing w:after="0"/>
              <w:rPr>
                <w:sz w:val="20"/>
                <w:szCs w:val="20"/>
                <w:color w:val="auto"/>
              </w:rPr>
            </w:pPr>
            <w:r>
              <w:rPr>
                <w:rFonts w:ascii="Arial" w:cs="Arial" w:eastAsia="Arial" w:hAnsi="Arial"/>
                <w:sz w:val="18"/>
                <w:szCs w:val="18"/>
                <w:color w:val="auto"/>
              </w:rPr>
              <w:t>(15.7)%</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(14.3)%</w:t>
            </w:r>
          </w:p>
        </w:tc>
        <w:tc>
          <w:tcPr>
            <w:tcW w:w="1720" w:type="dxa"/>
            <w:vAlign w:val="bottom"/>
            <w:gridSpan w:val="2"/>
          </w:tcPr>
          <w:p>
            <w:pPr>
              <w:jc w:val="right"/>
              <w:ind w:right="10"/>
              <w:spacing w:after="0"/>
              <w:rPr>
                <w:sz w:val="20"/>
                <w:szCs w:val="20"/>
                <w:color w:val="auto"/>
              </w:rPr>
            </w:pPr>
            <w:r>
              <w:rPr>
                <w:rFonts w:ascii="Arial" w:cs="Arial" w:eastAsia="Arial" w:hAnsi="Arial"/>
                <w:sz w:val="18"/>
                <w:szCs w:val="18"/>
                <w:color w:val="auto"/>
              </w:rPr>
              <w:t>(13.9)%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1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vMerge w:val="continue"/>
          </w:tcPr>
          <w:p>
            <w:pPr>
              <w:spacing w:after="0"/>
              <w:rPr>
                <w:sz w:val="18"/>
                <w:szCs w:val="18"/>
                <w:color w:val="auto"/>
              </w:rPr>
            </w:pPr>
          </w:p>
        </w:tc>
        <w:tc>
          <w:tcPr>
            <w:tcW w:w="1660" w:type="dxa"/>
            <w:vAlign w:val="bottom"/>
            <w:gridSpan w:val="2"/>
          </w:tcPr>
          <w:p>
            <w:pPr>
              <w:jc w:val="right"/>
              <w:ind w:right="90"/>
              <w:spacing w:after="0"/>
              <w:rPr>
                <w:sz w:val="20"/>
                <w:szCs w:val="20"/>
                <w:color w:val="auto"/>
              </w:rPr>
            </w:pPr>
            <w:r>
              <w:rPr>
                <w:rFonts w:ascii="Arial" w:cs="Arial" w:eastAsia="Arial" w:hAnsi="Arial"/>
                <w:sz w:val="18"/>
                <w:szCs w:val="18"/>
                <w:color w:val="auto"/>
              </w:rPr>
              <w:t>7.6%</w:t>
            </w: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12.6%</w:t>
            </w: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9.2%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vMerge w:val="continue"/>
          </w:tcPr>
          <w:p>
            <w:pPr>
              <w:spacing w:after="0"/>
              <w:rPr>
                <w:sz w:val="18"/>
                <w:szCs w:val="18"/>
                <w:color w:val="auto"/>
              </w:rPr>
            </w:pPr>
          </w:p>
        </w:tc>
        <w:tc>
          <w:tcPr>
            <w:tcW w:w="1660" w:type="dxa"/>
            <w:vAlign w:val="bottom"/>
            <w:gridSpan w:val="2"/>
          </w:tcPr>
          <w:p>
            <w:pPr>
              <w:jc w:val="right"/>
              <w:ind w:right="90"/>
              <w:spacing w:after="0"/>
              <w:rPr>
                <w:sz w:val="20"/>
                <w:szCs w:val="20"/>
                <w:color w:val="auto"/>
              </w:rPr>
            </w:pPr>
            <w:r>
              <w:rPr>
                <w:rFonts w:ascii="Arial" w:cs="Arial" w:eastAsia="Arial" w:hAnsi="Arial"/>
                <w:sz w:val="18"/>
                <w:szCs w:val="18"/>
                <w:color w:val="auto"/>
              </w:rPr>
              <w:t>8.4%</w:t>
            </w: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12.9%</w:t>
            </w: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9.7%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3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 the fiscal year ended March 28, 2004, sales for the Industrial segment were $67,746,982 and for the Water Treatment segment were $39,281,149. For the fiscal year ended March 30, 2003, sales for the Industrial segment were $67,674,289 and for the Water Treatment segment were $36,330,322. The increase in sales was primarily driven by the Water Treatment segment, as sales increased by $2,950,827 or 8.1% in comparison to the prior year. The increases were primarily attributable to volume increases, due in part to favorable summer weather conditions. Industrial segment sales were flat as the combination of an approximately 5.1% increase in caustic soda volumes sold and an increase in caustic soda selling price that increased sales by approximately 1.4% was offset by a decrease in sales to customers in the telecommunication and circuit board industries.</w:t>
      </w:r>
    </w:p>
    <w:p>
      <w:pPr>
        <w:spacing w:after="0" w:line="178"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For the six-month transitional period ended March 31, 2002, sales for the Industrial segment were $35,686,509 and for the Water Treatment segment were $14,181,670. The decrease in sales in comparison to the fiscal year ended March 30, 2003 was due to a difference in period lengths and the seasonal nature of the Water Treatment segment’s business, as its sales during April through September are greater than its sales during October through March.</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fiscal year ended September 30, 2001, sales for the Industrial segment were $73,818,768 and for the Water Treatment segment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$34,112,900. The decrease in sales for the six-month transitional period ended March 31, 2002 as compared to the fiscal year ended September 30, 2001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due to the difference in the length of periods compared and to the seasonal nature of the Water Treatment segment’s business as mentioned above.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GROSS MARGIN</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Gross margin, as a percentage of sales, was 26.1% for the fiscal year ended March 28, 2004 compared to 26.9% for the fiscal year ended March 30, 2003 and was 23.1% and 22.5% for the six-month transitional period ended March 31, 2002 and the fiscal year ended September 30, 2001, respectively. The gross margin variations are due to a number of variables as explained below.</w:t>
      </w:r>
    </w:p>
    <w:p>
      <w:pPr>
        <w:sectPr>
          <w:pgSz w:w="11900" w:h="16838" w:orient="portrait"/>
          <w:cols w:equalWidth="0" w:num="1">
            <w:col w:w="11400"/>
          </w:cols>
          <w:pgMar w:left="240" w:top="368" w:right="25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Industrial Segment</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Gross margin, as a percentage of sales, for the Industrial segment was 22.4% for the fiscal year ended March 28, 2004 compared to 23.8% for the fiscal year ended March 30, 2003 and was 21.4% and 18.7% for the six-month transitional period ended March 31, 2002 and the fiscal year ended September 30, 2001, respectively. The decrease for the fiscal year ended March 28, 2004 as compared to the fiscal year ended March 30, 2003 relates in part to changes in the cost and selling price of caustic soda during these periods and to the high level of high cost inventory on hand at the end of the 2004 fiscal year’s barge shipping season (October 2003). A highly competitive market environment resulted in an increase of approximately $600,000 in product costs that the Company was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unable to pass on to its customers. Also, insurance expense increased by approximately $160,000 or 22.5% and employee compensation and benefits increased by approximately $134,000 or 4.9%.</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increases over the previous periods in the fiscal year ended March 30, 2003 and the six-month transitional period ended March 31, 2002 are mainly due to improved margins in most product lines and to fluctuations in the cost and selling price of caustic soda. During calendar 2002, the cost of caustic soda was increasing and continued to increase through the end of the 2003 fiscal year. Due to the large quantities of caustic soda inventory that are maintained to meet customer requirements and because the Company is on the last-in, first out (“LIFO”) method of valuing inventories, any cost fluctuations can impact gross margins. The Company attempts to maintain relatively constant dollar margins as the cost of caustic soda increases or decreases. The cost of this product is normally subject to fluctuations, which are expected to continue in future periods. By maintaining relatively stable dollar margins, the gross margin percentage will decrease when the cost of the product is increasing and will increase when the cost of the product is decreasing.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Water Treatment Segment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Gross margin, as a percentage of sales, for the Water Treatment segment was 32.6% for the fiscal year ended March 28, 2004, 32.7% for the fiscal year ended March 30, 2003, 27.6% for the six-month transitional period ended March 31, 2002, and 30.7% for the fiscal year ended September 30, 2001. The fiscal year ended March 28, 2004 was comparable with the fiscal year ended March 20, 2003 as the increase in sales, due primarily to favorable weather, was offset by higher operating costs. Additionally, in fiscal 2004 the Company started to manufacture a product line internally that resulted in an increased product margin of approximately $670,000. Offsetting this improvement in product margins was an increase in operating costs including an approximately $79,000 or 10.8% increase in insurance expense and an approximately $732,000 or 19.3% increase in employee compensation and benefits which includes an increase in commissions paid to route salespersons for the increase in product margins.</w:t>
      </w:r>
    </w:p>
    <w:p>
      <w:pPr>
        <w:spacing w:after="0" w:line="178" w:lineRule="exact"/>
        <w:rPr>
          <w:sz w:val="20"/>
          <w:szCs w:val="20"/>
          <w:color w:val="auto"/>
        </w:rPr>
      </w:pPr>
    </w:p>
    <w:p>
      <w:pPr>
        <w:jc w:val="both"/>
        <w:ind w:right="80" w:firstLine="648"/>
        <w:spacing w:after="0" w:line="276" w:lineRule="auto"/>
        <w:rPr>
          <w:sz w:val="20"/>
          <w:szCs w:val="20"/>
          <w:color w:val="auto"/>
        </w:rPr>
      </w:pPr>
      <w:r>
        <w:rPr>
          <w:rFonts w:ascii="Arial" w:cs="Arial" w:eastAsia="Arial" w:hAnsi="Arial"/>
          <w:sz w:val="17"/>
          <w:szCs w:val="17"/>
          <w:color w:val="auto"/>
        </w:rPr>
        <w:t>The gross margin increase for the fiscal year ended March 30, 2003 as compared to the six-month transitional period ended March 31, 2002 was due to the fiscal year end change and to the seasonal nature of the Water Treatment segment. During the months of April to September, the sales for this segment are greater and have higher profit margins than the sales for October to March. Additionally, there are certain fixed costs included in cost of sales that do not fluctuate with sales volumes. The decrease for the six-month transitional period ended March 31, 2002 in comparison to the fiscal year ended September 30, 2001 was due to the aforementioned fiscal year end change and the seasonality of the Water Treatment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Selling, general and administrative expenses, as a percentage of sales, were 15.7% ($16,793,094) for the fiscal year ended March 28, 2004, 14.3% for the fiscal year ended March 30, 2003, 13.9% for the six-month transitional period ended March 31, 2002, and 13.2% for the fiscal year ended September 30, 2001. The increase for the fiscal year ended March 28, 2004 was partially attributable to $536,000 in consulting fees associated with the Company’s efforts to comply with the requirements of the Sarbanes-Oxley Act and to the Company’s evaluation and investment in an Enterprise Resource Planning system. The Company will continue to incur additional expenses, including expenses for additional staffing and outside professional services, to implement the Enterprise Resource Planning system and meet the requirements of the Sarbanes-Oxley Act. Additionally, insurance costs increased by approximately $138,000 or 27.9% and employee compensation and benefits increased by approximately $601,000 or 5.4%. Employee compensation and benefits comprise the majority of the selling, general and administrative expenses. The increase for the fiscal year ended March 30, 2003 over the six-month transitional period ended March 31, 2002 was primarily attributable to the Company’s investment in infrastructure necessary to support future sales increases as well as a larger, more geographically dispersed organization. The six-month transitional period increase over the fiscal year ended September 30, 2001 was primarily attributable to increases in sales staff and insurance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LITIGATION SETTLEMENT</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The Company was a defendant in a lawsuit encaptioned </w:t>
      </w:r>
      <w:r>
        <w:rPr>
          <w:rFonts w:ascii="Arial" w:cs="Arial" w:eastAsia="Arial" w:hAnsi="Arial"/>
          <w:sz w:val="18"/>
          <w:szCs w:val="18"/>
          <w:i w:val="1"/>
          <w:iCs w:val="1"/>
          <w:color w:val="auto"/>
        </w:rPr>
        <w:t>Chavarria et al v. Hawkins, Inc., Panorama Compounding Pharmacy, and Valley Drug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Compounding, et al. </w:t>
      </w:r>
      <w:r>
        <w:rPr>
          <w:rFonts w:ascii="Arial" w:cs="Arial" w:eastAsia="Arial" w:hAnsi="Arial"/>
          <w:sz w:val="18"/>
          <w:szCs w:val="18"/>
          <w:color w:val="auto"/>
        </w:rPr>
        <w:t>This action was filed on September 7, 2001 in the Superior Court of the State of California, County of Los Angeles, Northwest District,</w:t>
      </w:r>
      <w:r>
        <w:rPr>
          <w:rFonts w:ascii="Arial" w:cs="Arial" w:eastAsia="Arial" w:hAnsi="Arial"/>
          <w:sz w:val="18"/>
          <w:szCs w:val="18"/>
          <w:i w:val="1"/>
          <w:iCs w:val="1"/>
          <w:color w:val="auto"/>
        </w:rPr>
        <w:t xml:space="preserve"> </w:t>
      </w:r>
      <w:r>
        <w:rPr>
          <w:rFonts w:ascii="Arial" w:cs="Arial" w:eastAsia="Arial" w:hAnsi="Arial"/>
          <w:sz w:val="18"/>
          <w:szCs w:val="18"/>
          <w:color w:val="auto"/>
        </w:rPr>
        <w:t>Case No. LC 057561. The plaintiffs were seeking unspecified compensatory and punitive damages relating to claims arising from the alleged mislabeling of certain inventory purchased by the Company as part of an acquisition by the Company in May 2000. A tentative settlement was reached in February 2004, and on April 9, 2004 the case was dismissed. Pursuant to the terms of the settlement, the Company did not admit or deny any of the allegations of the complaint. The Company was responsible for the payment of $3.0 million that was not covered by insurance, which was charged against income from operations and paid during the fourth quarter of fiscal 2004. The Company is pursuing reimbursement of the settlement payment and defense costs from third parties.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Investment income increased $458,640 to $825,689 for the fiscal year ended March 28, 2004 compared to $367,049 for the fiscal year ended March 30, 2003. The increase was attributable to an increase in cash available for investment and to a $370,000 loss recognized in the fiscal year ended March 30, 2003 due to declines in market value on investments which were deemed other than temporary. Investment income of $227,360 for the six-month transitional period ended March 31, 2002 was lower than the fiscal year ended March 30, 2003 due to less cash available for investment and the aforementioned change in our fiscal year end that resulted in the six-month transitional period. Investment income for the fiscal year ended March 30, 2003</w:t>
      </w:r>
    </w:p>
    <w:p>
      <w:pPr>
        <w:sectPr>
          <w:pgSz w:w="11900" w:h="16838" w:orient="portrait"/>
          <w:cols w:equalWidth="0" w:num="1">
            <w:col w:w="11420"/>
          </w:cols>
          <w:pgMar w:left="240" w:top="125" w:right="239" w:bottom="0" w:gutter="0" w:footer="0" w:header="0"/>
        </w:sectPr>
      </w:pPr>
    </w:p>
    <w:bookmarkStart w:id="8" w:name="page9"/>
    <w:bookmarkEnd w:id="8"/>
    <w:p>
      <w:pPr>
        <w:ind w:right="380"/>
        <w:spacing w:after="0" w:line="277" w:lineRule="auto"/>
        <w:rPr>
          <w:sz w:val="20"/>
          <w:szCs w:val="20"/>
          <w:color w:val="auto"/>
        </w:rPr>
      </w:pPr>
      <w:r>
        <w:rPr>
          <w:rFonts w:ascii="Arial" w:cs="Arial" w:eastAsia="Arial" w:hAnsi="Arial"/>
          <w:sz w:val="18"/>
          <w:szCs w:val="18"/>
          <w:color w:val="auto"/>
        </w:rPr>
        <w:t>was comparable to the fiscal year ended September 30, 2001, excluding the aforementioned $370,000 loss, as the increased amounts of cash available for investment during the fiscal year ended March 30, 2003 were offset by a lower rate of return.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effective income tax rate was 36.1% for the fiscal year ended March 28, 2004, 37.2% for the fiscal year ended March 30, 2003, 36.2% for the six-month transitional period ended March 31, 2002 and 33.8% for the fiscal year ended September 30, 2001. The decrease for the fiscal year ended March 28, 2004 compared to the fiscal year ended March 30, 2003 was due to a decrease in income before income taxes. The increase for the fiscal year ended March 30, 2003 compared to the six-month transitional period ended March 31, 2002 was primarily due to less tax-exempt interest income in the fiscal year ended March 30, 2003. The increase in the effective rate for the six-month transitional period compared to the fiscal year ended September 30, 2001 was due to changes in state apportionment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INFLATION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Inflation did not have a significant impact on the Company during the fiscal years ended March 28, 2004 and March 30, 2003, the six-month transitional period ended March 31, 2002, and the fiscal year ended September 30, 2001, as selling prices have generally been adjusted as the cost of materials and other expenses have changed. On occasion, slight fluctuations in the cost of a single, large-volume product have not been reflected in the selling price of that product.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SELECTED QUARTERLY FINANCIAL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4"/>
              </w:rPr>
              <w:t>Fiscal Year Ended March 28, 2004 (Unaudited)</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First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3"/>
              </w:rPr>
              <w:t>Second</w:t>
            </w:r>
          </w:p>
        </w:tc>
        <w:tc>
          <w:tcPr>
            <w:tcW w:w="120" w:type="dxa"/>
            <w:vAlign w:val="bottom"/>
          </w:tcPr>
          <w:p>
            <w:pPr>
              <w:spacing w:after="0"/>
              <w:rPr>
                <w:sz w:val="10"/>
                <w:szCs w:val="10"/>
                <w:color w:val="auto"/>
              </w:rPr>
            </w:pPr>
          </w:p>
        </w:tc>
        <w:tc>
          <w:tcPr>
            <w:tcW w:w="15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Third</w:t>
            </w:r>
          </w:p>
        </w:tc>
        <w:tc>
          <w:tcPr>
            <w:tcW w:w="180" w:type="dxa"/>
            <w:vAlign w:val="bottom"/>
          </w:tcPr>
          <w:p>
            <w:pPr>
              <w:spacing w:after="0"/>
              <w:rPr>
                <w:sz w:val="10"/>
                <w:szCs w:val="10"/>
                <w:color w:val="auto"/>
              </w:rPr>
            </w:pPr>
          </w:p>
        </w:tc>
        <w:tc>
          <w:tcPr>
            <w:tcW w:w="130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rPr>
              <w:t>Fourth</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2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8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 2003</w:t>
            </w:r>
          </w:p>
        </w:tc>
        <w:tc>
          <w:tcPr>
            <w:tcW w:w="1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2003</w:t>
            </w: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28, 2004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29,066,867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28,645,014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24,951,807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24,364,443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Gross margin</w:t>
            </w:r>
          </w:p>
        </w:tc>
        <w:tc>
          <w:tcPr>
            <w:tcW w:w="2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8,436,133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8,362,307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5,894,706</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5,281,143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1"/>
              </w:rPr>
              <w:t>Net income (loss)</w:t>
            </w:r>
          </w:p>
        </w:tc>
        <w:tc>
          <w:tcPr>
            <w:tcW w:w="2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2,792,016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2,591,573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1,162,837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(794,542)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960" w:type="dxa"/>
            <w:vAlign w:val="bottom"/>
            <w:gridSpan w:val="2"/>
          </w:tcPr>
          <w:p>
            <w:pPr>
              <w:ind w:left="660"/>
              <w:spacing w:after="0"/>
              <w:rPr>
                <w:sz w:val="20"/>
                <w:szCs w:val="20"/>
                <w:color w:val="auto"/>
              </w:rPr>
            </w:pPr>
            <w:r>
              <w:rPr>
                <w:rFonts w:ascii="Arial" w:cs="Arial" w:eastAsia="Arial" w:hAnsi="Arial"/>
                <w:sz w:val="18"/>
                <w:szCs w:val="18"/>
                <w:color w:val="auto"/>
                <w:w w:val="93"/>
              </w:rPr>
              <w:t>Basic and diluted</w:t>
            </w:r>
          </w:p>
        </w:tc>
        <w:tc>
          <w:tcPr>
            <w:tcW w:w="220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4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4"/>
              </w:rPr>
              <w:t>Fiscal Year Ended March 30, 2003 (Unaudited)</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First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3"/>
              </w:rPr>
              <w:t>Second</w:t>
            </w:r>
          </w:p>
        </w:tc>
        <w:tc>
          <w:tcPr>
            <w:tcW w:w="120" w:type="dxa"/>
            <w:vAlign w:val="bottom"/>
          </w:tcPr>
          <w:p>
            <w:pPr>
              <w:spacing w:after="0"/>
              <w:rPr>
                <w:sz w:val="10"/>
                <w:szCs w:val="10"/>
                <w:color w:val="auto"/>
              </w:rPr>
            </w:pPr>
          </w:p>
        </w:tc>
        <w:tc>
          <w:tcPr>
            <w:tcW w:w="15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Third</w:t>
            </w:r>
          </w:p>
        </w:tc>
        <w:tc>
          <w:tcPr>
            <w:tcW w:w="180" w:type="dxa"/>
            <w:vAlign w:val="bottom"/>
          </w:tcPr>
          <w:p>
            <w:pPr>
              <w:spacing w:after="0"/>
              <w:rPr>
                <w:sz w:val="10"/>
                <w:szCs w:val="10"/>
                <w:color w:val="auto"/>
              </w:rPr>
            </w:pPr>
          </w:p>
        </w:tc>
        <w:tc>
          <w:tcPr>
            <w:tcW w:w="130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rPr>
              <w:t>Fourth</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2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8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 2002</w:t>
            </w:r>
          </w:p>
        </w:tc>
        <w:tc>
          <w:tcPr>
            <w:tcW w:w="1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2002</w:t>
            </w: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30, 2003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27,282,901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27,636,311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24,331,951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24,753,448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Gross margin</w:t>
            </w:r>
          </w:p>
        </w:tc>
        <w:tc>
          <w:tcPr>
            <w:tcW w:w="2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7,751,126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7,962,555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6,290,581</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5,953,590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2,574,395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2,681,311</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1,835,163</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1,339,303</w:t>
            </w: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960" w:type="dxa"/>
            <w:vAlign w:val="bottom"/>
            <w:gridSpan w:val="2"/>
          </w:tcPr>
          <w:p>
            <w:pPr>
              <w:ind w:left="660"/>
              <w:spacing w:after="0"/>
              <w:rPr>
                <w:sz w:val="20"/>
                <w:szCs w:val="20"/>
                <w:color w:val="auto"/>
              </w:rPr>
            </w:pPr>
            <w:r>
              <w:rPr>
                <w:rFonts w:ascii="Arial" w:cs="Arial" w:eastAsia="Arial" w:hAnsi="Arial"/>
                <w:sz w:val="18"/>
                <w:szCs w:val="18"/>
                <w:color w:val="auto"/>
                <w:w w:val="93"/>
              </w:rPr>
              <w:t>Basic and diluted</w:t>
            </w:r>
          </w:p>
        </w:tc>
        <w:tc>
          <w:tcPr>
            <w:tcW w:w="22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4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78"/>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LIQUIDITY</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Cash provided by operations in the fiscal year ended March 28, 2004 was $7,411,596 compared to $14,589,108 in the fiscal year ended March 30, 2003, $3,860,076 during the six-month transitional period ended March 31, 2002 and $9,950,745 in the fiscal year ended September 30, 2001. The decrease in the fiscal year ended March 28, 2004 compared to the fiscal year ended March 30, 2003 was due to the decrease in net income, including the $3,000,000 litigation settlement, the timing of liability payments, and the year-over-year variances in tax payments. The increase in the fiscal year ended March 30, 2003 compared to the six-month transitional period ended March 31, 2002 was due primarily to the timing of defined contribution retirement plan payments and the increase in net income due to the six month period, which was offset by fluctuations in inventory values and quantities. The decrease in the six-month transitional period ended March 31, 2002 compared to the fiscal year ended September 30, 2001 was due primarily to fluctuations in inventory and timing of liability payments and a decrease in net income due to the six-month period.</w:t>
      </w:r>
    </w:p>
    <w:p>
      <w:pPr>
        <w:spacing w:after="0" w:line="17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Cash and investments available-for-sale of $23,923,408 at March 28, 2004 was comparable with the $24,256,281 available as of March 30, 2003 and increased by $9,412,765 since March 31, 2002, primarily because of cash generated by operations in excess of capital expenditures and financing uses. Cash and investments available-for-sale increased by $1,909,772 from September 30, 2001 to $14,510,643 at the end of the six-month transitional period ended March 31, 2002. This increase was primarily attributable to cash generated by operations in excess of capital expenditures and financing uses and the maturity of investments classified as investments held-to-maturity, which were invested in available-for-sale investments. Cash equivalents consist of money market accounts at a financial institution. Investments consist of investment contracts with high-rated, stable insurance companies, marketable securities consisting of variable rate municipal bonds, U.S. Government agency securities and mutual funds carried at fair value. Investments are highly liquid and are available upon demand generally with only a minor penalty. Additionally, cash and cash equivalents increased by $6,221,039 from September 30, 2001 to March 31, 2002 as the Company was in process at March 31, 2002 of transitioning investments into higher rate of return investments. Subsequent to March 31, 2002 a significant portion of the cash equivalents were invested in the aforementioned investment options.</w:t>
      </w:r>
    </w:p>
    <w:p>
      <w:pPr>
        <w:spacing w:after="0" w:line="16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March 28, 2004, the Company had an investment portfolio of fixed income securities of $10,705,527 and mutual funds of $11,031,316, excluding $2,911,565 classified as cash and cash equivalents and variable rate securities.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funds, like all mutual funds, may increase or decrease due to market volatility. The Company recorded a loss of $370,000 in the fiscal year ended March 30, 2003 due to declines in market value that were deemed other than temporary.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ectPr>
          <w:pgSz w:w="11900" w:h="16838" w:orient="portrait"/>
          <w:cols w:equalWidth="0" w:num="1">
            <w:col w:w="11440"/>
          </w:cols>
          <w:pgMar w:left="240" w:top="125" w:right="219" w:bottom="0" w:gutter="0" w:footer="0" w:header="0"/>
        </w:sectPr>
      </w:pPr>
    </w:p>
    <w:bookmarkStart w:id="9" w:name="page10"/>
    <w:bookmarkEnd w:id="9"/>
    <w:p>
      <w:pPr>
        <w:ind w:right="60" w:firstLine="648"/>
        <w:spacing w:after="0" w:line="273" w:lineRule="auto"/>
        <w:rPr>
          <w:sz w:val="20"/>
          <w:szCs w:val="20"/>
          <w:color w:val="auto"/>
        </w:rPr>
      </w:pPr>
      <w:r>
        <w:rPr>
          <w:rFonts w:ascii="Arial" w:cs="Arial" w:eastAsia="Arial" w:hAnsi="Arial"/>
          <w:sz w:val="17"/>
          <w:szCs w:val="17"/>
          <w:color w:val="auto"/>
        </w:rPr>
        <w:t>Capital expenditures in the fiscal years ended March 28, 2004 and March 30, 2003, the six-month transitional period ended March 31, 2002, and the fiscal year ended September 30, 2001 were $4,897,551, $2,348,124, $1,145,030, and $7,056,226, respectively. Capital expenditures during the fiscal year ended March 28, 2004 consisted primarily of $1,450,000 for office furniture and equipment which includes approximately $1,000,000 for software and hardware data processing equipment, $1,425,000 for machinery and equipment, $1,275,000 for land, buildings and improvements, and $750,000 for transportation equipment. We anticipate capital expenditures in fiscal 2005 to be approximately $6.5 million primarily related to implementation of the Enterprise Resource Planning system, new route sales trucks and general maintenance projects.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REPURCHASES</w:t>
      </w:r>
    </w:p>
    <w:p>
      <w:pPr>
        <w:spacing w:after="0" w:line="225"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The Company did not acquire any common stock during the fiscal years ended March 28, 2004 and March 30, 2003. During the six-month transitional period ended March 31, 2002, the Company acquired and retired 32,100 shares of common stock for $251,790.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any off-balance sheet arrangements.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AND COMMERCIAL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aggregate information about our contractual payment obligations and the periods in which payments are due:</w:t>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4"/>
                <w:szCs w:val="14"/>
                <w:b w:val="1"/>
                <w:bCs w:val="1"/>
                <w:color w:val="auto"/>
              </w:rPr>
              <w:t>Payments due by period</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5 Years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175,110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158,179</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137,848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2,271,673</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3,089,976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Purchase obligations (1)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6,697,437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6,697,437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6,905,803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175,110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2,271,673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9,787,413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660" w:right="720" w:hanging="4"/>
        <w:spacing w:after="0" w:line="342" w:lineRule="auto"/>
        <w:tabs>
          <w:tab w:leader="none" w:pos="132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is committed to pay suppliers under the terms of open purchase orders issued in the normal course of business. The Company does not purchase, or commit to purchase, quantities in excess of normal usage or amounts that cannot be used within one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OUTLOOK</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Expected future cash flows from operations, coupled with the Company’s strong financial position, put the Company in a position to fund both short and long-term working capital and capital investment needs with internally generated funds. Management does not, therefore, anticipate the need to engage in significant financing activities in either the short or long term. If the need to obtain additional capital does arise, however, management is confident that the Company’s total debt to capital ratio puts it in a position to obtain debt financing on favorable terms.</w:t>
      </w:r>
    </w:p>
    <w:p>
      <w:pPr>
        <w:spacing w:after="0" w:line="17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will continue to incur significant expenditures in fiscal 2005 associated with the implementation of the Enterprise Resource Planning system and to meet the requirements of the Sarbanes-Oxley Act. Fiscal 2005 expenses, including additional staffing and outside professional services, are expected to significantly exceed the additional fiscal 2004 expense of approximately $750,000.</w:t>
      </w:r>
    </w:p>
    <w:p>
      <w:pPr>
        <w:spacing w:after="0" w:line="181"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Other than as discussed above, management is not aware of any trends or other matters that have not materially affected results in the fiscal year ended March 28, 2004 but are expected to have a material effect on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Accounting policies whose application may have a significant effect on the reported results of operations and financial position of the Company, and that can require judgments by management that affect their application, include Statement of Financial Accounting Standards (SFAS) No. 5, “Accounting for Contingencies,” and SFAS No. 144, “Accounting for the Impairment of Long-Lived Assets and for Long-Lived Assets to be Disposed of.”</w:t>
      </w:r>
    </w:p>
    <w:p>
      <w:pPr>
        <w:spacing w:after="0" w:line="14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SFAS No. 5 requires management judgments regarding the probability and estimated amount of possible future contingent liabilities, including legal matters. SFAS No. 144 requires judgments regarding future operating or disposition plans for marginally performing assets and estimates of expected realizable values for assets to be sold. Other accounting policies that are significant to the Company include the following:</w:t>
      </w:r>
    </w:p>
    <w:p>
      <w:pPr>
        <w:spacing w:after="0" w:line="16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Revenue Recognition - The Company recognizes revenue when the product has been shipped to the customer if there is evidence that the customer has agreed to purchase the products, delivery and performance has occurred, the price and terms of sale are fixed, and collection of the receivable is expected.</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Allowance for Doubtful Accounts - Accounts receivable are reduced by an allowance for amounts that may become uncollectible in the future. Substantially 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Inventories - Inventories are valued at the lower of cost or market. On a quarterly basis, management assesses the inventory quantities on hand to estimated future usage and sales and, if necessary, writes down the value of inventory deemed obsolete or excess to market.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10" w:name="page11"/>
    <w:bookmarkEnd w:id="10"/>
    <w:p>
      <w:pPr>
        <w:ind w:right="120"/>
        <w:spacing w:after="0" w:line="279" w:lineRule="auto"/>
        <w:rPr>
          <w:sz w:val="20"/>
          <w:szCs w:val="20"/>
          <w:color w:val="auto"/>
        </w:rPr>
      </w:pPr>
      <w:r>
        <w:rPr>
          <w:rFonts w:ascii="Arial" w:cs="Arial" w:eastAsia="Arial" w:hAnsi="Arial"/>
          <w:sz w:val="17"/>
          <w:szCs w:val="17"/>
          <w:color w:val="auto"/>
        </w:rPr>
        <w:t>Property, Plant and Equipment - Property, plant and equipment are stated at cost and depreciated over the lives of the assets, using both the straight-line and declining balance methods. Major replacements and improvements are capitalized, while maintenance and repairs which do not improve or extend the useful lives of the respective assets are charged to operations. The assets and related accumulated depreciation accounts are adjusted for asset retirements and disposals with the resulting gain or loss, if any, recorded in the statement of income at the time of disposal.</w:t>
      </w:r>
    </w:p>
    <w:p>
      <w:pPr>
        <w:spacing w:after="0" w:line="17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Company’s policies for these matters, which are described in Note 1 to the financial statements, are in accordance with generally accepted accounting principles. Management believes that their application results in a fair presentation in the financial statements of the Company’s operating results and financial position.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November 2002, the Financial Accounting Standards Board (FASB) issued Interpretation No. 45 (FIN 45), “Guarantor’s Accounting and Disclosure Requirements for Guarantees, Including Indirect Guarantees of Indebtedness of Others.” FIN 45 clarifies the disclosures to be made by a guarantor in its interim and annual financial statements about its obligations under certain guarantees that it has issued. FIN 45 also requires a guarantor to recognize, at the inception of a guarantee, a liability for the fair value of the obligation undertaken in issuing certain types of guarantees. The disclosure requirements in FIN 45 are effective for interim or annual financial statements for periods ending after December 15, 2002. The adoption of FIN 45 did not have an impact on the Company’s results of operations or financial position.</w:t>
      </w:r>
    </w:p>
    <w:p>
      <w:pPr>
        <w:spacing w:after="0" w:line="19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January 2003, the FASB issued Interpretation No. 46 (FIN 46), “Consolidation of Variable Interest Entities (“VIE”), an Interpretation of ARB No. 51,” which requires all VIEs to be consolidated by the primary beneficiary. The primary beneficiary is the entity that holds the majority of the beneficial interests in the VIE. In addition, the interpretation expands disclosure requirements for both VIEs that are consolidated as well as VIEs from which the entity is the holder of a significant amount of the beneficial interests, but not the majority. In December 2003, the FASB revised FIN 46 to exclude from its scope certain entities that meet the definition of a business under Emerging Issues Task Force Issue No. 98-3, “Determining Whether a Nonmonetary Transaction Involves the Receipt of Productive Assets or of a Business.” The revised FIN 46 (FIN 46R) is to be applied no later than the end of the first fiscal year or interim reporting period ending after March 15, 2004. The adoption of FIN 46R did not have an impact on the Company’s results of operations or financial position.</w:t>
      </w:r>
    </w:p>
    <w:p>
      <w:pPr>
        <w:spacing w:after="0" w:line="19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SFAS No. 150 establishes new standards on how an issuer classifies and measures certain financial instruments with characteristics of both liabilities and equity. Under previous guidance, issuers could account for many of those instruments as equity. SFAS No. 150 requires that those instruments be classified as liabilities in statements of financial position. SFAS No. 150 is effective for all financial instruments entered into or modified after May 31, 2003, and otherwise is effective at the beginning of the first interim period beginning after June 15, 2003. The adoption of SFAS No. 150 did not have an impact on the Company’s financial position.</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March 2004, the Emerging Issues Task Force (EITF) reached a consensus on the remaining portions of EITF 03-01, “The Meaning of Other-Than-Temporary Impairment and Its Application to Certain Investments,” with an effective date of June 15, 2004. EITF 03-01 provides new disclosure requirements for other-than-temporary impairments on debt and equity investments. Investors are required to disclose quantitative information about: (i) the aggregate amount of unrealized losses, and (ii) the aggregate related fair values of investments with unrealized losses, segregated into time periods during which the investment has been in an unrealized loss position of less than 12 months and greater than 12 months. In addition, investors are required to disclose the qualitative information that supports their conclusion that the impairments noted in the qualitative disclosure are not other-than-temporary. We adopted the initial portions of EITF 03-01 in December 2003. The adoption of the remaining portions is not expected to have a material impact on our results of operations or financial condition.</w:t>
      </w:r>
    </w:p>
    <w:p>
      <w:pPr>
        <w:spacing w:after="0" w:line="19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7A.</w:t>
      </w:r>
      <w:r>
        <w:rPr>
          <w:sz w:val="20"/>
          <w:szCs w:val="20"/>
          <w:color w:val="auto"/>
        </w:rPr>
        <w:tab/>
      </w:r>
      <w:r>
        <w:rPr>
          <w:rFonts w:ascii="Arial" w:cs="Arial" w:eastAsia="Arial" w:hAnsi="Arial"/>
          <w:sz w:val="17"/>
          <w:szCs w:val="17"/>
          <w:color w:val="auto"/>
        </w:rPr>
        <w:t>QUANTITATIVE AND QUALITATIVE DISCLOSURE ABOUT MARKET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the accompanying balance sheets of Hawkins, Inc. (the “Company”) as of March 28, 2004 and March 30, 2003 and the related statements of income, shareholders’ equity, and cash flows for the fiscal years ended March 28, 2004 and March 30, 2003, the six-month transitional period ended March 31, 2002, and the fiscal year ended September 30, 2001.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our opinion, such financial statements present fairly, in all material respects, the financial position of Hawkins, Inc. at March 28, 2004 and March 30, 2003 and the results of its operations and cash flows for the fiscal years ended March 28, 2004 and March 30, 2003, the six-month transitional period ended March 31, 2002, and the fiscal year ended September 30, 2001, in conformity with accounting principles generally accepted in the United States of America.</w:t>
      </w:r>
    </w:p>
    <w:p>
      <w:pPr>
        <w:sectPr>
          <w:pgSz w:w="11900" w:h="16838" w:orient="portrait"/>
          <w:cols w:equalWidth="0" w:num="1">
            <w:col w:w="11420"/>
          </w:cols>
          <w:pgMar w:left="240" w:top="557" w:right="239" w:bottom="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4, 2004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1,558,969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1,353,720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available-for-sale</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22,364,439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22,902,561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Trade receivables - less allowance for doubtful accounts of $275,000 in both years</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11,308,851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11,253,571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8,887,081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9,398,338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3,566,891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2,502,496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47,686,231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47,410,686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Land</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793,491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719,942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Buildings and improvements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28,377,593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27,197,171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Machinery and equipment</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12,087,543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11,491,227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Transportation equipment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7,919,585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7,520,148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Office furniture and equipment</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4,215,690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2,776,787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53,393,902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49,705,275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23,861,417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22,238,756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property, plant, and equipment</w:t>
            </w: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29,532,485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27,466,519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Intangible assets – less accumulated amortization: 2004, $1,584,871; 2003, $1,301,386</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2,778,178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3,061,663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2,620,011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3,159,871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other assets</w:t>
            </w: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5,398,189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6,221,534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82,616,905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81,098,739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Accounts payable—trade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4,752,049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5,854,720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payable</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1,839,004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Accrued payroll and employee benefits</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3,629,800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3,665,247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Container deposits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1,495,294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Other accruals</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1,292,137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1,101,239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13,008,284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13,904,250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89,133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1,614,843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1,254,649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w w:val="93"/>
              </w:rPr>
              <w:t>Common stock; authorized: 30,000,000 shares of $.05 par value; issued and outstanding: 10,216,688 shares</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510,834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510,834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37,747,492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37,747,492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196,328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29,449,991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27,376,115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67,904,645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65,713,504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82,616,905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81,098,739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INCOME</w:t>
      </w:r>
    </w:p>
    <w:p>
      <w:pPr>
        <w:spacing w:after="0" w:line="190" w:lineRule="exact"/>
        <w:rPr>
          <w:sz w:val="20"/>
          <w:szCs w:val="20"/>
          <w:color w:val="auto"/>
        </w:rPr>
      </w:pPr>
    </w:p>
    <w:tbl>
      <w:tblPr>
        <w:tblLayout w:type="fixed"/>
        <w:tblInd w:w="5160" w:type="dxa"/>
        <w:tblCellMar>
          <w:top w:w="0" w:type="dxa"/>
          <w:left w:w="0" w:type="dxa"/>
          <w:bottom w:w="0" w:type="dxa"/>
          <w:right w:w="0" w:type="dxa"/>
        </w:tblCellMar>
      </w:tblPr>
      <w:tr>
        <w:trPr>
          <w:trHeight w:val="161"/>
        </w:trPr>
        <w:tc>
          <w:tcPr>
            <w:tcW w:w="16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Fiscal</w:t>
            </w: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Fiscal</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Six-Month</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9"/>
        </w:trPr>
        <w:tc>
          <w:tcPr>
            <w:tcW w:w="160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Transitional</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Year Ended</w:t>
            </w:r>
          </w:p>
        </w:tc>
        <w:tc>
          <w:tcPr>
            <w:tcW w:w="1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28, 2004</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March 30, 2003</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2002</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2001</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107,028,131</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104,004,611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49,868,179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107,931,668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(79,053,842)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(76,046,759)</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(38,332,473)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(83,634,081)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27,974,289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27,957,852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11,535,706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24,297,587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(16,793,094)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(14,890,640)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(6,924,750)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(14,242,227)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 (Note 7)</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8,181,195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13,067,212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4,610,956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10,055,360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825,689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367,049</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227,360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(4,089)</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9,006,884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13,430,172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4,832,164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10,756,198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(3,255,000)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(1,748,393)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(3,638,620)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5,751,884</w:t>
            </w: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8,430,172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3,083,771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7,117,578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10,216,688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10,216,688</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10,219,432</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10,346,964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280" w:type="dxa"/>
            <w:vAlign w:val="bottom"/>
            <w:tcBorders>
              <w:bottom w:val="single" w:sz="8" w:color="auto"/>
            </w:tcBorders>
            <w:shd w:val="clear" w:color="auto" w:fill="000000"/>
          </w:tcPr>
          <w:p>
            <w:pPr>
              <w:spacing w:after="0" w:line="20" w:lineRule="exact"/>
              <w:rPr>
                <w:sz w:val="1"/>
                <w:szCs w:val="1"/>
                <w:color w:val="auto"/>
              </w:rPr>
            </w:pPr>
          </w:p>
        </w:tc>
        <w:tc>
          <w:tcPr>
            <w:tcW w:w="110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bottom w:val="single" w:sz="8" w:color="auto"/>
            </w:tcBorders>
            <w:shd w:val="clear" w:color="auto" w:fill="000000"/>
          </w:tcPr>
          <w:p>
            <w:pPr>
              <w:spacing w:after="0" w:line="20" w:lineRule="exact"/>
              <w:rPr>
                <w:sz w:val="1"/>
                <w:szCs w:val="1"/>
                <w:color w:val="auto"/>
              </w:rPr>
            </w:pPr>
          </w:p>
        </w:tc>
        <w:tc>
          <w:tcPr>
            <w:tcW w:w="11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bottom w:val="single" w:sz="8" w:color="auto"/>
            </w:tcBorders>
            <w:shd w:val="clear" w:color="auto" w:fill="000000"/>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bottom w:val="single" w:sz="8" w:color="auto"/>
            </w:tcBorders>
            <w:shd w:val="clear" w:color="auto" w:fill="000000"/>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gridSpan w:val="2"/>
          </w:tcPr>
          <w:p>
            <w:pPr>
              <w:spacing w:after="0"/>
              <w:rPr>
                <w:sz w:val="20"/>
                <w:szCs w:val="20"/>
                <w:color w:val="auto"/>
              </w:rPr>
            </w:pPr>
            <w:r>
              <w:rPr>
                <w:rFonts w:ascii="Arial" w:cs="Arial" w:eastAsia="Arial" w:hAnsi="Arial"/>
                <w:sz w:val="18"/>
                <w:szCs w:val="18"/>
                <w:color w:val="auto"/>
              </w:rPr>
              <w:t>See accompanying notes to financial statements.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65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51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SHAREHOLDERS’ EQUITY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620" w:type="dxa"/>
            <w:vAlign w:val="bottom"/>
            <w:gridSpan w:val="6"/>
            <w:vMerge w:val="restart"/>
          </w:tcPr>
          <w:p>
            <w:pPr>
              <w:jc w:val="right"/>
              <w:ind w:right="90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62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520"/>
              <w:spacing w:after="0" w:line="125"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3"/>
          </w:tcPr>
          <w:p>
            <w:pPr>
              <w:jc w:val="center"/>
              <w:ind w:right="18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8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2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BALANCE—October 1, 2000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10,417,739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520,887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38,490,313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17,660,026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56,671,226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(3,090,491)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acquired and retired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(168,951)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(8,448)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(624,221)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(788,972)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(1,421,641)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40"/>
              <w:spacing w:after="0" w:line="201" w:lineRule="exact"/>
              <w:rPr>
                <w:sz w:val="20"/>
                <w:szCs w:val="20"/>
                <w:color w:val="auto"/>
              </w:rPr>
            </w:pPr>
            <w:r>
              <w:rPr>
                <w:rFonts w:ascii="Arial" w:cs="Arial" w:eastAsia="Arial" w:hAnsi="Arial"/>
                <w:sz w:val="18"/>
                <w:szCs w:val="18"/>
                <w:color w:val="auto"/>
              </w:rPr>
              <w:t>Unrealized loss on investments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available for sale</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(192,258)</w:t>
            </w:r>
          </w:p>
        </w:tc>
        <w:tc>
          <w:tcPr>
            <w:tcW w:w="1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7,117,578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7,117,578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Comprehensive income</w:t>
            </w:r>
          </w:p>
        </w:tc>
        <w:tc>
          <w:tcPr>
            <w:tcW w:w="11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6,925,320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BALANCE—September 30, 2001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10,248,788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512,439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37,866,092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20,898,141</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(192,258)</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59,084,414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Cash dividends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(1,532,690)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(1,532,690)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acquired and retired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(118,600)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(131,585)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Unrealized gain on investments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available for sale</w:t>
            </w: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46,730</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3,083,771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3,083,771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Comprehensive income</w:t>
            </w:r>
          </w:p>
        </w:tc>
        <w:tc>
          <w:tcPr>
            <w:tcW w:w="11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BALANCE—March 31, 2002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10,216,688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37,747,492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22,317,637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(145,528)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60,430,435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(3,371,694)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Unrealized loss on investments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available for sale</w:t>
            </w: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40"/>
              <w:spacing w:after="0" w:line="201" w:lineRule="exact"/>
              <w:rPr>
                <w:sz w:val="20"/>
                <w:szCs w:val="20"/>
                <w:color w:val="auto"/>
              </w:rPr>
            </w:pPr>
            <w:r>
              <w:rPr>
                <w:rFonts w:ascii="Arial" w:cs="Arial" w:eastAsia="Arial" w:hAnsi="Arial"/>
                <w:sz w:val="18"/>
                <w:szCs w:val="18"/>
                <w:color w:val="auto"/>
              </w:rPr>
              <w:t>Adjustment for impairment of</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w w:val="99"/>
              </w:rPr>
              <w:t>investments included in net income</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233,100</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Comprehensive income</w:t>
            </w:r>
          </w:p>
        </w:tc>
        <w:tc>
          <w:tcPr>
            <w:tcW w:w="11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8,654,763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BALANCE—March 30, 2003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10,216,688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510,834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37,747,492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27,376,115</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79,063</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65,713,504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Cash dividends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(3,678,008)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(3,678,008)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56" w:right="21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60" w:type="dxa"/>
            <w:vAlign w:val="bottom"/>
            <w:gridSpan w:val="2"/>
          </w:tcPr>
          <w:p>
            <w:pPr>
              <w:ind w:left="340"/>
              <w:spacing w:after="0"/>
              <w:rPr>
                <w:sz w:val="20"/>
                <w:szCs w:val="20"/>
                <w:color w:val="auto"/>
              </w:rPr>
            </w:pPr>
            <w:r>
              <w:rPr>
                <w:rFonts w:ascii="Arial" w:cs="Arial" w:eastAsia="Arial" w:hAnsi="Arial"/>
                <w:sz w:val="18"/>
                <w:szCs w:val="18"/>
                <w:color w:val="auto"/>
              </w:rPr>
              <w:t>Unrealized gain on investments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117,265</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117,265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tcPr>
          <w:p>
            <w:pPr>
              <w:ind w:left="520"/>
              <w:spacing w:after="0"/>
              <w:rPr>
                <w:sz w:val="20"/>
                <w:szCs w:val="20"/>
                <w:color w:val="auto"/>
              </w:rPr>
            </w:pPr>
            <w:r>
              <w:rPr>
                <w:rFonts w:ascii="Arial" w:cs="Arial" w:eastAsia="Arial" w:hAnsi="Arial"/>
                <w:sz w:val="18"/>
                <w:szCs w:val="18"/>
                <w:color w:val="auto"/>
              </w:rPr>
              <w:t>available for sale</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5,751,884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5,751,884</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ind w:left="520"/>
              <w:spacing w:after="0"/>
              <w:rPr>
                <w:sz w:val="20"/>
                <w:szCs w:val="20"/>
                <w:color w:val="auto"/>
              </w:rPr>
            </w:pPr>
            <w:r>
              <w:rPr>
                <w:rFonts w:ascii="Arial" w:cs="Arial" w:eastAsia="Arial" w:hAnsi="Arial"/>
                <w:sz w:val="18"/>
                <w:szCs w:val="18"/>
                <w:color w:val="auto"/>
              </w:rPr>
              <w:t>Comprehensive income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5,869,149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BALANCE—March 28, 2004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10,216,688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2000" w:type="dxa"/>
            <w:vAlign w:val="bottom"/>
            <w:gridSpan w:val="7"/>
          </w:tcPr>
          <w:p>
            <w:pPr>
              <w:jc w:val="right"/>
              <w:ind w:right="20"/>
              <w:spacing w:after="0"/>
              <w:rPr>
                <w:sz w:val="20"/>
                <w:szCs w:val="20"/>
                <w:color w:val="auto"/>
              </w:rPr>
            </w:pPr>
            <w:r>
              <w:rPr>
                <w:rFonts w:ascii="Arial" w:cs="Arial" w:eastAsia="Arial" w:hAnsi="Arial"/>
                <w:sz w:val="18"/>
                <w:szCs w:val="18"/>
                <w:color w:val="auto"/>
              </w:rPr>
              <w:t>510,834  $    37,747,492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29,449,991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196,328</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    67,904,645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40" w:type="dxa"/>
            <w:vAlign w:val="bottom"/>
            <w:gridSpan w:val="2"/>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3580" w:type="dxa"/>
            <w:vAlign w:val="bottom"/>
            <w:gridSpan w:val="3"/>
          </w:tcPr>
          <w:p>
            <w:pPr>
              <w:spacing w:after="0"/>
              <w:rPr>
                <w:sz w:val="20"/>
                <w:szCs w:val="20"/>
                <w:color w:val="auto"/>
              </w:rPr>
            </w:pPr>
            <w:r>
              <w:rPr>
                <w:rFonts w:ascii="Arial" w:cs="Arial" w:eastAsia="Arial" w:hAnsi="Arial"/>
                <w:sz w:val="18"/>
                <w:szCs w:val="18"/>
                <w:color w:val="auto"/>
                <w:w w:val="90"/>
              </w:rPr>
              <w:t>See accompanying notes to financial statements.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Borders>
              <w:bottom w:val="single" w:sz="8" w:color="808080"/>
            </w:tcBorders>
            <w:gridSpan w:val="2"/>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08"/>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HAWKINS, INC.</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STATEMENTS OF CASH FLOWS</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0"/>
              </w:rPr>
              <w:t>Fiscal</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4"/>
            <w:vMerge w:val="restart"/>
          </w:tcPr>
          <w:p>
            <w:pPr>
              <w:jc w:val="center"/>
              <w:ind w:right="740"/>
              <w:spacing w:after="0"/>
              <w:rPr>
                <w:sz w:val="20"/>
                <w:szCs w:val="20"/>
                <w:color w:val="auto"/>
              </w:rPr>
            </w:pPr>
            <w:r>
              <w:rPr>
                <w:rFonts w:ascii="Arial" w:cs="Arial" w:eastAsia="Arial" w:hAnsi="Arial"/>
                <w:sz w:val="14"/>
                <w:szCs w:val="14"/>
                <w:b w:val="1"/>
                <w:bCs w:val="1"/>
                <w:color w:val="auto"/>
                <w:w w:val="90"/>
              </w:rPr>
              <w:t>Fiscal</w:t>
            </w:r>
          </w:p>
        </w:tc>
        <w:tc>
          <w:tcPr>
            <w:tcW w:w="260" w:type="dxa"/>
            <w:vAlign w:val="bottom"/>
          </w:tcPr>
          <w:p>
            <w:pPr>
              <w:spacing w:after="0"/>
              <w:rPr>
                <w:sz w:val="24"/>
                <w:szCs w:val="24"/>
                <w:color w:val="auto"/>
              </w:rPr>
            </w:pPr>
          </w:p>
        </w:tc>
        <w:tc>
          <w:tcPr>
            <w:tcW w:w="13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7"/>
              </w:rPr>
              <w:t>Six-Month</w:t>
            </w:r>
          </w:p>
        </w:tc>
        <w:tc>
          <w:tcPr>
            <w:tcW w:w="14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Fiscal Year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Transitional</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2"/>
                <w:szCs w:val="12"/>
                <w:color w:val="auto"/>
              </w:rPr>
            </w:pPr>
          </w:p>
        </w:tc>
        <w:tc>
          <w:tcPr>
            <w:tcW w:w="160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Year Ended</w:t>
            </w:r>
          </w:p>
        </w:tc>
        <w:tc>
          <w:tcPr>
            <w:tcW w:w="260" w:type="dxa"/>
            <w:vAlign w:val="bottom"/>
          </w:tcPr>
          <w:p>
            <w:pPr>
              <w:spacing w:after="0"/>
              <w:rPr>
                <w:sz w:val="12"/>
                <w:szCs w:val="12"/>
                <w:color w:val="auto"/>
              </w:rPr>
            </w:pPr>
          </w:p>
        </w:tc>
        <w:tc>
          <w:tcPr>
            <w:tcW w:w="134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March 28, 2004</w:t>
            </w:r>
          </w:p>
        </w:tc>
        <w:tc>
          <w:tcPr>
            <w:tcW w:w="80" w:type="dxa"/>
            <w:vAlign w:val="bottom"/>
          </w:tcPr>
          <w:p>
            <w:pPr>
              <w:spacing w:after="0"/>
              <w:rPr>
                <w:sz w:val="14"/>
                <w:szCs w:val="14"/>
                <w:color w:val="auto"/>
              </w:rPr>
            </w:pPr>
          </w:p>
        </w:tc>
        <w:tc>
          <w:tcPr>
            <w:tcW w:w="16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4"/>
              </w:rPr>
              <w:t>March 30, 2003</w:t>
            </w:r>
          </w:p>
        </w:tc>
        <w:tc>
          <w:tcPr>
            <w:tcW w:w="16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6"/>
              </w:rPr>
              <w:t>March 31, 2002</w:t>
            </w:r>
          </w:p>
        </w:tc>
        <w:tc>
          <w:tcPr>
            <w:tcW w:w="140" w:type="dxa"/>
            <w:vAlign w:val="bottom"/>
          </w:tcPr>
          <w:p>
            <w:pPr>
              <w:spacing w:after="0"/>
              <w:rPr>
                <w:sz w:val="14"/>
                <w:szCs w:val="14"/>
                <w:color w:val="auto"/>
              </w:rPr>
            </w:pPr>
          </w:p>
        </w:tc>
        <w:tc>
          <w:tcPr>
            <w:tcW w:w="124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2001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5,751,884</w:t>
            </w:r>
          </w:p>
        </w:tc>
        <w:tc>
          <w:tcPr>
            <w:tcW w:w="140" w:type="dxa"/>
            <w:vAlign w:val="bottom"/>
          </w:tcPr>
          <w:p>
            <w:pPr>
              <w:spacing w:after="0"/>
              <w:rPr>
                <w:sz w:val="18"/>
                <w:szCs w:val="18"/>
                <w:color w:val="auto"/>
              </w:rPr>
            </w:pPr>
          </w:p>
        </w:tc>
        <w:tc>
          <w:tcPr>
            <w:tcW w:w="560" w:type="dxa"/>
            <w:vAlign w:val="bottom"/>
            <w:gridSpan w:val="2"/>
          </w:tcPr>
          <w:p>
            <w:pPr>
              <w:jc w:val="right"/>
              <w:ind w:right="30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rPr>
              <w:t>8,430,172</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3,083,771</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7,117,578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Reconciliation to cash flows: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2,992,104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rPr>
              <w:t>2,958,975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1,481,750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2,727,577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270,612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(121,770)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322,585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414,641</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340"/>
              <w:spacing w:after="0"/>
              <w:rPr>
                <w:sz w:val="20"/>
                <w:szCs w:val="20"/>
                <w:color w:val="auto"/>
              </w:rPr>
            </w:pPr>
            <w:r>
              <w:rPr>
                <w:rFonts w:ascii="Arial" w:cs="Arial" w:eastAsia="Arial" w:hAnsi="Arial"/>
                <w:sz w:val="18"/>
                <w:szCs w:val="18"/>
                <w:color w:val="auto"/>
              </w:rPr>
              <w:t>Impairment of investments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370,000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Earnings on other assets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(41,642)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(72,929)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340"/>
              <w:spacing w:after="0"/>
              <w:rPr>
                <w:sz w:val="20"/>
                <w:szCs w:val="20"/>
                <w:color w:val="auto"/>
              </w:rPr>
            </w:pPr>
            <w:r>
              <w:rPr>
                <w:rFonts w:ascii="Arial" w:cs="Arial" w:eastAsia="Arial" w:hAnsi="Arial"/>
                <w:sz w:val="18"/>
                <w:szCs w:val="18"/>
                <w:color w:val="auto"/>
              </w:rPr>
              <w:t>Loss from property disposals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right"/>
              <w:ind w:right="140"/>
              <w:spacing w:after="0"/>
              <w:rPr>
                <w:sz w:val="20"/>
                <w:szCs w:val="20"/>
                <w:color w:val="auto"/>
              </w:rPr>
            </w:pPr>
            <w:r>
              <w:rPr>
                <w:rFonts w:ascii="Arial" w:cs="Arial" w:eastAsia="Arial" w:hAnsi="Arial"/>
                <w:sz w:val="18"/>
                <w:szCs w:val="18"/>
                <w:color w:val="auto"/>
              </w:rPr>
              <w:t>69,716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34,713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6,144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35,901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w w:val="91"/>
              </w:rPr>
              <w:t>Changes in operating accounts (requiring) providing cash:</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520"/>
              <w:spacing w:after="0"/>
              <w:rPr>
                <w:sz w:val="20"/>
                <w:szCs w:val="20"/>
                <w:color w:val="auto"/>
              </w:rPr>
            </w:pPr>
            <w:r>
              <w:rPr>
                <w:rFonts w:ascii="Arial" w:cs="Arial" w:eastAsia="Arial" w:hAnsi="Arial"/>
                <w:sz w:val="18"/>
                <w:szCs w:val="18"/>
                <w:color w:val="auto"/>
              </w:rPr>
              <w:t>Trade receivables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8"/>
                <w:szCs w:val="18"/>
                <w:color w:val="auto"/>
              </w:rPr>
              <w:t>(55,280)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(590,763)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1,602,016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(601,796)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511,257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3,187,182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(3,654,766)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52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8"/>
                <w:szCs w:val="18"/>
                <w:color w:val="auto"/>
              </w:rPr>
              <w:t>(1,102,671)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rPr>
              <w:t>1,758,900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(3,198,910)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2,288,150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Accrued liabilities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69,502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2,079,348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(1,630,471)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602,677</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8"/>
                <w:szCs w:val="18"/>
                <w:color w:val="auto"/>
              </w:rPr>
              <w:t>(1,053,886)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(256,741)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(948,241)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1,125,169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gridSpan w:val="4"/>
            <w:shd w:val="clear" w:color="auto" w:fill="CCEEFF"/>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7,411,596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14,589,108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3,860,076</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9,950,745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w w:val="98"/>
              </w:rPr>
              <w:t>Additions to property, plant, and equipment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8"/>
                <w:szCs w:val="18"/>
                <w:color w:val="auto"/>
              </w:rPr>
              <w:t>(4,897,551)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w w:val="99"/>
              </w:rPr>
              <w:t>(2,348,124)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(1,145,030)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(7,056,226)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of investments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(8,506,919)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0"/>
              </w:rPr>
              <w:t>(21,395,228)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(3,600,099)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Sale and maturities of investments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9,630,392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rPr>
              <w:t>6,022,000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8,797,736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1,032,018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property disposals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53,250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28,825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93,453</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Payments received on notes receivable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right"/>
              <w:ind w:right="140"/>
              <w:spacing w:after="0"/>
              <w:rPr>
                <w:sz w:val="20"/>
                <w:szCs w:val="20"/>
                <w:color w:val="auto"/>
              </w:rPr>
            </w:pPr>
            <w:r>
              <w:rPr>
                <w:rFonts w:ascii="Arial" w:cs="Arial" w:eastAsia="Arial" w:hAnsi="Arial"/>
                <w:sz w:val="18"/>
                <w:szCs w:val="18"/>
                <w:color w:val="auto"/>
              </w:rPr>
              <w:t>192,489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269,122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178,306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356,106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gridSpan w:val="4"/>
            <w:shd w:val="clear" w:color="auto" w:fill="CCEEFF"/>
          </w:tcPr>
          <w:p>
            <w:pPr>
              <w:ind w:left="700"/>
              <w:spacing w:after="0"/>
              <w:rPr>
                <w:sz w:val="20"/>
                <w:szCs w:val="20"/>
                <w:color w:val="auto"/>
              </w:rPr>
            </w:pPr>
            <w:r>
              <w:rPr>
                <w:rFonts w:ascii="Arial" w:cs="Arial" w:eastAsia="Arial" w:hAnsi="Arial"/>
                <w:sz w:val="18"/>
                <w:szCs w:val="18"/>
                <w:color w:val="auto"/>
                <w:w w:val="98"/>
              </w:rPr>
              <w:t>Net cash (used in) provided by investing activities</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(3,528,339)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(17,393,080)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4,259,738</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(6,375,246)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Cash dividends paid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8"/>
                <w:szCs w:val="18"/>
                <w:color w:val="auto"/>
              </w:rPr>
              <w:t>(3,678,008)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w w:val="99"/>
              </w:rPr>
              <w:t>(3,065,380)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(1,537,805)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(3,118,722)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Debt repayment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(116,823)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(109,180)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Acquisition and retirement of stock</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(251,790)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(1,421,641)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w w:val="99"/>
              </w:rPr>
              <w:t>Net cash used in financing activities</w:t>
            </w: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(3,678,008)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(3,182,203)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(1,898,775)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(4,642,400)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NET INCREASE (DECREASE) IN CASH AND CASH</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205,249</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9"/>
              </w:rPr>
              <w:t>(5,986,175)</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6,221,039</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(1,066,901)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Beginning of period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1,353,720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rPr>
              <w:t>7,339,895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1,118,856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2,185,757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End of period</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1,558,969</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1,353,720</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7,339,895</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1,118,856</w:t>
            </w: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SUPPLEMENTAL DISCLOSURES OF CASH FLOW</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INFORMATION—</w:t>
            </w: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Cash paid during the year for:</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8,177</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17,884</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33,422</w:t>
            </w:r>
          </w:p>
        </w:tc>
        <w:tc>
          <w:tcPr>
            <w:tcW w:w="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Income taxes</w:t>
            </w: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3,897,997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02"/>
              <w:spacing w:after="0" w:line="203"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5,106,724</w:t>
            </w: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line="203" w:lineRule="exact"/>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1,917,426</w:t>
            </w: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2,078,071</w:t>
            </w: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-7404735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-7404735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ectPr>
          <w:pgSz w:w="11900" w:h="16838" w:orient="portrait"/>
          <w:cols w:equalWidth="0" w:num="1">
            <w:col w:w="11440"/>
          </w:cols>
          <w:pgMar w:left="240" w:top="125" w:right="219" w:bottom="0" w:gutter="0" w:footer="0" w:header="0"/>
        </w:sectPr>
      </w:pPr>
    </w:p>
    <w:bookmarkStart w:id="14" w:name="page15"/>
    <w:bookmarkEnd w:id="14"/>
    <w:p>
      <w:pPr>
        <w:ind w:right="160"/>
        <w:spacing w:after="0" w:line="261" w:lineRule="auto"/>
        <w:rPr>
          <w:sz w:val="20"/>
          <w:szCs w:val="20"/>
          <w:color w:val="auto"/>
        </w:rPr>
      </w:pPr>
      <w:r>
        <w:rPr>
          <w:rFonts w:ascii="Arial" w:cs="Arial" w:eastAsia="Arial" w:hAnsi="Arial"/>
          <w:sz w:val="18"/>
          <w:szCs w:val="18"/>
          <w:b w:val="1"/>
          <w:bCs w:val="1"/>
          <w:i w:val="1"/>
          <w:iCs w:val="1"/>
          <w:color w:val="auto"/>
        </w:rPr>
        <w:t>Nature of Business</w:t>
      </w:r>
      <w:r>
        <w:rPr>
          <w:rFonts w:ascii="Arial" w:cs="Arial" w:eastAsia="Arial" w:hAnsi="Arial"/>
          <w:sz w:val="18"/>
          <w:szCs w:val="18"/>
          <w:b w:val="1"/>
          <w:bCs w:val="1"/>
          <w:color w:val="auto"/>
        </w:rPr>
        <w:t>—</w:t>
      </w:r>
      <w:r>
        <w:rPr>
          <w:rFonts w:ascii="Arial" w:cs="Arial" w:eastAsia="Arial" w:hAnsi="Arial"/>
          <w:sz w:val="18"/>
          <w:szCs w:val="18"/>
          <w:color w:val="auto"/>
        </w:rPr>
        <w:t>Hawkins, Inc. (the “Company”) has two reportable segments: Industrial and Water Treatment. The Industrial segment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specializes in providing industrial chemicals and services to the energy, electronics, and plating industries. In addition, the Industrial segment provides products and services to food manufacturers, processing plants and the pharmaceutical industry. The Water Treatment segment specializes in providing water and waste-water treatment equipment, chemicals and service.</w:t>
      </w:r>
    </w:p>
    <w:p>
      <w:pPr>
        <w:spacing w:after="0" w:line="180" w:lineRule="exact"/>
        <w:rPr>
          <w:sz w:val="20"/>
          <w:szCs w:val="20"/>
          <w:color w:val="auto"/>
        </w:rPr>
      </w:pPr>
    </w:p>
    <w:p>
      <w:pPr>
        <w:ind w:right="260"/>
        <w:spacing w:after="0" w:line="303" w:lineRule="auto"/>
        <w:rPr>
          <w:sz w:val="20"/>
          <w:szCs w:val="20"/>
          <w:color w:val="auto"/>
        </w:rPr>
      </w:pPr>
      <w:r>
        <w:rPr>
          <w:rFonts w:ascii="Arial" w:cs="Arial" w:eastAsia="Arial" w:hAnsi="Arial"/>
          <w:sz w:val="16"/>
          <w:szCs w:val="16"/>
          <w:b w:val="1"/>
          <w:bCs w:val="1"/>
          <w:i w:val="1"/>
          <w:iCs w:val="1"/>
          <w:color w:val="auto"/>
        </w:rPr>
        <w:t>Fiscal Year</w:t>
      </w:r>
      <w:r>
        <w:rPr>
          <w:rFonts w:ascii="Arial" w:cs="Arial" w:eastAsia="Arial" w:hAnsi="Arial"/>
          <w:sz w:val="16"/>
          <w:szCs w:val="16"/>
          <w:b w:val="1"/>
          <w:bCs w:val="1"/>
          <w:color w:val="auto"/>
        </w:rPr>
        <w:t>—</w:t>
      </w:r>
      <w:r>
        <w:rPr>
          <w:rFonts w:ascii="Arial" w:cs="Arial" w:eastAsia="Arial" w:hAnsi="Arial"/>
          <w:sz w:val="16"/>
          <w:szCs w:val="16"/>
          <w:color w:val="auto"/>
        </w:rPr>
        <w:t>In December 2001, the Company changed its fiscal year end to a 52/53-week year ending on the Sunday closest to March 31 from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52/53-week fiscal year ending on the Sunday closest to September 30. The change in year-end will better match the Company’s annual reporting process to its natural business cycles. This change resulted in a six-month transitional period ended March 31, 2002. The six-month transitional period was a 26-week period, the fiscal years ended March 28, 2004, March 30, 2003, and September 30, 2001 were 52-week years.</w:t>
      </w:r>
    </w:p>
    <w:p>
      <w:pPr>
        <w:spacing w:after="0" w:line="15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b w:val="1"/>
          <w:bCs w:val="1"/>
          <w:color w:val="auto"/>
        </w:rPr>
        <w:t>—</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80"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color w:val="auto"/>
        </w:rPr>
        <w:t>The Company recognizes revenue when the product has been shipped to the customer if there is evidence that the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agreed to purchase the products, delivery and performance has occurred, the price and terms of sale are fixed, and collection of the receivable is expected.</w:t>
      </w:r>
    </w:p>
    <w:p>
      <w:pPr>
        <w:spacing w:after="0" w:line="1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Shipping and Handling—</w:t>
      </w:r>
      <w:r>
        <w:rPr>
          <w:rFonts w:ascii="Arial" w:cs="Arial" w:eastAsia="Arial" w:hAnsi="Arial"/>
          <w:sz w:val="18"/>
          <w:szCs w:val="18"/>
          <w:color w:val="auto"/>
        </w:rPr>
        <w:t>All shipping and handling amounts billed to customers are included in revenues. Costs incurred related to shipping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handling are included in costs of goods sold.</w:t>
      </w:r>
    </w:p>
    <w:p>
      <w:pPr>
        <w:spacing w:after="0" w:line="166" w:lineRule="exact"/>
        <w:rPr>
          <w:sz w:val="20"/>
          <w:szCs w:val="20"/>
          <w:color w:val="auto"/>
        </w:rPr>
      </w:pPr>
    </w:p>
    <w:p>
      <w:pPr>
        <w:ind w:right="500"/>
        <w:spacing w:after="0" w:line="347" w:lineRule="auto"/>
        <w:rPr>
          <w:sz w:val="20"/>
          <w:szCs w:val="20"/>
          <w:color w:val="auto"/>
        </w:rPr>
      </w:pPr>
      <w:r>
        <w:rPr>
          <w:rFonts w:ascii="Arial" w:cs="Arial" w:eastAsia="Arial" w:hAnsi="Arial"/>
          <w:sz w:val="16"/>
          <w:szCs w:val="16"/>
          <w:b w:val="1"/>
          <w:bCs w:val="1"/>
          <w:i w:val="1"/>
          <w:iCs w:val="1"/>
          <w:color w:val="auto"/>
        </w:rPr>
        <w:t>Cash Equivalents</w:t>
      </w:r>
      <w:r>
        <w:rPr>
          <w:rFonts w:ascii="Arial" w:cs="Arial" w:eastAsia="Arial" w:hAnsi="Arial"/>
          <w:sz w:val="16"/>
          <w:szCs w:val="16"/>
          <w:b w:val="1"/>
          <w:bCs w:val="1"/>
          <w:color w:val="auto"/>
        </w:rPr>
        <w:t>—</w:t>
      </w:r>
      <w:r>
        <w:rPr>
          <w:rFonts w:ascii="Arial" w:cs="Arial" w:eastAsia="Arial" w:hAnsi="Arial"/>
          <w:sz w:val="16"/>
          <w:szCs w:val="16"/>
          <w:color w:val="auto"/>
        </w:rPr>
        <w:t>Cash equivalents include all liquid debt instruments (primarily cash funds and money market accounts) purchased with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original maturity of three months or less. The balances maintained at financial institutions may, at times, exceed federally insured limits.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Available-For-Sale</w:t>
      </w:r>
      <w:r>
        <w:rPr>
          <w:rFonts w:ascii="Arial" w:cs="Arial" w:eastAsia="Arial" w:hAnsi="Arial"/>
          <w:sz w:val="17"/>
          <w:szCs w:val="17"/>
          <w:b w:val="1"/>
          <w:bCs w:val="1"/>
          <w:color w:val="auto"/>
        </w:rPr>
        <w:t>—</w:t>
      </w:r>
      <w:r>
        <w:rPr>
          <w:rFonts w:ascii="Arial" w:cs="Arial" w:eastAsia="Arial" w:hAnsi="Arial"/>
          <w:sz w:val="17"/>
          <w:szCs w:val="17"/>
          <w:color w:val="auto"/>
        </w:rPr>
        <w:t>In accordance with the provisions of Statement of Financial Accounting Standards (“SFAS”) No. 115,</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“Accounting for Certain Investments in Debt and Equity Securities,” these investments are carried at fair market value with unrealized gains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losses reported in shareholders’ equity as a component of other comprehensive income (loss). Investments classified as available-for-sale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 of fixed income securities, primarily municipal bonds and U.S. Government agency securities (45%), mutual funds (49%), and variable rate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marketable securities, primarily annuity contracts (6%) that will be held for indefinite periods of time, including securities that may be sold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response to changes in market interest or prepayment rates, needs for liquidity, or changes in the availability or yield of alternative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Gross unrealized gains, primarily within the mutual fund and fixed income portfolios, were $314,328 and $126,063 as of March 28, 2004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30, 2003, respectively. In the fiscal years ended March 28, 2004 and March 30, 2003, the six-month transitional period ended March 31,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2002, and the fiscal year ended September 30, 2001, proceeds from the sale of investments available-for-sale were $9,630,392, $6,022,000,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$8,797,736 and $1,032,018, respectively. A loss of $370,000 was recorded in the fiscal year ended March 30, 2003 due to declines in market value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were deemed other than temporary. Realized gains and losses were not material for the fiscal year ended March 28, 2004, the six-month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transitional period ended March 31, 2002 and the fiscal year ended September 30, 2001.</w:t>
      </w:r>
    </w:p>
    <w:p>
      <w:pPr>
        <w:spacing w:after="0" w:line="20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b w:val="1"/>
          <w:bCs w:val="1"/>
          <w:color w:val="auto"/>
        </w:rPr>
        <w:t>—</w:t>
      </w:r>
      <w:r>
        <w:rPr>
          <w:rFonts w:ascii="Arial" w:cs="Arial" w:eastAsia="Arial" w:hAnsi="Arial"/>
          <w:sz w:val="18"/>
          <w:szCs w:val="18"/>
          <w:color w:val="auto"/>
        </w:rPr>
        <w:t>Inventories, consisting primarily of finished goods, are primarily valued at the lower of cost or net realizable value, with cost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using the last-in, first-out (“LIFO”) method.</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b w:val="1"/>
          <w:bCs w:val="1"/>
          <w:color w:val="auto"/>
        </w:rPr>
        <w:t>—</w:t>
      </w:r>
      <w:r>
        <w:rPr>
          <w:rFonts w:ascii="Arial" w:cs="Arial" w:eastAsia="Arial" w:hAnsi="Arial"/>
          <w:sz w:val="18"/>
          <w:szCs w:val="18"/>
          <w:color w:val="auto"/>
        </w:rPr>
        <w:t>Property is stated at cost and depreciated over the lives of the assets, using both straight-line and declining-balance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methods. Estimated lives are: 10 to 50 years for buildings and improvements; 3 to 15 years for machinery and equipment; 3 to 10 years for transportation equipment; and 3 to 10 years for office furniture and equipment.</w:t>
      </w:r>
    </w:p>
    <w:p>
      <w:pPr>
        <w:spacing w:after="0" w:line="1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Intangible Assets</w:t>
      </w:r>
      <w:r>
        <w:rPr>
          <w:rFonts w:ascii="Arial" w:cs="Arial" w:eastAsia="Arial" w:hAnsi="Arial"/>
          <w:sz w:val="18"/>
          <w:szCs w:val="18"/>
          <w:b w:val="1"/>
          <w:bCs w:val="1"/>
          <w:color w:val="auto"/>
        </w:rPr>
        <w:t>—</w:t>
      </w:r>
      <w:r>
        <w:rPr>
          <w:rFonts w:ascii="Arial" w:cs="Arial" w:eastAsia="Arial" w:hAnsi="Arial"/>
          <w:sz w:val="18"/>
          <w:szCs w:val="18"/>
          <w:color w:val="auto"/>
        </w:rPr>
        <w:t>Intangible assets consist primarily of customer lists, trademarks, and trade names acquired in previous business acquisitions.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values assigned to the intangible assets are being amortized primarily over 15 years. As of March 28, 2004, the Company had net intangible assets of $2,778,178. Amortization expense was $283,485 during the fiscal years ended March 28, 2004, March 30, 2003 and September 30, 2001 and was $141,742 during the six-month transitional</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period ended March 31, 2002. The estimated amortization expense for each of the next five years is approximately $284,000 per year.</w:t>
      </w:r>
    </w:p>
    <w:p>
      <w:pPr>
        <w:spacing w:after="0" w:line="2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Investments Held-To-Maturity</w:t>
      </w:r>
      <w:r>
        <w:rPr>
          <w:rFonts w:ascii="Arial" w:cs="Arial" w:eastAsia="Arial" w:hAnsi="Arial"/>
          <w:sz w:val="18"/>
          <w:szCs w:val="18"/>
          <w:b w:val="1"/>
          <w:bCs w:val="1"/>
          <w:color w:val="auto"/>
        </w:rPr>
        <w:t>—</w:t>
      </w:r>
      <w:r>
        <w:rPr>
          <w:rFonts w:ascii="Arial" w:cs="Arial" w:eastAsia="Arial" w:hAnsi="Arial"/>
          <w:sz w:val="18"/>
          <w:szCs w:val="18"/>
          <w:color w:val="auto"/>
        </w:rPr>
        <w:t>Held-to-maturity securities consist of Minnesota municipal bonds, which the Company has the intent and ability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 to maturity, and are valued at amortized historical cost, increased for accretion of discounts and reduced by amortization of premiums, computed by the constant-yield method. Investments held-to-maturity, included within other assets, were $725,000 and $1,086,825 at March 28, 2004 and March 30, 2003, respectively.</w:t>
      </w:r>
    </w:p>
    <w:p>
      <w:pPr>
        <w:spacing w:after="0" w:line="180"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i w:val="1"/>
          <w:iCs w:val="1"/>
          <w:color w:val="auto"/>
        </w:rPr>
        <w:t>Recoverability of Long-Lived Assets</w:t>
      </w:r>
      <w:r>
        <w:rPr>
          <w:rFonts w:ascii="Arial" w:cs="Arial" w:eastAsia="Arial" w:hAnsi="Arial"/>
          <w:sz w:val="17"/>
          <w:szCs w:val="17"/>
          <w:b w:val="1"/>
          <w:bCs w:val="1"/>
          <w:color w:val="auto"/>
        </w:rPr>
        <w:t>—</w:t>
      </w:r>
      <w:r>
        <w:rPr>
          <w:rFonts w:ascii="Arial" w:cs="Arial" w:eastAsia="Arial" w:hAnsi="Arial"/>
          <w:sz w:val="17"/>
          <w:szCs w:val="17"/>
          <w:color w:val="auto"/>
        </w:rPr>
        <w:t>The Company reviews its long-lived assets whenever events or changes in circumstances indicate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carrying amount of the assets may not be recoverable. The Company determines potential impairment by comparing the carrying value of the assets with expected net cash flows expected to be provided by operating activities of the business or related products. Should the sum of the expected future net cash flows be less than the carrying value, the Company would determine whether an impairment loss should be recognized. An impairment loss would be measured by comparing the amount by which the carrying value exceeds the fair value of the asset based on market value that is based on the discounted cash flows expected to be generated by the asset.</w:t>
      </w:r>
    </w:p>
    <w:p>
      <w:pPr>
        <w:spacing w:after="0" w:line="174"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b w:val="1"/>
          <w:bCs w:val="1"/>
          <w:color w:val="auto"/>
        </w:rPr>
        <w:t>—</w:t>
      </w:r>
      <w:r>
        <w:rPr>
          <w:rFonts w:ascii="Arial" w:cs="Arial" w:eastAsia="Arial" w:hAnsi="Arial"/>
          <w:sz w:val="16"/>
          <w:szCs w:val="16"/>
          <w:color w:val="auto"/>
        </w:rPr>
        <w:t>The Company follows SFAS No. 109, “Accounting for Income Taxes.” Under SFAS No. 109, the deferred tax assets and liabilities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recognized based on differences between the financial statements and the tax bases of assets and liabilities using presently enacted tax rates.</w:t>
      </w:r>
    </w:p>
    <w:p>
      <w:pPr>
        <w:spacing w:after="0" w:line="11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18"/>
          <w:szCs w:val="18"/>
          <w:b w:val="1"/>
          <w:bCs w:val="1"/>
          <w:color w:val="auto"/>
        </w:rPr>
        <w:t>—</w:t>
      </w:r>
      <w:r>
        <w:rPr>
          <w:rFonts w:ascii="Arial" w:cs="Arial" w:eastAsia="Arial" w:hAnsi="Arial"/>
          <w:sz w:val="18"/>
          <w:szCs w:val="18"/>
          <w:color w:val="auto"/>
        </w:rPr>
        <w:t>Basic and diluted earnings per share are computed by dividing net income by the weighted average number of common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w:t>
      </w:r>
    </w:p>
    <w:p>
      <w:pPr>
        <w:spacing w:after="0" w:line="162"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i w:val="1"/>
          <w:iCs w:val="1"/>
          <w:color w:val="auto"/>
        </w:rPr>
        <w:t>Concentrations of Credit Risk</w:t>
      </w:r>
      <w:r>
        <w:rPr>
          <w:rFonts w:ascii="Arial" w:cs="Arial" w:eastAsia="Arial" w:hAnsi="Arial"/>
          <w:sz w:val="16"/>
          <w:szCs w:val="16"/>
          <w:b w:val="1"/>
          <w:bCs w:val="1"/>
          <w:color w:val="auto"/>
        </w:rPr>
        <w:t>—</w:t>
      </w:r>
      <w:r>
        <w:rPr>
          <w:rFonts w:ascii="Arial" w:cs="Arial" w:eastAsia="Arial" w:hAnsi="Arial"/>
          <w:sz w:val="16"/>
          <w:szCs w:val="16"/>
          <w:color w:val="auto"/>
        </w:rPr>
        <w:t>Financial instruments which potentially subject the Company to a concentration of credit risk principally consist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available-for-sale and trade receivables. The Company sells its principal products to a large number of customers in many different</w:t>
      </w:r>
    </w:p>
    <w:p>
      <w:pPr>
        <w:sectPr>
          <w:pgSz w:w="11900" w:h="16838" w:orient="portrait"/>
          <w:cols w:equalWidth="0" w:num="1">
            <w:col w:w="10760"/>
          </w:cols>
          <w:pgMar w:left="900" w:top="121" w:right="239" w:bottom="0" w:gutter="0" w:footer="0" w:header="0"/>
        </w:sectPr>
      </w:pPr>
    </w:p>
    <w:bookmarkStart w:id="15" w:name="page16"/>
    <w:bookmarkEnd w:id="15"/>
    <w:p>
      <w:pPr>
        <w:ind w:left="652" w:right="600"/>
        <w:spacing w:after="0" w:line="277" w:lineRule="auto"/>
        <w:rPr>
          <w:sz w:val="20"/>
          <w:szCs w:val="20"/>
          <w:color w:val="auto"/>
        </w:rPr>
      </w:pPr>
      <w:r>
        <w:rPr>
          <w:rFonts w:ascii="Arial" w:cs="Arial" w:eastAsia="Arial" w:hAnsi="Arial"/>
          <w:sz w:val="18"/>
          <w:szCs w:val="18"/>
          <w:color w:val="auto"/>
        </w:rPr>
        <w:t>industries. To reduce credit risk, the Company routinely assesses the financial strength of its customers. The Company invests its excess cash balances in a money market account at a single financial institution.</w:t>
      </w:r>
    </w:p>
    <w:p>
      <w:pPr>
        <w:spacing w:after="0" w:line="170" w:lineRule="exact"/>
        <w:rPr>
          <w:sz w:val="20"/>
          <w:szCs w:val="20"/>
          <w:color w:val="auto"/>
        </w:rPr>
      </w:pPr>
    </w:p>
    <w:p>
      <w:pPr>
        <w:ind w:left="652" w:right="200"/>
        <w:spacing w:after="0" w:line="297" w:lineRule="auto"/>
        <w:rPr>
          <w:sz w:val="20"/>
          <w:szCs w:val="20"/>
          <w:color w:val="auto"/>
        </w:rPr>
      </w:pPr>
      <w:r>
        <w:rPr>
          <w:rFonts w:ascii="Arial" w:cs="Arial" w:eastAsia="Arial" w:hAnsi="Arial"/>
          <w:sz w:val="16"/>
          <w:szCs w:val="16"/>
          <w:color w:val="auto"/>
        </w:rPr>
        <w:t>At March 28, 2004, the Company also had an investment portfolio of fixed income securities and mutual funds, excluding $2,911,565 of those classified as cash and cash equivalents and variable rate securities, of $10,705,527 and $11,031,316, respectively. The fixed income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on net income or cash flows. The value of mutual funds, like all mutual funds, may increase or decrease due to market volatility.</w:t>
      </w:r>
    </w:p>
    <w:p>
      <w:pPr>
        <w:spacing w:after="0" w:line="154" w:lineRule="exact"/>
        <w:rPr>
          <w:sz w:val="20"/>
          <w:szCs w:val="20"/>
          <w:color w:val="auto"/>
        </w:rPr>
      </w:pPr>
    </w:p>
    <w:p>
      <w:pPr>
        <w:ind w:left="652" w:right="40"/>
        <w:spacing w:after="0" w:line="291" w:lineRule="auto"/>
        <w:rPr>
          <w:sz w:val="20"/>
          <w:szCs w:val="20"/>
          <w:color w:val="auto"/>
        </w:rPr>
      </w:pPr>
      <w:r>
        <w:rPr>
          <w:rFonts w:ascii="Arial" w:cs="Arial" w:eastAsia="Arial" w:hAnsi="Arial"/>
          <w:sz w:val="16"/>
          <w:szCs w:val="16"/>
          <w:b w:val="1"/>
          <w:bCs w:val="1"/>
          <w:i w:val="1"/>
          <w:iCs w:val="1"/>
          <w:color w:val="auto"/>
        </w:rPr>
        <w:t>Derivative Instruments and Hedging Activities</w:t>
      </w:r>
      <w:r>
        <w:rPr>
          <w:rFonts w:ascii="Arial" w:cs="Arial" w:eastAsia="Arial" w:hAnsi="Arial"/>
          <w:sz w:val="16"/>
          <w:szCs w:val="16"/>
          <w:b w:val="1"/>
          <w:bCs w:val="1"/>
          <w:color w:val="auto"/>
        </w:rPr>
        <w:t>—</w:t>
      </w:r>
      <w:r>
        <w:rPr>
          <w:rFonts w:ascii="Arial" w:cs="Arial" w:eastAsia="Arial" w:hAnsi="Arial"/>
          <w:sz w:val="16"/>
          <w:szCs w:val="16"/>
          <w:color w:val="auto"/>
        </w:rPr>
        <w:t>In fiscal 2001, the Company adopted SFAS No. 133, “Accounting for Derivative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Hedging Activities,” as amended by SFAS No. 138, “Accounting for Certain Derivative Instruments and Certain Hedging Activities.” SFAS No. 133 establishes accounting and reporting standards for derivative instruments and for hedging activities. It requires that all derivatives, including those embedded in other contracts, be recognized as either assets or liabilities and that those financial instruments be measured at fair value. The accounting for changes in the fair value of derivatives depends on their intended use and designation. Management has reviewed the requirements of SFAS No. 133 and has determined that the Company has no freestanding or embedded derivatives. All contracts that contain provisions meeting the definition of a derivative also meet the requirements of, and have been designated as, normal purchases and sales. The Company’s policy is to not use freestanding derivatives and to not enter into contracts with terms that cannot be designated as normal purchases or sales.</w:t>
      </w:r>
    </w:p>
    <w:p>
      <w:pPr>
        <w:spacing w:after="0" w:line="160" w:lineRule="exact"/>
        <w:rPr>
          <w:sz w:val="20"/>
          <w:szCs w:val="20"/>
          <w:color w:val="auto"/>
        </w:rPr>
      </w:pPr>
    </w:p>
    <w:p>
      <w:pPr>
        <w:ind w:left="652" w:right="20"/>
        <w:spacing w:after="0" w:line="282" w:lineRule="auto"/>
        <w:rPr>
          <w:sz w:val="20"/>
          <w:szCs w:val="20"/>
          <w:color w:val="auto"/>
        </w:rPr>
      </w:pPr>
      <w:r>
        <w:rPr>
          <w:rFonts w:ascii="Arial" w:cs="Arial" w:eastAsia="Arial" w:hAnsi="Arial"/>
          <w:sz w:val="18"/>
          <w:szCs w:val="18"/>
          <w:b w:val="1"/>
          <w:bCs w:val="1"/>
          <w:i w:val="1"/>
          <w:iCs w:val="1"/>
          <w:color w:val="auto"/>
        </w:rPr>
        <w:t>Risk and Uncertainties</w:t>
      </w:r>
      <w:r>
        <w:rPr>
          <w:rFonts w:ascii="Arial" w:cs="Arial" w:eastAsia="Arial" w:hAnsi="Arial"/>
          <w:sz w:val="18"/>
          <w:szCs w:val="18"/>
          <w:b w:val="1"/>
          <w:bCs w:val="1"/>
          <w:color w:val="auto"/>
        </w:rPr>
        <w:t>—</w:t>
      </w:r>
      <w:r>
        <w:rPr>
          <w:rFonts w:ascii="Arial" w:cs="Arial" w:eastAsia="Arial" w:hAnsi="Arial"/>
          <w:sz w:val="18"/>
          <w:szCs w:val="18"/>
          <w:color w:val="auto"/>
        </w:rPr>
        <w:t>There are no concentrations of business transacted with a particular customer or supplier nor concentrations of sales from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service or geographic area that would severely impact the Company in the near term.</w:t>
      </w:r>
    </w:p>
    <w:p>
      <w:pPr>
        <w:spacing w:after="0" w:line="162" w:lineRule="exact"/>
        <w:rPr>
          <w:sz w:val="20"/>
          <w:szCs w:val="20"/>
          <w:color w:val="auto"/>
        </w:rPr>
      </w:pPr>
    </w:p>
    <w:p>
      <w:pPr>
        <w:ind w:left="652" w:right="100"/>
        <w:spacing w:after="0" w:line="295" w:lineRule="auto"/>
        <w:rPr>
          <w:sz w:val="20"/>
          <w:szCs w:val="20"/>
          <w:color w:val="auto"/>
        </w:rPr>
      </w:pPr>
      <w:r>
        <w:rPr>
          <w:rFonts w:ascii="Arial" w:cs="Arial" w:eastAsia="Arial" w:hAnsi="Arial"/>
          <w:sz w:val="16"/>
          <w:szCs w:val="16"/>
          <w:b w:val="1"/>
          <w:bCs w:val="1"/>
          <w:i w:val="1"/>
          <w:iCs w:val="1"/>
          <w:color w:val="auto"/>
        </w:rPr>
        <w:t>Accounting Pronouncements</w:t>
      </w:r>
      <w:r>
        <w:rPr>
          <w:rFonts w:ascii="Arial" w:cs="Arial" w:eastAsia="Arial" w:hAnsi="Arial"/>
          <w:sz w:val="16"/>
          <w:szCs w:val="16"/>
          <w:b w:val="1"/>
          <w:bCs w:val="1"/>
          <w:color w:val="auto"/>
        </w:rPr>
        <w:t>—</w:t>
      </w:r>
      <w:r>
        <w:rPr>
          <w:rFonts w:ascii="Arial" w:cs="Arial" w:eastAsia="Arial" w:hAnsi="Arial"/>
          <w:sz w:val="16"/>
          <w:szCs w:val="16"/>
          <w:color w:val="auto"/>
        </w:rPr>
        <w:t>In November 2002, the Financial Accounting Standards Board (FASB) issued Interpretation No. 45 (FIN 45),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“Guarantor’s Accounting and Disclosure Requirements for Guarantees, Including Indirect Guarantees of Indebtedness of Others.” FIN 45 clarifies the disclosures to be made by a guarantor in its interim and annual financial statements about its obligations under certain guarantees that it has issued. FIN 45 also requires a guarantor to recognize, at the inception of a guarantee, a liability for the fair value of the obligation undertaken in issuing certain types of guarantees. The disclosure requirements in FIN 45 are effective for interim or annual financial statements for periods ending after December 15, 2002. The adoption of FIN 45 did not have an impact on the Company’s results of operations or financial position.</w:t>
      </w:r>
    </w:p>
    <w:p>
      <w:pPr>
        <w:spacing w:after="0" w:line="160" w:lineRule="exact"/>
        <w:rPr>
          <w:sz w:val="20"/>
          <w:szCs w:val="20"/>
          <w:color w:val="auto"/>
        </w:rPr>
      </w:pPr>
    </w:p>
    <w:p>
      <w:pPr>
        <w:ind w:left="652" w:right="40"/>
        <w:spacing w:after="0" w:line="277" w:lineRule="auto"/>
        <w:rPr>
          <w:sz w:val="20"/>
          <w:szCs w:val="20"/>
          <w:color w:val="auto"/>
        </w:rPr>
      </w:pPr>
      <w:r>
        <w:rPr>
          <w:rFonts w:ascii="Arial" w:cs="Arial" w:eastAsia="Arial" w:hAnsi="Arial"/>
          <w:sz w:val="18"/>
          <w:szCs w:val="18"/>
          <w:color w:val="auto"/>
        </w:rPr>
        <w:t>In January 2003, the FASB issued Interpretation No. 46 (FIN 46), “Consolidation of Variable Interest Entities (“VIE”), an Interpretation of ARB No. 51,” which requires all VIEs to be consolidated by the primary beneficiary. The primary</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52" w:right="120"/>
        <w:spacing w:after="0" w:line="293" w:lineRule="auto"/>
        <w:rPr>
          <w:sz w:val="20"/>
          <w:szCs w:val="20"/>
          <w:color w:val="auto"/>
        </w:rPr>
      </w:pPr>
      <w:r>
        <w:rPr>
          <w:rFonts w:ascii="Arial" w:cs="Arial" w:eastAsia="Arial" w:hAnsi="Arial"/>
          <w:sz w:val="16"/>
          <w:szCs w:val="16"/>
          <w:color w:val="auto"/>
        </w:rPr>
        <w:t>beneficiary is the entity that holds the majority of the beneficial interests in the VIE. In addition, the interpretation expands disclosure requirements for both VIEs that are consolidated as well as VIEs from which the entity is the holder of a significant amount of the beneficial interests, but not the majority. In December 2003, the FASB revised FIN 46 to exclude from its scope certain entities that meet the definition of a business under Emerging Issues Task Force Issue No. 98-3, “Determining Whether a Nonmonetary Transaction Involves the Receipt of Productive Assets or of a Business.” The revised FIN 46 (FIN 46R) is to be applied no later than the end of the first fiscal year or interim reporting period ending after March 15, 2004. The adoption of FIN 46R did not have an impact on the Company’s results of operations or financial position.</w:t>
      </w:r>
    </w:p>
    <w:p>
      <w:pPr>
        <w:spacing w:after="0" w:line="165" w:lineRule="exact"/>
        <w:rPr>
          <w:sz w:val="20"/>
          <w:szCs w:val="20"/>
          <w:color w:val="auto"/>
        </w:rPr>
      </w:pPr>
    </w:p>
    <w:p>
      <w:pPr>
        <w:ind w:left="652" w:right="20"/>
        <w:spacing w:after="0" w:line="255"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SFAS No. 150 establishes new standards on how an issuer classifies and measures certain financial instruments with characteristics of both liabilities and equity. Under previous guidance, issuers could account for many of those instruments as equity. SFAS No. 150 requires that those instruments be classified as liabilities in statements of financial position. SFAS No. 150 is effective for all financial instruments entered into or modified after May 31, 2003, and otherwise is effective at the beginning of the first interim period beginning after June 15, 2003. The adoption of SFAS No. 150 did not have an impact on the Company’s financial position.</w:t>
      </w:r>
    </w:p>
    <w:p>
      <w:pPr>
        <w:spacing w:after="0" w:line="193" w:lineRule="exact"/>
        <w:rPr>
          <w:sz w:val="20"/>
          <w:szCs w:val="20"/>
          <w:color w:val="auto"/>
        </w:rPr>
      </w:pPr>
    </w:p>
    <w:p>
      <w:pPr>
        <w:ind w:left="652"/>
        <w:spacing w:after="0" w:line="288" w:lineRule="auto"/>
        <w:rPr>
          <w:sz w:val="20"/>
          <w:szCs w:val="20"/>
          <w:color w:val="auto"/>
        </w:rPr>
      </w:pPr>
      <w:r>
        <w:rPr>
          <w:rFonts w:ascii="Arial" w:cs="Arial" w:eastAsia="Arial" w:hAnsi="Arial"/>
          <w:sz w:val="16"/>
          <w:szCs w:val="16"/>
          <w:color w:val="auto"/>
        </w:rPr>
        <w:t>In March 2004, the Emerging Issues Task Force (EITF) reached a consensus on the remaining portions of EITF 03-01, “The Meaning of Other-Than-Temporary Impairment and Its Application to Certain Investments,” with an effective date of June 15, 2004. EITF 03-01 provides new disclosure requirements for other-than-temporary impairments on debt and equity investments. Investors are required to disclose quantitative information about:</w:t>
      </w:r>
    </w:p>
    <w:p>
      <w:pPr>
        <w:ind w:left="652" w:right="40"/>
        <w:spacing w:after="0" w:line="271" w:lineRule="auto"/>
        <w:rPr>
          <w:sz w:val="20"/>
          <w:szCs w:val="20"/>
          <w:color w:val="auto"/>
        </w:rPr>
      </w:pPr>
      <w:r>
        <w:rPr>
          <w:rFonts w:ascii="Arial" w:cs="Arial" w:eastAsia="Arial" w:hAnsi="Arial"/>
          <w:sz w:val="17"/>
          <w:szCs w:val="17"/>
          <w:color w:val="auto"/>
        </w:rPr>
        <w:t>(i) the aggregate amount of unrealized losses, and (ii) the aggregate related fair values of investments with unrealized losses, segregated into time periods during which the investment has been in an unrealized loss position of less than 12 months and greater than 12 months. In addition, investors are required to disclose the qualitative information that supports their conclusion that the impairments noted in the qualitative disclosure are not other-than-temporary. We adopted the initial portions of EITF 03-01 in December 2003. The adoption of the remaining portions is not expected to have a material impact on our results of operations or financial condition.</w:t>
      </w:r>
    </w:p>
    <w:p>
      <w:pPr>
        <w:spacing w:after="0" w:line="174" w:lineRule="exact"/>
        <w:rPr>
          <w:sz w:val="20"/>
          <w:szCs w:val="20"/>
          <w:color w:val="auto"/>
        </w:rPr>
      </w:pPr>
    </w:p>
    <w:p>
      <w:pPr>
        <w:ind w:left="652" w:hanging="652"/>
        <w:spacing w:after="0"/>
        <w:tabs>
          <w:tab w:leader="none" w:pos="6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Inventories at March 28, 2004 and March 30, 2003 consisted of the following:</w:t>
      </w:r>
    </w:p>
    <w:p>
      <w:pPr>
        <w:spacing w:after="0" w:line="217" w:lineRule="exact"/>
        <w:rPr>
          <w:sz w:val="20"/>
          <w:szCs w:val="20"/>
          <w:color w:val="auto"/>
        </w:rPr>
      </w:pPr>
    </w:p>
    <w:tbl>
      <w:tblPr>
        <w:tblLayout w:type="fixed"/>
        <w:tblInd w:w="65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(FIFO basis)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9,289,560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9,909,599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LIFO reserve</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(402,479)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(511,261)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inventory</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8,887,081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9,398,338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52" w:right="40"/>
        <w:spacing w:after="0" w:line="277" w:lineRule="auto"/>
        <w:rPr>
          <w:sz w:val="20"/>
          <w:szCs w:val="20"/>
          <w:color w:val="auto"/>
        </w:rPr>
      </w:pPr>
      <w:r>
        <w:rPr>
          <w:rFonts w:ascii="Arial" w:cs="Arial" w:eastAsia="Arial" w:hAnsi="Arial"/>
          <w:sz w:val="18"/>
          <w:szCs w:val="18"/>
          <w:color w:val="auto"/>
        </w:rPr>
        <w:t>Inventories valued under the LIFO method at March 28, 2004 and March 30, 2003 were $7,152,123 and $8,204,400, respectively. The balance of the inventory was valued under the FIFO method.</w:t>
      </w:r>
    </w:p>
    <w:p>
      <w:pPr>
        <w:spacing w:after="0" w:line="170" w:lineRule="exact"/>
        <w:rPr>
          <w:sz w:val="20"/>
          <w:szCs w:val="20"/>
          <w:color w:val="auto"/>
        </w:rPr>
      </w:pPr>
    </w:p>
    <w:p>
      <w:pPr>
        <w:ind w:left="652" w:right="260"/>
        <w:spacing w:after="0" w:line="297" w:lineRule="auto"/>
        <w:rPr>
          <w:sz w:val="20"/>
          <w:szCs w:val="20"/>
          <w:color w:val="auto"/>
        </w:rPr>
      </w:pPr>
      <w:r>
        <w:rPr>
          <w:rFonts w:ascii="Arial" w:cs="Arial" w:eastAsia="Arial" w:hAnsi="Arial"/>
          <w:sz w:val="16"/>
          <w:szCs w:val="16"/>
          <w:color w:val="auto"/>
        </w:rPr>
        <w:t>In fiscal 2003, the LIFO reserve decreased by $790,268. The decrease in the LIFO reserve was caused by a significant decrease in the cost of a single, large-volume component of inventory. During the fiscal years ended March 28, 2004 and March 30, 2003 and the six-month transitional period ended March 31, 2002, the Company liquidated LIFO inventory layers that were at lower costs than current costs. During the fiscal year ended September 30, 2001, there were no LIFO inventory layers liquidated. The impact of the liquidation on cost of sales was not material for the fiscal years ended March 28, 2004 and March 30, 2003 and was $300,000 for the six-month transitional period ended March 31, 2002.</w:t>
      </w:r>
    </w:p>
    <w:p>
      <w:pPr>
        <w:sectPr>
          <w:pgSz w:w="11900" w:h="16838" w:orient="portrait"/>
          <w:cols w:equalWidth="0" w:num="1">
            <w:col w:w="11412"/>
          </w:cols>
          <w:pgMar w:left="248" w:top="125" w:right="239" w:bottom="0" w:gutter="0" w:footer="0" w:header="0"/>
        </w:sectPr>
      </w:pPr>
    </w:p>
    <w:bookmarkStart w:id="16" w:name="page17"/>
    <w:bookmarkEnd w:id="16"/>
    <w:p>
      <w:pPr>
        <w:spacing w:after="0" w:line="6"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Company has three notes receivable related to the sales of Tessman Seed, Inc., certain land and a building, and The Lynde Company. At</w:t>
      </w:r>
    </w:p>
    <w:p>
      <w:pPr>
        <w:spacing w:after="0" w:line="34" w:lineRule="exact"/>
        <w:rPr>
          <w:rFonts w:ascii="Arial" w:cs="Arial" w:eastAsia="Arial" w:hAnsi="Arial"/>
          <w:sz w:val="18"/>
          <w:szCs w:val="18"/>
          <w:b w:val="1"/>
          <w:bCs w:val="1"/>
          <w:color w:val="auto"/>
        </w:rPr>
      </w:pPr>
    </w:p>
    <w:p>
      <w:pPr>
        <w:ind w:left="66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March 28, 2004 and March 30, 2003, the net balances outstanding on the notes receivable were $1,773,255 and $1,965,744, respectively. The current portion of $176,083 and $192,489 at March 28, 2004 and March 30, 2003, respectively, are included within prepaid expenses and other current assets and the remaining balances are included within other assets. The notes receivable bear interest at 8% and are due in equal monthly installments of $36,204 through September 1, 2010 at which time the remaining unpaid balance of $1,213,163 is due. Land and a building, and a personal guarantee secure the notes receivable.</w:t>
      </w:r>
    </w:p>
    <w:p>
      <w:pPr>
        <w:spacing w:after="0" w:line="187" w:lineRule="exact"/>
        <w:rPr>
          <w:rFonts w:ascii="Arial" w:cs="Arial" w:eastAsia="Arial" w:hAnsi="Arial"/>
          <w:sz w:val="18"/>
          <w:szCs w:val="18"/>
          <w:b w:val="1"/>
          <w:bCs w:val="1"/>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final installment of $116,823 on the Company’s previously outstanding long-term debt was paid in October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9" w:lineRule="exact"/>
        <w:rPr>
          <w:rFonts w:ascii="Arial" w:cs="Arial" w:eastAsia="Arial" w:hAnsi="Arial"/>
          <w:sz w:val="18"/>
          <w:szCs w:val="18"/>
          <w:b w:val="1"/>
          <w:bCs w:val="1"/>
          <w:color w:val="auto"/>
        </w:rPr>
      </w:pPr>
    </w:p>
    <w:p>
      <w:pPr>
        <w:jc w:val="both"/>
        <w:ind w:left="66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six-month transitional period ended March 31, 2002 and the fiscal year ended September 30, 2001, the Company acquired and retired 32,100 shares and 168,951 shares of common stock, respectively, for $251,790 and $1,421,641, respectively. There were no shares acquired and retired during the fiscal years ended March 28, 2004 and March 30, 2003.</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STOCK OWNERSHIP PLANS</w:t>
      </w:r>
    </w:p>
    <w:p>
      <w:pPr>
        <w:spacing w:after="0" w:line="229" w:lineRule="exact"/>
        <w:rPr>
          <w:rFonts w:ascii="Arial" w:cs="Arial" w:eastAsia="Arial" w:hAnsi="Arial"/>
          <w:sz w:val="18"/>
          <w:szCs w:val="18"/>
          <w:b w:val="1"/>
          <w:bCs w:val="1"/>
          <w:color w:val="auto"/>
        </w:rPr>
      </w:pPr>
    </w:p>
    <w:p>
      <w:pPr>
        <w:ind w:left="6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has a defined contribution pension plan covering substantially all of its non-bargaining employees. Pension expense for the fiscal years ended March 28, 2004 and March 30, 2003, the six-month transitional period ended March 31, 2002, and the fiscal year ended September 30, 2001 were $1,606,085, $1,093,697, $504,349, and $870,787, respectively. The Company’s cost for the pension plan was determined as 15% of each employee’s covered compensation in the fiscal year ended March 28, 2004, 11% in the fiscal year ended March 30, 2003 and the six-month transitional period ended March 31, 2002 and 10% in the fiscal year ended September 30, 2001. Amounts charged to pension expense and contributed to union multi-employer pension plans (not included in the above amounts) were not material. It is the Company’s policy to fund all pension costs accrued.</w:t>
      </w:r>
    </w:p>
    <w:p>
      <w:pPr>
        <w:spacing w:after="0" w:line="189"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an employee stock ownership plan covering substantially all of its non-bargaining employees. Contributions are made at the discretion of the Board of Directors subject to a maximum amount allowed under the Internal Revenue Code. Contributions for the fiscal years ended March 28, 2004 and March 30, 2003, the six-month transitional period ended March 31, 2002, and the fiscal year ended September 30, 2001 were $544,189, $901,922, $412,649, and $1,027,828, respectively.</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currently offer any post-retirement benefits, deferred stock or stock-based compensation plans.</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rFonts w:ascii="Arial" w:cs="Arial" w:eastAsia="Arial" w:hAnsi="Arial"/>
          <w:sz w:val="18"/>
          <w:szCs w:val="18"/>
          <w:b w:val="1"/>
          <w:bCs w:val="1"/>
          <w:color w:val="auto"/>
        </w:rPr>
      </w:pPr>
    </w:p>
    <w:p>
      <w:pPr>
        <w:ind w:left="660" w:right="14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b w:val="1"/>
          <w:bCs w:val="1"/>
          <w:color w:val="auto"/>
        </w:rPr>
        <w:t>—</w:t>
      </w:r>
      <w:r>
        <w:rPr>
          <w:rFonts w:ascii="Arial" w:cs="Arial" w:eastAsia="Arial" w:hAnsi="Arial"/>
          <w:sz w:val="18"/>
          <w:szCs w:val="18"/>
          <w:color w:val="auto"/>
        </w:rPr>
        <w:t>The Company has various operating leases for land and buildings on which some of its operations are located. Total rental expense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years ended March 28, 2004 and March 30, 2003, the six-month transitional period ended March 31, 2002, and the fiscal year ended September 30, 2001 were $197,676, $193,187, $98,034, and $172,552, respectively. Future minimum lease payments due under operating leases with an initial term of one year or more at March 28, 2004 are $208,366 in 2005, $175,110 in 2006, $158,179 in 2007, $137,848 in 2008, $138,800 in 2009, and $2,271,673 thereafter.</w:t>
      </w:r>
    </w:p>
    <w:p>
      <w:pPr>
        <w:spacing w:after="0" w:line="187"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Termination Agreements—</w:t>
      </w:r>
      <w:r>
        <w:rPr>
          <w:rFonts w:ascii="Arial" w:cs="Arial" w:eastAsia="Arial" w:hAnsi="Arial"/>
          <w:sz w:val="18"/>
          <w:szCs w:val="18"/>
          <w:color w:val="auto"/>
        </w:rPr>
        <w:t>During fiscal 1999, the Company entered into termination agreements with three former employees and recorded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in the statement of income of $1,112,127. At March 28, 2004, the Company is required to make future payments to one individual for a period of 1.5 years. The present value of the future payments to be paid in fiscal 2005 is included in other accruals and the present value of the remaining payments is included in other long-term liabilities.</w:t>
      </w:r>
    </w:p>
    <w:p>
      <w:pPr>
        <w:spacing w:after="0" w:line="182" w:lineRule="exact"/>
        <w:rPr>
          <w:rFonts w:ascii="Arial" w:cs="Arial" w:eastAsia="Arial" w:hAnsi="Arial"/>
          <w:sz w:val="18"/>
          <w:szCs w:val="18"/>
          <w:b w:val="1"/>
          <w:bCs w:val="1"/>
          <w:color w:val="auto"/>
        </w:rPr>
      </w:pPr>
    </w:p>
    <w:p>
      <w:pPr>
        <w:ind w:left="660" w:right="20"/>
        <w:spacing w:after="0" w:line="272"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Litigation</w:t>
      </w:r>
      <w:r>
        <w:rPr>
          <w:rFonts w:ascii="Arial" w:cs="Arial" w:eastAsia="Arial" w:hAnsi="Arial"/>
          <w:sz w:val="17"/>
          <w:szCs w:val="17"/>
          <w:b w:val="1"/>
          <w:bCs w:val="1"/>
          <w:color w:val="auto"/>
        </w:rPr>
        <w:t>—</w:t>
      </w:r>
      <w:r>
        <w:rPr>
          <w:rFonts w:ascii="Arial" w:cs="Arial" w:eastAsia="Arial" w:hAnsi="Arial"/>
          <w:sz w:val="17"/>
          <w:szCs w:val="17"/>
          <w:color w:val="auto"/>
        </w:rPr>
        <w:t>The Company was a defendant in a lawsuit encaptioned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Chavarria et al v. Hawkins, Inc., Panorama Compounding Pharmacy, and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Valley Drug and Compounding, et al. </w:t>
      </w:r>
      <w:r>
        <w:rPr>
          <w:rFonts w:ascii="Arial" w:cs="Arial" w:eastAsia="Arial" w:hAnsi="Arial"/>
          <w:sz w:val="17"/>
          <w:szCs w:val="17"/>
          <w:color w:val="auto"/>
        </w:rPr>
        <w:t>This action was filed on September 7, 2001 in the Superior Court of the State of California, County of Los</w:t>
      </w:r>
      <w:r>
        <w:rPr>
          <w:rFonts w:ascii="Arial" w:cs="Arial" w:eastAsia="Arial" w:hAnsi="Arial"/>
          <w:sz w:val="17"/>
          <w:szCs w:val="17"/>
          <w:i w:val="1"/>
          <w:iCs w:val="1"/>
          <w:color w:val="auto"/>
        </w:rPr>
        <w:t xml:space="preserve"> </w:t>
      </w:r>
      <w:r>
        <w:rPr>
          <w:rFonts w:ascii="Arial" w:cs="Arial" w:eastAsia="Arial" w:hAnsi="Arial"/>
          <w:sz w:val="17"/>
          <w:szCs w:val="17"/>
          <w:color w:val="auto"/>
        </w:rPr>
        <w:t>Angeles, Northwest District, Case No. LC 057561. The plaintiffs were seeking unspecified compensatory and punitive damages relating to claims arising from the alleged mislabeling of certain inventory purchased by the Company as part of an acquisition in May 2000. A tentative settlement was reached in February 2004, and on April 9, 2004 the case was dismissed. Pursuant to the terms of the settlement, the Company did not admit or deny any of the allegations of the complaint. The Company was responsible for the payment of $3.0 million that was not covered by insurance, which was charged against income from operations and paid during the fourth quarter of fiscal 2004. The Company is pursuing reimbursement of the settlement payment and defense costs from third parties.</w:t>
      </w:r>
    </w:p>
    <w:p>
      <w:pPr>
        <w:spacing w:after="0" w:line="176" w:lineRule="exact"/>
        <w:rPr>
          <w:rFonts w:ascii="Arial" w:cs="Arial" w:eastAsia="Arial" w:hAnsi="Arial"/>
          <w:sz w:val="18"/>
          <w:szCs w:val="18"/>
          <w:b w:val="1"/>
          <w:bCs w:val="1"/>
          <w:color w:val="auto"/>
        </w:rPr>
      </w:pPr>
    </w:p>
    <w:p>
      <w:pPr>
        <w:ind w:left="6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is involved in various legal actions arising from the normal course of business. Management is of the opinion that any judgment or settlement resulting from pending or threatened litigation would not have a material adverse effect on the financial position, results of operations or cash flows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provisions for income taxes are as follows:</w:t>
      </w:r>
    </w:p>
    <w:p>
      <w:pPr>
        <w:spacing w:after="0" w:line="204" w:lineRule="exact"/>
        <w:rPr>
          <w:sz w:val="20"/>
          <w:szCs w:val="20"/>
          <w:color w:val="auto"/>
        </w:rPr>
      </w:pPr>
    </w:p>
    <w:tbl>
      <w:tblPr>
        <w:tblLayout w:type="fixed"/>
        <w:tblInd w:w="5320" w:type="dxa"/>
        <w:tblCellMar>
          <w:top w:w="0" w:type="dxa"/>
          <w:left w:w="0" w:type="dxa"/>
          <w:bottom w:w="0" w:type="dxa"/>
          <w:right w:w="0" w:type="dxa"/>
        </w:tblCellMar>
      </w:tblPr>
      <w:tr>
        <w:trPr>
          <w:trHeight w:val="161"/>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Six-Month</w:t>
            </w:r>
          </w:p>
        </w:tc>
        <w:tc>
          <w:tcPr>
            <w:tcW w:w="1100" w:type="dxa"/>
            <w:vAlign w:val="bottom"/>
          </w:tcPr>
          <w:p>
            <w:pPr>
              <w:jc w:val="center"/>
              <w:ind w:left="348"/>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86"/>
        </w:trPr>
        <w:tc>
          <w:tcPr>
            <w:tcW w:w="1140" w:type="dxa"/>
            <w:vAlign w:val="bottom"/>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5"/>
              </w:rPr>
              <w:t>Transitional</w:t>
            </w:r>
          </w:p>
        </w:tc>
        <w:tc>
          <w:tcPr>
            <w:tcW w:w="1100" w:type="dxa"/>
            <w:vAlign w:val="bottom"/>
          </w:tcPr>
          <w:p>
            <w:pPr>
              <w:jc w:val="center"/>
              <w:ind w:left="348"/>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bl>
    <w:p>
      <w:pPr>
        <w:sectPr>
          <w:pgSz w:w="11900" w:h="16845" w:orient="portrait"/>
          <w:cols w:equalWidth="0" w:num="1">
            <w:col w:w="11420"/>
          </w:cols>
          <w:pgMar w:left="240" w:top="337" w:right="239" w:bottom="0" w:gutter="0" w:footer="0" w:header="0"/>
        </w:sectPr>
      </w:pPr>
    </w:p>
    <w:bookmarkStart w:id="17" w:name="page18"/>
    <w:bookmarkEnd w:id="17"/>
    <w:p>
      <w:pPr>
        <w:spacing w:after="0" w:line="62" w:lineRule="exact"/>
        <w:rPr>
          <w:sz w:val="20"/>
          <w:szCs w:val="20"/>
          <w:color w:val="auto"/>
        </w:rPr>
      </w:pPr>
    </w:p>
    <w:tbl>
      <w:tblPr>
        <w:tblLayout w:type="fixed"/>
        <w:tblInd w:w="6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Period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March 28,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456"/>
              <w:spacing w:after="0" w:line="149"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436"/>
              <w:spacing w:after="0" w:line="149" w:lineRule="exact"/>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2004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Federal—current</w:t>
            </w:r>
          </w:p>
        </w:tc>
        <w:tc>
          <w:tcPr>
            <w:tcW w:w="1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2,351,497</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4,057,347</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1,122,058</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2,591,327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State—current</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632,891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1,064,423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303,750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632,652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270,612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(121,770)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322,585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414,641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Total provision</w:t>
            </w:r>
          </w:p>
        </w:tc>
        <w:tc>
          <w:tcPr>
            <w:tcW w:w="15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1,748,393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3,638,620</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52" w:right="160"/>
        <w:spacing w:after="0" w:line="277" w:lineRule="auto"/>
        <w:rPr>
          <w:sz w:val="20"/>
          <w:szCs w:val="20"/>
          <w:color w:val="auto"/>
        </w:rPr>
      </w:pPr>
      <w:r>
        <w:rPr>
          <w:rFonts w:ascii="Arial" w:cs="Arial" w:eastAsia="Arial" w:hAnsi="Arial"/>
          <w:sz w:val="18"/>
          <w:szCs w:val="18"/>
          <w:color w:val="auto"/>
        </w:rPr>
        <w:t>Reconciliations of the provisions for income taxes, based on income from continuing operations, to the applicable federal statutory income tax rate of 35% are as follows:</w:t>
      </w:r>
    </w:p>
    <w:p>
      <w:pPr>
        <w:spacing w:after="0" w:line="150" w:lineRule="exact"/>
        <w:rPr>
          <w:sz w:val="20"/>
          <w:szCs w:val="20"/>
          <w:color w:val="auto"/>
        </w:rPr>
      </w:pPr>
    </w:p>
    <w:tbl>
      <w:tblPr>
        <w:tblLayout w:type="fixed"/>
        <w:tblInd w:w="6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Fiscal Year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Fiscal Year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Six-Month</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Transitional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March 28,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March 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2002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2001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3,152,409</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4,700,560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1,691,257</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3,764,669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State income taxes, net of federal deduction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506,730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702,552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225,773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490,750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Tax-exempt income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(74,163)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ESOP dividend deduction on allocated shares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(221,447)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(226,373)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(112,345)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(235,902)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Other—net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(99,234)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(102,576)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(241,568)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1,748,393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3,638,620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The tax effects of items comprising the Company’s net deferred tax asset (liability) as of March 28, 2004 and March 30, 2003 are as follows:</w:t>
      </w:r>
    </w:p>
    <w:p>
      <w:pPr>
        <w:spacing w:after="0" w:line="217" w:lineRule="exact"/>
        <w:rPr>
          <w:sz w:val="20"/>
          <w:szCs w:val="20"/>
          <w:color w:val="auto"/>
        </w:rPr>
      </w:pPr>
    </w:p>
    <w:tbl>
      <w:tblPr>
        <w:tblLayout w:type="fixed"/>
        <w:tblInd w:w="65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Trade receivables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107,250</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107,250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620,062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Accruals</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391,093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448,115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1,118,405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1,099,823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Gain on sale of The Lynde Company</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(147,941)</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(193,219)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basis difference</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(1,348,902)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Unrealized gain on investments</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(118,000)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(1,614,843)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(1,254,649)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*Included in prepaid expenses and other current assets on the balance sheet.</w:t>
      </w:r>
    </w:p>
    <w:p>
      <w:pPr>
        <w:spacing w:after="0" w:line="221" w:lineRule="exact"/>
        <w:rPr>
          <w:sz w:val="20"/>
          <w:szCs w:val="20"/>
          <w:color w:val="auto"/>
        </w:rPr>
      </w:pPr>
    </w:p>
    <w:p>
      <w:pPr>
        <w:ind w:left="652" w:hanging="652"/>
        <w:spacing w:after="0"/>
        <w:tabs>
          <w:tab w:leader="none" w:pos="6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ST. MARY’S CHEMICALS, INC. ACQUISITION</w:t>
      </w:r>
    </w:p>
    <w:p>
      <w:pPr>
        <w:spacing w:after="0" w:line="229" w:lineRule="exact"/>
        <w:rPr>
          <w:rFonts w:ascii="Arial" w:cs="Arial" w:eastAsia="Arial" w:hAnsi="Arial"/>
          <w:sz w:val="18"/>
          <w:szCs w:val="18"/>
          <w:b w:val="1"/>
          <w:bCs w:val="1"/>
          <w:color w:val="auto"/>
        </w:rPr>
      </w:pPr>
    </w:p>
    <w:p>
      <w:pPr>
        <w:ind w:left="652"/>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May 26, 2000, the Company completed the acquisition of certain assets of St. Mary’s Chemicals, Inc. d.b.a. Universal Chemicals. Universal Chemicals, a Minnesota-based company, was engaged in the business of marketing, selling, and distributing pharmaceutical chemicals to pharmacies and pharmacy wholesalers. The Company also entered into a five-year employment agreement with one of the previous owners of Universal Chemicals and consulting agreements with the other two previous owners of Universal Chemicals. The employment agreement and consulting agreements contain performance bonuses and noncompete provisions. The agreements are based on Universal Chemicals’ cumulative operating results, as defined in the agreements, for five years after the acquisition date and have a maximum payout of $3,520,000. Based upon financial results through March 28, 2004, no payment amount would be due. The noncompete provisions cover a period of five years after the termination of the employment or consulting agreements, and require annual payments of $100,000 to</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52"/>
        <w:spacing w:after="0"/>
        <w:rPr>
          <w:sz w:val="20"/>
          <w:szCs w:val="20"/>
          <w:color w:val="auto"/>
        </w:rPr>
      </w:pPr>
      <w:r>
        <w:rPr>
          <w:rFonts w:ascii="Arial" w:cs="Arial" w:eastAsia="Arial" w:hAnsi="Arial"/>
          <w:sz w:val="18"/>
          <w:szCs w:val="18"/>
          <w:color w:val="auto"/>
        </w:rPr>
        <w:t>$200,000 depending on Universal Chemicals’ operating results, as defined in the agreements, for five years after the termination date.</w:t>
      </w:r>
    </w:p>
    <w:p>
      <w:pPr>
        <w:spacing w:after="0" w:line="221" w:lineRule="exact"/>
        <w:rPr>
          <w:sz w:val="20"/>
          <w:szCs w:val="20"/>
          <w:color w:val="auto"/>
        </w:rPr>
      </w:pPr>
    </w:p>
    <w:p>
      <w:pPr>
        <w:ind w:left="652" w:hanging="652"/>
        <w:spacing w:after="0"/>
        <w:tabs>
          <w:tab w:leader="none" w:pos="6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rFonts w:ascii="Arial" w:cs="Arial" w:eastAsia="Arial" w:hAnsi="Arial"/>
          <w:sz w:val="18"/>
          <w:szCs w:val="18"/>
          <w:b w:val="1"/>
          <w:bCs w:val="1"/>
          <w:color w:val="auto"/>
        </w:rPr>
      </w:pPr>
    </w:p>
    <w:p>
      <w:pPr>
        <w:ind w:left="6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two reportable segments: Industrial and Water Treatment. The Industrial segment specializes in providing industrial chemicals and services to the energy, electronics, and plating industries. In addition, the Industrial segment provides products and services to food manufacturers and processing plants and the pharmaceutical industry. The Water Treatment segment specializes in providing water and waste-water treatment equipment and chemicals and in helping customers find solutions to system problems.</w:t>
      </w:r>
    </w:p>
    <w:p>
      <w:pPr>
        <w:spacing w:after="0" w:line="186" w:lineRule="exact"/>
        <w:rPr>
          <w:rFonts w:ascii="Arial" w:cs="Arial" w:eastAsia="Arial" w:hAnsi="Arial"/>
          <w:sz w:val="18"/>
          <w:szCs w:val="18"/>
          <w:b w:val="1"/>
          <w:bCs w:val="1"/>
          <w:color w:val="auto"/>
        </w:rPr>
      </w:pPr>
    </w:p>
    <w:p>
      <w:pPr>
        <w:ind w:left="652"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w:t>
      </w:r>
    </w:p>
    <w:p>
      <w:pPr>
        <w:spacing w:after="0" w:line="152" w:lineRule="exact"/>
        <w:rPr>
          <w:sz w:val="20"/>
          <w:szCs w:val="20"/>
          <w:color w:val="auto"/>
        </w:rPr>
      </w:pPr>
    </w:p>
    <w:tbl>
      <w:tblPr>
        <w:tblLayout w:type="fixed"/>
        <w:tblInd w:w="652" w:type="dxa"/>
        <w:tblCellMar>
          <w:top w:w="0" w:type="dxa"/>
          <w:left w:w="0" w:type="dxa"/>
          <w:bottom w:w="0" w:type="dxa"/>
          <w:right w:w="0" w:type="dxa"/>
        </w:tblCellMar>
      </w:tblPr>
      <w:tr>
        <w:trPr>
          <w:trHeight w:val="161"/>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3"/>
                <w:szCs w:val="13"/>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Water</w:t>
            </w:r>
          </w:p>
        </w:tc>
        <w:tc>
          <w:tcPr>
            <w:tcW w:w="360" w:type="dxa"/>
            <w:vAlign w:val="bottom"/>
          </w:tcPr>
          <w:p>
            <w:pPr>
              <w:spacing w:after="0"/>
              <w:rPr>
                <w:sz w:val="13"/>
                <w:szCs w:val="13"/>
                <w:color w:val="auto"/>
              </w:rPr>
            </w:pPr>
          </w:p>
        </w:tc>
        <w:tc>
          <w:tcPr>
            <w:tcW w:w="13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Treatment</w:t>
            </w:r>
          </w:p>
        </w:tc>
        <w:tc>
          <w:tcPr>
            <w:tcW w:w="3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March 28, 2004: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Sales</w:t>
            </w:r>
          </w:p>
        </w:tc>
        <w:tc>
          <w:tcPr>
            <w:tcW w:w="5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67,746,982</w:t>
            </w:r>
          </w:p>
        </w:tc>
        <w:tc>
          <w:tcPr>
            <w:tcW w:w="260" w:type="dxa"/>
            <w:vAlign w:val="bottom"/>
            <w:tcBorders>
              <w:bottom w:val="single" w:sz="8" w:color="CCEEFF"/>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39,281,149</w:t>
            </w:r>
          </w:p>
        </w:tc>
        <w:tc>
          <w:tcPr>
            <w:tcW w:w="360" w:type="dxa"/>
            <w:vAlign w:val="bottom"/>
            <w:tcBorders>
              <w:bottom w:val="single" w:sz="8" w:color="CCEEFF"/>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87"/>
              </w:rPr>
              <w:t>107,028,131</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392"/>
          </w:cols>
          <w:pgMar w:left="248" w:top="104" w:right="25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52,577,877</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26,475,965</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79,053,842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15,169,105</w:t>
            </w: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12,805,184</w:t>
            </w:r>
          </w:p>
        </w:tc>
        <w:tc>
          <w:tcPr>
            <w:tcW w:w="3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27,974,289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955,996</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7,225,199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8,181,195</w:t>
            </w:r>
          </w:p>
        </w:tc>
        <w:tc>
          <w:tcPr>
            <w:tcW w:w="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40,713,109</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13,566,741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54,279,850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March 30, 2003:</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Sales</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67,674,289</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36,330,322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104,004,611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51,598,804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24,447,955</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76,046,759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16,075,485</w:t>
            </w: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11,882,367</w:t>
            </w:r>
          </w:p>
        </w:tc>
        <w:tc>
          <w:tcPr>
            <w:tcW w:w="3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27,957,852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6,311,138</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6,756,074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13,067,212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40,023,730</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13,122,105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53,145,835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Six-Month Transitional Period Ended March 31, 2002:</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Sales</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35,686,509</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14,181,670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49,868,179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28,059,961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10,272,512</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38,332,473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7,626,548</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3,909,158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11,535,706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2,559,529</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2,051,427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4,610,956</w:t>
            </w:r>
          </w:p>
        </w:tc>
        <w:tc>
          <w:tcPr>
            <w:tcW w:w="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40,113,075</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13,415,036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53,528,111</w:t>
            </w:r>
          </w:p>
        </w:tc>
        <w:tc>
          <w:tcPr>
            <w:tcW w:w="20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September 30, 2001:</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Sales</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73,818,768</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34,112,900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107,931,668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59,990,184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23,643,897</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83,634,081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13,828,584</w:t>
            </w: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10,469,003</w:t>
            </w:r>
          </w:p>
        </w:tc>
        <w:tc>
          <w:tcPr>
            <w:tcW w:w="3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24,297,587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3,850,444</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6,204,916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10,055,360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44,622,720</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14,244,584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58,867,304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60" w:type="dxa"/>
            <w:vAlign w:val="bottom"/>
          </w:tcPr>
          <w:p>
            <w:pPr>
              <w:spacing w:after="0"/>
              <w:rPr>
                <w:sz w:val="24"/>
                <w:szCs w:val="24"/>
                <w:color w:val="auto"/>
              </w:rPr>
            </w:pPr>
          </w:p>
        </w:tc>
        <w:tc>
          <w:tcPr>
            <w:tcW w:w="44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26</w:t>
            </w:r>
          </w:p>
        </w:tc>
        <w:tc>
          <w:tcPr>
            <w:tcW w:w="4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TRANSITIONAL PERIOD DISCLOSURE (UNAUDITED)</w:t>
      </w:r>
    </w:p>
    <w:p>
      <w:pPr>
        <w:spacing w:after="0" w:line="229"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The following information for the twelve-month period ended March 31, 2002 and the six-month period ended March 31, 2001 is included for comparison purposes.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Twelve-Month</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Six-Month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March 31, 2002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March 31, 2001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107,390,209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50,409,638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25,389,535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10,443,758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3,718,913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7,612,681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2,588,668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9A.</w:t>
      </w:r>
      <w:r>
        <w:rPr>
          <w:sz w:val="20"/>
          <w:szCs w:val="20"/>
          <w:color w:val="auto"/>
        </w:rPr>
        <w:tab/>
      </w:r>
      <w:r>
        <w:rPr>
          <w:rFonts w:ascii="Arial" w:cs="Arial" w:eastAsia="Arial" w:hAnsi="Arial"/>
          <w:sz w:val="16"/>
          <w:szCs w:val="16"/>
          <w:color w:val="auto"/>
        </w:rPr>
        <w:t>CONTROLS AND PROCEDURES.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the end of the period covered by this report, the Company conducted an evaluation, under the supervision and with the participation of its management, including the principal executive officer and principal financial officer, of the Company’s disclosure controls and procedures (as defined in Rules 13a-15(e) and 15d-15(e) under the Securities Exchange Act of 1934 (the “Exchange Act”)). Based on this evaluation, the principal executive officer and principal financial officer concluded that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There was no change in the Company’s internal control over financial reporting during the Company’s most recently completed fiscal quarter that has materially affected, or is reasonably likely to materially affect, the Company’s internal control over financial reporting.</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PART III</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DIRECTORS AND EXECUTIVE OFFICERS OF THE COMPANY.</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information under the captions “Election of Directors” and “Section 16(a) Beneficial Ownership Reporting Compliance” in the Proxy Statement for the 2004 Annual Meeting of Shareholders is incorporated herein by this reference. Information required under this item with respect to executive officers is contained in Part I of this Form 10-K under the caption “Executive Officers of the Registrant.”</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http://www.hawkinsinc.com. We intend to post on our website any amendment to, or waiver from, a provision of our Code of Business Conduct and</w:t>
      </w:r>
    </w:p>
    <w:p>
      <w:pPr>
        <w:sectPr>
          <w:pgSz w:w="11900" w:h="16838" w:orient="portrait"/>
          <w:cols w:equalWidth="0" w:num="1">
            <w:col w:w="11440"/>
          </w:cols>
          <w:pgMar w:left="240" w:top="140" w:right="219" w:bottom="0" w:gutter="0" w:footer="0" w:header="0"/>
        </w:sectPr>
      </w:pPr>
    </w:p>
    <w:bookmarkStart w:id="19" w:name="page20"/>
    <w:bookmarkEnd w:id="19"/>
    <w:p>
      <w:pPr>
        <w:spacing w:after="0" w:line="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Ethics that applies to our principal executive officer, principal financial officer, controller and other persons performing similar functions within five business days following the date of such amendment or waiver.</w:t>
      </w:r>
    </w:p>
    <w:p>
      <w:pPr>
        <w:spacing w:after="0" w:line="17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7"/>
          <w:szCs w:val="17"/>
          <w:color w:val="auto"/>
        </w:rPr>
        <w:t>EXECUTIVE COMPENSATION.</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information under the caption “Compensation of Executive Officers and Directors” in the Proxy Statement for the 2004 Annual Meeting of Shareholders is incorporated herein by this reference.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740" w:right="400" w:hanging="1728"/>
        <w:spacing w:after="0" w:line="277" w:lineRule="auto"/>
        <w:tabs>
          <w:tab w:leader="none" w:pos="172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8"/>
          <w:szCs w:val="18"/>
          <w:color w:val="auto"/>
        </w:rPr>
        <w:t>SECURITY OWNERSHIP OF CERTAIN BENEFICIAL OWNERS AND MANAGEMENT AND RELATED STOCKHOLER MATTERS.</w:t>
      </w:r>
    </w:p>
    <w:p>
      <w:pPr>
        <w:spacing w:after="0" w:line="170"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information under the caption “Security Ownership of Management and Beneficial Ownership” in the Proxy Statement for the 2004 Annual Meeting of Shareholders is incorporated herein by this reference. The Company does not have any equity compensation plans as defined in Statement of Financial Accounting Standards No. 123, “Accounting for Stock-Based Compensation.”</w:t>
      </w:r>
    </w:p>
    <w:p>
      <w:pPr>
        <w:spacing w:after="0" w:line="18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7"/>
          <w:szCs w:val="17"/>
          <w:color w:val="auto"/>
        </w:rPr>
        <w:t>CERTAIN RELATIONSHIPS AND RELATED TRANSACTIONS.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under the captions “Election of Directors” and “Related Party Transactions” in the Proxy Statement for the 2004 Annual Meeting of Shareholders is incorporated herein by this reference.</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7"/>
          <w:szCs w:val="17"/>
          <w:color w:val="auto"/>
        </w:rPr>
        <w:t>PRINCIPAL ACCOUNTANT FEES AND SERVICES.</w:t>
      </w:r>
    </w:p>
    <w:p>
      <w:pPr>
        <w:spacing w:after="0" w:line="225"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information under the caption “Independent Auditors’ Fees” in the Proxy Statement for the 2004 Annual Meeting of Shareholders is incorporated herein by this reference.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 IV</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15.</w:t>
      </w:r>
      <w:r>
        <w:rPr>
          <w:sz w:val="20"/>
          <w:szCs w:val="20"/>
          <w:color w:val="auto"/>
        </w:rPr>
        <w:tab/>
      </w:r>
      <w:r>
        <w:rPr>
          <w:rFonts w:ascii="Arial" w:cs="Arial" w:eastAsia="Arial" w:hAnsi="Arial"/>
          <w:sz w:val="17"/>
          <w:szCs w:val="17"/>
          <w:color w:val="auto"/>
        </w:rPr>
        <w:t>EXHIBITS, FINANCIAL STATEMENT SCHEDULES, AND REPORTS ON FORM 8-K.</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(a)(1)</w:t>
        <w:tab/>
        <w:t>FINANCIAL STATEMENTS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 Sheets at March 28, 2004 and March 30, 2003.</w:t>
      </w:r>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Statements of Income for the fiscal years ended March 28, 2004 and March 30, 2003, the six-month transitional period ended March 31, 2002, and the fiscal year ended September 30, 2001.</w:t>
      </w:r>
    </w:p>
    <w:p>
      <w:pPr>
        <w:spacing w:after="0" w:line="170"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Statements of Shareholders’ Equity for the fiscal years ended March 28, 2004 and March 30, 2003, the six-month transitional period ended March 31, 2002, and the fiscal year ended September 30, 2001.</w:t>
      </w:r>
    </w:p>
    <w:p>
      <w:pPr>
        <w:spacing w:after="0" w:line="170"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Statements of Cash Flows for the fiscal years ended March 28, 2004 and March 30, 2003, the six-month transitional period ended March 31, 2002, and the fiscal year ended September 30, 2001.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(a)(2)</w:t>
        <w:tab/>
        <w:t>FINANCIAL STATEMENT SCHEDULES OF THE COMPANY.</w:t>
      </w:r>
    </w:p>
    <w:p>
      <w:pPr>
        <w:spacing w:after="0" w:line="225"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 on Schedule.</w:t>
      </w:r>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following financial statement schedule for the fiscal years ended March 28, 2004 and March 30, 2003, the six-month transitional period ended March 31, 2002, and the fiscal year ended September 30, 2001.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 Valuation and Qualifying Accounts.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(a)(3)</w:t>
        <w:tab/>
        <w:t>EXHIBITS.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10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4"/>
                <w:szCs w:val="14"/>
                <w:color w:val="auto"/>
              </w:rPr>
            </w:pPr>
          </w:p>
        </w:tc>
        <w:tc>
          <w:tcPr>
            <w:tcW w:w="6880" w:type="dxa"/>
            <w:vAlign w:val="bottom"/>
          </w:tcPr>
          <w:p>
            <w:pPr>
              <w:ind w:left="308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4"/>
                <w:szCs w:val="14"/>
                <w:color w:val="auto"/>
              </w:rPr>
            </w:pPr>
          </w:p>
        </w:tc>
        <w:tc>
          <w:tcPr>
            <w:tcW w:w="2300" w:type="dxa"/>
            <w:vAlign w:val="bottom"/>
          </w:tcPr>
          <w:p>
            <w:pPr>
              <w:ind w:left="640"/>
              <w:spacing w:after="0"/>
              <w:rPr>
                <w:sz w:val="20"/>
                <w:szCs w:val="20"/>
                <w:color w:val="auto"/>
              </w:rPr>
            </w:pPr>
            <w:r>
              <w:rPr>
                <w:rFonts w:ascii="Arial" w:cs="Arial" w:eastAsia="Arial" w:hAnsi="Arial"/>
                <w:sz w:val="14"/>
                <w:szCs w:val="14"/>
                <w:b w:val="1"/>
                <w:bCs w:val="1"/>
                <w:color w:val="auto"/>
              </w:rPr>
              <w:t>Method of Filing</w:t>
            </w:r>
          </w:p>
        </w:tc>
      </w:tr>
      <w:tr>
        <w:trPr>
          <w:trHeight w:val="195"/>
        </w:trPr>
        <w:tc>
          <w:tcPr>
            <w:tcW w:w="2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Amended and Second Restated Articles of Incorporation as amended through February 27,</w:t>
            </w:r>
          </w:p>
        </w:tc>
        <w:tc>
          <w:tcPr>
            <w:tcW w:w="220" w:type="dxa"/>
            <w:vAlign w:val="bottom"/>
          </w:tcPr>
          <w:p>
            <w:pPr>
              <w:spacing w:after="0"/>
              <w:rPr>
                <w:sz w:val="16"/>
                <w:szCs w:val="16"/>
                <w:color w:val="auto"/>
              </w:rPr>
            </w:pPr>
          </w:p>
        </w:tc>
        <w:tc>
          <w:tcPr>
            <w:tcW w:w="2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Incorporated by Reference</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0" w:type="dxa"/>
            <w:vAlign w:val="bottom"/>
            <w:gridSpan w:val="2"/>
          </w:tcPr>
          <w:p>
            <w:pPr>
              <w:ind w:left="120"/>
              <w:spacing w:after="0"/>
              <w:rPr>
                <w:sz w:val="20"/>
                <w:szCs w:val="20"/>
                <w:color w:val="auto"/>
              </w:rPr>
            </w:pPr>
            <w:r>
              <w:rPr>
                <w:rFonts w:ascii="Arial" w:cs="Arial" w:eastAsia="Arial" w:hAnsi="Arial"/>
                <w:sz w:val="18"/>
                <w:szCs w:val="18"/>
                <w:color w:val="auto"/>
              </w:rPr>
              <w:t>2001. (1)</w:t>
            </w: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3.2</w:t>
            </w:r>
          </w:p>
        </w:tc>
        <w:tc>
          <w:tcPr>
            <w:tcW w:w="7000" w:type="dxa"/>
            <w:vAlign w:val="bottom"/>
            <w:gridSpan w:val="2"/>
          </w:tcPr>
          <w:p>
            <w:pPr>
              <w:ind w:left="120"/>
              <w:spacing w:after="0"/>
              <w:rPr>
                <w:sz w:val="20"/>
                <w:szCs w:val="20"/>
                <w:color w:val="auto"/>
              </w:rPr>
            </w:pPr>
            <w:r>
              <w:rPr>
                <w:rFonts w:ascii="Arial" w:cs="Arial" w:eastAsia="Arial" w:hAnsi="Arial"/>
                <w:sz w:val="18"/>
                <w:szCs w:val="18"/>
                <w:color w:val="auto"/>
                <w:w w:val="96"/>
              </w:rPr>
              <w:t>Second Amended and Superseding By-Laws as amended through February 15, 1995. (2)</w:t>
            </w:r>
          </w:p>
        </w:tc>
        <w:tc>
          <w:tcPr>
            <w:tcW w:w="2520" w:type="dxa"/>
            <w:vAlign w:val="bottom"/>
            <w:gridSpan w:val="2"/>
          </w:tcPr>
          <w:p>
            <w:pPr>
              <w:ind w:left="220"/>
              <w:spacing w:after="0"/>
              <w:rPr>
                <w:sz w:val="20"/>
                <w:szCs w:val="20"/>
                <w:color w:val="auto"/>
              </w:rPr>
            </w:pPr>
            <w:r>
              <w:rPr>
                <w:rFonts w:ascii="Arial" w:cs="Arial" w:eastAsia="Arial" w:hAnsi="Arial"/>
                <w:sz w:val="18"/>
                <w:szCs w:val="18"/>
                <w:color w:val="auto"/>
              </w:rPr>
              <w:t>Incorporated by Reference</w:t>
            </w:r>
          </w:p>
        </w:tc>
      </w:tr>
      <w:tr>
        <w:trPr>
          <w:trHeight w:val="216"/>
        </w:trPr>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10.1</w:t>
            </w:r>
          </w:p>
        </w:tc>
        <w:tc>
          <w:tcPr>
            <w:tcW w:w="7000" w:type="dxa"/>
            <w:vAlign w:val="bottom"/>
            <w:gridSpan w:val="2"/>
          </w:tcPr>
          <w:p>
            <w:pPr>
              <w:ind w:left="120"/>
              <w:spacing w:after="0"/>
              <w:rPr>
                <w:sz w:val="20"/>
                <w:szCs w:val="20"/>
                <w:color w:val="auto"/>
              </w:rPr>
            </w:pPr>
            <w:r>
              <w:rPr>
                <w:rFonts w:ascii="Arial" w:cs="Arial" w:eastAsia="Arial" w:hAnsi="Arial"/>
                <w:sz w:val="18"/>
                <w:szCs w:val="18"/>
                <w:color w:val="auto"/>
              </w:rPr>
              <w:t>Asset purchase agreement dated May 9, 2000 among St. Mary’s Chemicals, Inc., its</w:t>
            </w:r>
          </w:p>
        </w:tc>
        <w:tc>
          <w:tcPr>
            <w:tcW w:w="2520" w:type="dxa"/>
            <w:vAlign w:val="bottom"/>
            <w:gridSpan w:val="2"/>
          </w:tcPr>
          <w:p>
            <w:pPr>
              <w:ind w:left="220"/>
              <w:spacing w:after="0"/>
              <w:rPr>
                <w:sz w:val="20"/>
                <w:szCs w:val="20"/>
                <w:color w:val="auto"/>
              </w:rPr>
            </w:pPr>
            <w:r>
              <w:rPr>
                <w:rFonts w:ascii="Arial" w:cs="Arial" w:eastAsia="Arial" w:hAnsi="Arial"/>
                <w:sz w:val="18"/>
                <w:szCs w:val="18"/>
                <w:color w:val="auto"/>
              </w:rPr>
              <w:t>Incorporated by Reference</w:t>
            </w: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0" w:type="dxa"/>
            <w:vAlign w:val="bottom"/>
            <w:gridSpan w:val="2"/>
          </w:tcPr>
          <w:p>
            <w:pPr>
              <w:ind w:left="120"/>
              <w:spacing w:after="0"/>
              <w:rPr>
                <w:sz w:val="20"/>
                <w:szCs w:val="20"/>
                <w:color w:val="auto"/>
              </w:rPr>
            </w:pPr>
            <w:r>
              <w:rPr>
                <w:rFonts w:ascii="Arial" w:cs="Arial" w:eastAsia="Arial" w:hAnsi="Arial"/>
                <w:sz w:val="18"/>
                <w:szCs w:val="18"/>
                <w:color w:val="auto"/>
              </w:rPr>
              <w:t>shareholders, and the Company. (3)</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r>
    </w:tbl>
    <w:p>
      <w:pPr>
        <w:sectPr>
          <w:pgSz w:w="11900" w:h="16911" w:orient="portrait"/>
          <w:cols w:equalWidth="0" w:num="1">
            <w:col w:w="11380"/>
          </w:cols>
          <w:pgMar w:left="240" w:top="125" w:right="279" w:bottom="0" w:gutter="0" w:footer="0" w:header="0"/>
        </w:sectPr>
      </w:pPr>
    </w:p>
    <w:bookmarkStart w:id="20" w:name="page21"/>
    <w:bookmarkEnd w:id="20"/>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23.1</w:t>
            </w:r>
          </w:p>
        </w:tc>
        <w:tc>
          <w:tcPr>
            <w:tcW w:w="6900" w:type="dxa"/>
            <w:vAlign w:val="bottom"/>
            <w:gridSpan w:val="2"/>
          </w:tcPr>
          <w:p>
            <w:pPr>
              <w:ind w:left="120"/>
              <w:spacing w:after="0"/>
              <w:rPr>
                <w:sz w:val="20"/>
                <w:szCs w:val="20"/>
                <w:color w:val="auto"/>
              </w:rPr>
            </w:pPr>
            <w:r>
              <w:rPr>
                <w:rFonts w:ascii="Arial" w:cs="Arial" w:eastAsia="Arial" w:hAnsi="Arial"/>
                <w:sz w:val="18"/>
                <w:szCs w:val="18"/>
                <w:color w:val="auto"/>
              </w:rPr>
              <w:t>Consent of Independent Registered Public Accounting Firm.</w:t>
            </w:r>
          </w:p>
        </w:tc>
        <w:tc>
          <w:tcPr>
            <w:tcW w:w="1740" w:type="dxa"/>
            <w:vAlign w:val="bottom"/>
          </w:tcPr>
          <w:p>
            <w:pPr>
              <w:ind w:left="320"/>
              <w:spacing w:after="0"/>
              <w:rPr>
                <w:sz w:val="20"/>
                <w:szCs w:val="20"/>
                <w:color w:val="auto"/>
              </w:rPr>
            </w:pPr>
            <w:r>
              <w:rPr>
                <w:rFonts w:ascii="Arial" w:cs="Arial" w:eastAsia="Arial" w:hAnsi="Arial"/>
                <w:sz w:val="18"/>
                <w:szCs w:val="18"/>
                <w:color w:val="auto"/>
                <w:w w:val="93"/>
              </w:rPr>
              <w:t>Filed Electronically</w:t>
            </w:r>
          </w:p>
        </w:tc>
      </w:tr>
      <w:tr>
        <w:trPr>
          <w:trHeight w:val="216"/>
        </w:trPr>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31.1</w:t>
            </w:r>
          </w:p>
        </w:tc>
        <w:tc>
          <w:tcPr>
            <w:tcW w:w="6900" w:type="dxa"/>
            <w:vAlign w:val="bottom"/>
            <w:gridSpan w:val="2"/>
          </w:tcPr>
          <w:p>
            <w:pPr>
              <w:ind w:left="120"/>
              <w:spacing w:after="0"/>
              <w:rPr>
                <w:sz w:val="20"/>
                <w:szCs w:val="20"/>
                <w:color w:val="auto"/>
              </w:rPr>
            </w:pPr>
            <w:r>
              <w:rPr>
                <w:rFonts w:ascii="Arial" w:cs="Arial" w:eastAsia="Arial" w:hAnsi="Arial"/>
                <w:sz w:val="18"/>
                <w:szCs w:val="18"/>
                <w:color w:val="auto"/>
                <w:w w:val="96"/>
              </w:rPr>
              <w:t>Certification by Chief Executive Officer pursuant to Rule 13a-14(a) of the Exchange Act.</w:t>
            </w:r>
          </w:p>
        </w:tc>
        <w:tc>
          <w:tcPr>
            <w:tcW w:w="1740" w:type="dxa"/>
            <w:vAlign w:val="bottom"/>
          </w:tcPr>
          <w:p>
            <w:pPr>
              <w:ind w:left="320"/>
              <w:spacing w:after="0"/>
              <w:rPr>
                <w:sz w:val="20"/>
                <w:szCs w:val="20"/>
                <w:color w:val="auto"/>
              </w:rPr>
            </w:pPr>
            <w:r>
              <w:rPr>
                <w:rFonts w:ascii="Arial" w:cs="Arial" w:eastAsia="Arial" w:hAnsi="Arial"/>
                <w:sz w:val="18"/>
                <w:szCs w:val="18"/>
                <w:color w:val="auto"/>
                <w:w w:val="93"/>
              </w:rPr>
              <w:t>Filed Electronically</w:t>
            </w:r>
          </w:p>
        </w:tc>
      </w:tr>
      <w:tr>
        <w:trPr>
          <w:trHeight w:val="216"/>
        </w:trPr>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31.2</w:t>
            </w:r>
          </w:p>
        </w:tc>
        <w:tc>
          <w:tcPr>
            <w:tcW w:w="6900" w:type="dxa"/>
            <w:vAlign w:val="bottom"/>
            <w:gridSpan w:val="2"/>
          </w:tcPr>
          <w:p>
            <w:pPr>
              <w:ind w:left="120"/>
              <w:spacing w:after="0"/>
              <w:rPr>
                <w:sz w:val="20"/>
                <w:szCs w:val="20"/>
                <w:color w:val="auto"/>
              </w:rPr>
            </w:pPr>
            <w:r>
              <w:rPr>
                <w:rFonts w:ascii="Arial" w:cs="Arial" w:eastAsia="Arial" w:hAnsi="Arial"/>
                <w:sz w:val="18"/>
                <w:szCs w:val="18"/>
                <w:color w:val="auto"/>
                <w:w w:val="97"/>
              </w:rPr>
              <w:t>Certification by Chief Financial Officer pursuant to Rule 13a-14(a) of the Exchange Act.</w:t>
            </w:r>
          </w:p>
        </w:tc>
        <w:tc>
          <w:tcPr>
            <w:tcW w:w="1740" w:type="dxa"/>
            <w:vAlign w:val="bottom"/>
          </w:tcPr>
          <w:p>
            <w:pPr>
              <w:ind w:left="320"/>
              <w:spacing w:after="0"/>
              <w:rPr>
                <w:sz w:val="20"/>
                <w:szCs w:val="20"/>
                <w:color w:val="auto"/>
              </w:rPr>
            </w:pPr>
            <w:r>
              <w:rPr>
                <w:rFonts w:ascii="Arial" w:cs="Arial" w:eastAsia="Arial" w:hAnsi="Arial"/>
                <w:sz w:val="18"/>
                <w:szCs w:val="18"/>
                <w:color w:val="auto"/>
                <w:w w:val="93"/>
              </w:rPr>
              <w:t>Filed Electronically</w:t>
            </w:r>
          </w:p>
        </w:tc>
      </w:tr>
      <w:tr>
        <w:trPr>
          <w:trHeight w:val="216"/>
        </w:trPr>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32.1</w:t>
            </w:r>
          </w:p>
        </w:tc>
        <w:tc>
          <w:tcPr>
            <w:tcW w:w="1080" w:type="dxa"/>
            <w:vAlign w:val="bottom"/>
          </w:tcPr>
          <w:p>
            <w:pPr>
              <w:ind w:left="120"/>
              <w:spacing w:after="0"/>
              <w:rPr>
                <w:sz w:val="20"/>
                <w:szCs w:val="20"/>
                <w:color w:val="auto"/>
              </w:rPr>
            </w:pPr>
            <w:r>
              <w:rPr>
                <w:rFonts w:ascii="Arial" w:cs="Arial" w:eastAsia="Arial" w:hAnsi="Arial"/>
                <w:sz w:val="18"/>
                <w:szCs w:val="18"/>
                <w:color w:val="auto"/>
                <w:w w:val="89"/>
              </w:rPr>
              <w:t>Section 1350</w:t>
            </w:r>
          </w:p>
        </w:tc>
        <w:tc>
          <w:tcPr>
            <w:tcW w:w="5820" w:type="dxa"/>
            <w:vAlign w:val="bottom"/>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1740" w:type="dxa"/>
            <w:vAlign w:val="bottom"/>
          </w:tcPr>
          <w:p>
            <w:pPr>
              <w:ind w:left="320"/>
              <w:spacing w:after="0"/>
              <w:rPr>
                <w:sz w:val="20"/>
                <w:szCs w:val="20"/>
                <w:color w:val="auto"/>
              </w:rPr>
            </w:pPr>
            <w:r>
              <w:rPr>
                <w:rFonts w:ascii="Arial" w:cs="Arial" w:eastAsia="Arial" w:hAnsi="Arial"/>
                <w:sz w:val="18"/>
                <w:szCs w:val="18"/>
                <w:color w:val="auto"/>
                <w:w w:val="93"/>
              </w:rPr>
              <w:t>Filed Electronically</w:t>
            </w:r>
          </w:p>
        </w:tc>
      </w:tr>
      <w:tr>
        <w:trPr>
          <w:trHeight w:val="230"/>
        </w:trPr>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32.2</w:t>
            </w:r>
          </w:p>
        </w:tc>
        <w:tc>
          <w:tcPr>
            <w:tcW w:w="1080" w:type="dxa"/>
            <w:vAlign w:val="bottom"/>
          </w:tcPr>
          <w:p>
            <w:pPr>
              <w:ind w:left="120"/>
              <w:spacing w:after="0"/>
              <w:rPr>
                <w:sz w:val="20"/>
                <w:szCs w:val="20"/>
                <w:color w:val="auto"/>
              </w:rPr>
            </w:pPr>
            <w:r>
              <w:rPr>
                <w:rFonts w:ascii="Arial" w:cs="Arial" w:eastAsia="Arial" w:hAnsi="Arial"/>
                <w:sz w:val="18"/>
                <w:szCs w:val="18"/>
                <w:color w:val="auto"/>
                <w:w w:val="89"/>
              </w:rPr>
              <w:t>Section 1350</w:t>
            </w:r>
          </w:p>
        </w:tc>
        <w:tc>
          <w:tcPr>
            <w:tcW w:w="5820" w:type="dxa"/>
            <w:vAlign w:val="bottom"/>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1740" w:type="dxa"/>
            <w:vAlign w:val="bottom"/>
          </w:tcPr>
          <w:p>
            <w:pPr>
              <w:ind w:left="320"/>
              <w:spacing w:after="0"/>
              <w:rPr>
                <w:sz w:val="20"/>
                <w:szCs w:val="20"/>
                <w:color w:val="auto"/>
              </w:rPr>
            </w:pPr>
            <w:r>
              <w:rPr>
                <w:rFonts w:ascii="Arial" w:cs="Arial" w:eastAsia="Arial" w:hAnsi="Arial"/>
                <w:sz w:val="18"/>
                <w:szCs w:val="18"/>
                <w:color w:val="auto"/>
                <w:w w:val="93"/>
              </w:rPr>
              <w:t>Filed Electronically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1000" w:hanging="344"/>
        <w:spacing w:after="0"/>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3" w:lineRule="exact"/>
        <w:rPr>
          <w:rFonts w:ascii="Arial" w:cs="Arial" w:eastAsia="Arial" w:hAnsi="Arial"/>
          <w:sz w:val="18"/>
          <w:szCs w:val="18"/>
          <w:color w:val="auto"/>
        </w:rPr>
      </w:pPr>
    </w:p>
    <w:p>
      <w:pPr>
        <w:ind w:left="1000" w:hanging="344"/>
        <w:spacing w:after="0"/>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9" w:lineRule="exact"/>
        <w:rPr>
          <w:rFonts w:ascii="Arial" w:cs="Arial" w:eastAsia="Arial" w:hAnsi="Arial"/>
          <w:sz w:val="18"/>
          <w:szCs w:val="18"/>
          <w:color w:val="auto"/>
        </w:rPr>
      </w:pPr>
    </w:p>
    <w:p>
      <w:pPr>
        <w:ind w:left="1000" w:hanging="344"/>
        <w:spacing w:after="0"/>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for the quarter ended June 30, 2000.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rFonts w:ascii="Arial" w:cs="Arial" w:eastAsia="Arial" w:hAnsi="Arial"/>
          <w:sz w:val="18"/>
          <w:szCs w:val="18"/>
          <w:color w:val="auto"/>
        </w:rPr>
      </w:pPr>
    </w:p>
    <w:p>
      <w:pPr>
        <w:ind w:left="660" w:right="520"/>
        <w:spacing w:after="0" w:line="277" w:lineRule="auto"/>
        <w:rPr>
          <w:rFonts w:ascii="Arial" w:cs="Arial" w:eastAsia="Arial" w:hAnsi="Arial"/>
          <w:sz w:val="18"/>
          <w:szCs w:val="18"/>
          <w:color w:val="auto"/>
        </w:rPr>
      </w:pPr>
      <w:r>
        <w:rPr>
          <w:rFonts w:ascii="Arial" w:cs="Arial" w:eastAsia="Arial" w:hAnsi="Arial"/>
          <w:sz w:val="18"/>
          <w:szCs w:val="18"/>
          <w:color w:val="auto"/>
        </w:rPr>
        <w:t>On February 20, 2004, we furnished a Current Report on Form 8-K to the SEC, including the Company’s press release announcing a tentative settlement of its litigation relating to its pharmaceutical business.</w:t>
      </w:r>
    </w:p>
    <w:p>
      <w:pPr>
        <w:spacing w:after="0" w:line="170" w:lineRule="exact"/>
        <w:rPr>
          <w:rFonts w:ascii="Arial" w:cs="Arial" w:eastAsia="Arial" w:hAnsi="Arial"/>
          <w:sz w:val="18"/>
          <w:szCs w:val="18"/>
          <w:color w:val="auto"/>
        </w:rPr>
      </w:pPr>
    </w:p>
    <w:p>
      <w:pPr>
        <w:ind w:left="660" w:right="120"/>
        <w:spacing w:after="0" w:line="277" w:lineRule="auto"/>
        <w:rPr>
          <w:rFonts w:ascii="Arial" w:cs="Arial" w:eastAsia="Arial" w:hAnsi="Arial"/>
          <w:sz w:val="18"/>
          <w:szCs w:val="18"/>
          <w:color w:val="auto"/>
        </w:rPr>
      </w:pPr>
      <w:r>
        <w:rPr>
          <w:rFonts w:ascii="Arial" w:cs="Arial" w:eastAsia="Arial" w:hAnsi="Arial"/>
          <w:sz w:val="18"/>
          <w:szCs w:val="18"/>
          <w:color w:val="auto"/>
        </w:rPr>
        <w:t>On February 13, 2004, we furnished a Current Report on Form 8-K to the SEC, including the Company’s press release announcing financial results for the quarter ended December 31, 2003.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on June 10, 2004.</w:t>
      </w:r>
    </w:p>
    <w:p>
      <w:pPr>
        <w:spacing w:after="0" w:line="1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ind w:left="556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 Hawkins</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John R. Hawkins,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also been signed below by the following persons on behalf of the Company and in the capacities indicated on June 10, 2004.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John R. Hawkins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John R. Hawkins, Chief Executive Officer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33362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Executive Officer) and Director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Marvin E. Dee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Marvin E. Dee, Chief Financial Officer,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33362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President, Secretary and Treasurer (Principal Financial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Officer and Principal Accounting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Dean L. Hahn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Dean L. Hahn,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33362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Donald L. Shipp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Donald L. Shipp,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33362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Howard M. Hawkins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Howard M. Hawkins,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33362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John S. McKeon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John S. McKeon,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33362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Duane M. Jergenson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Duane M. Jergenson,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33362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G. Robert Gey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 Robert Gey,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33362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Daryl I. Skaar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Daryl I. Skaar,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33362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ON SCHEDULE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have audited the financial statements of Hawkins, Inc. (the “Company”) as of March 28, 2004 and March 30, 2003 and for the fiscal years ended</w:t>
      </w:r>
    </w:p>
    <w:p>
      <w:pPr>
        <w:spacing w:after="0" w:line="3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March 28, 2004 and March 30, 2003, the six-month transitional period ended March 31, 2002, and the fiscal year ended September 30, 2001 and have issued our report thereon dated June 4, 2004; such report is included elsewhere in this Form 10-K. Our audits also included the financial statement schedule of the Company, listed in Item 15(a)(2). This financial statement schedule is the responsibility of the Company’s management. Our responsibility is to express an</w:t>
      </w:r>
    </w:p>
    <w:p>
      <w:pPr>
        <w:sectPr>
          <w:pgSz w:w="11900" w:h="16838" w:orient="portrait"/>
          <w:cols w:equalWidth="0" w:num="1">
            <w:col w:w="11380"/>
          </w:cols>
          <w:pgMar w:left="240" w:top="125" w:right="279" w:bottom="0" w:gutter="0" w:footer="0" w:header="0"/>
        </w:sectPr>
      </w:pPr>
    </w:p>
    <w:bookmarkStart w:id="21" w:name="page22"/>
    <w:bookmarkEnd w:id="21"/>
    <w:p>
      <w:pPr>
        <w:ind w:right="180"/>
        <w:spacing w:after="0" w:line="277" w:lineRule="auto"/>
        <w:rPr>
          <w:sz w:val="20"/>
          <w:szCs w:val="20"/>
          <w:color w:val="auto"/>
        </w:rPr>
      </w:pPr>
      <w:r>
        <w:rPr>
          <w:rFonts w:ascii="Arial" w:cs="Arial" w:eastAsia="Arial" w:hAnsi="Arial"/>
          <w:sz w:val="18"/>
          <w:szCs w:val="18"/>
          <w:color w:val="auto"/>
        </w:rPr>
        <w:t>opinion based on our audits. In our opinion, this financial statement schedule, when considered in relation to the basic financial statements taken as a whole, presents fairly in all material respects the information set forth therein.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4, 2004</w:t>
      </w:r>
    </w:p>
    <w:p>
      <w:pPr>
        <w:spacing w:after="0" w:line="207" w:lineRule="exact"/>
        <w:rPr>
          <w:sz w:val="20"/>
          <w:szCs w:val="20"/>
          <w:color w:val="auto"/>
        </w:rPr>
      </w:pPr>
    </w:p>
    <w:p>
      <w:pPr>
        <w:ind w:left="102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b w:val="1"/>
          <w:bCs w:val="1"/>
          <w:color w:val="auto"/>
        </w:rPr>
        <w:t>FOR THE FISCAL YEARS ENDED MARCH 28, 2004 AND MARCH 30, 2003, THE SIX-MONTH TRANSITIONAL PERIOD ENDED MARCH 31, 2002 AND THE FISCAL YEAR ENDED SEPTEMBER 30, 2001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Balance at</w:t>
            </w: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89"/>
              </w:rPr>
              <w:t>Additions</w:t>
            </w: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rPr>
              <w:t>Charged to</w:t>
            </w:r>
          </w:p>
        </w:tc>
        <w:tc>
          <w:tcPr>
            <w:tcW w:w="8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Charged</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100" w:type="dxa"/>
            <w:vAlign w:val="bottom"/>
          </w:tcPr>
          <w:p>
            <w:pPr>
              <w:spacing w:after="0"/>
              <w:rPr>
                <w:sz w:val="10"/>
                <w:szCs w:val="10"/>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Balance at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Costs and</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To Other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of Year</w:t>
            </w:r>
          </w:p>
        </w:tc>
        <w:tc>
          <w:tcPr>
            <w:tcW w:w="120" w:type="dxa"/>
            <w:vAlign w:val="bottom"/>
          </w:tcPr>
          <w:p>
            <w:pPr>
              <w:spacing w:after="0"/>
              <w:rPr>
                <w:sz w:val="14"/>
                <w:szCs w:val="14"/>
                <w:color w:val="auto"/>
              </w:rPr>
            </w:pP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5"/>
              </w:rPr>
              <w:t>Expenses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Accounts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End of Year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Reserve deducted from asset to which it applies - allowance for</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doubtful accounts:</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YEAR ENDED: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tcPr>
          <w:p>
            <w:pPr>
              <w:ind w:left="160"/>
              <w:spacing w:after="0"/>
              <w:rPr>
                <w:sz w:val="20"/>
                <w:szCs w:val="20"/>
                <w:color w:val="auto"/>
              </w:rPr>
            </w:pPr>
            <w:r>
              <w:rPr>
                <w:rFonts w:ascii="Arial" w:cs="Arial" w:eastAsia="Arial" w:hAnsi="Arial"/>
                <w:sz w:val="18"/>
                <w:szCs w:val="18"/>
                <w:color w:val="auto"/>
              </w:rPr>
              <w:t>March 28, 2004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47,432</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47,432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4"/>
          </w:tcPr>
          <w:p>
            <w:pPr>
              <w:spacing w:after="0"/>
              <w:rPr>
                <w:sz w:val="20"/>
                <w:szCs w:val="20"/>
                <w:color w:val="auto"/>
              </w:rPr>
            </w:pPr>
            <w:r>
              <w:rPr>
                <w:rFonts w:ascii="Arial" w:cs="Arial" w:eastAsia="Arial" w:hAnsi="Arial"/>
                <w:sz w:val="18"/>
                <w:szCs w:val="18"/>
                <w:color w:val="auto"/>
              </w:rPr>
              <w:t>YEAR ENDED: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March 30, 2003</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SIX MONTHS ENDED: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tcPr>
          <w:p>
            <w:pPr>
              <w:ind w:left="160"/>
              <w:spacing w:after="0"/>
              <w:rPr>
                <w:sz w:val="20"/>
                <w:szCs w:val="20"/>
                <w:color w:val="auto"/>
              </w:rPr>
            </w:pPr>
            <w:r>
              <w:rPr>
                <w:rFonts w:ascii="Arial" w:cs="Arial" w:eastAsia="Arial" w:hAnsi="Arial"/>
                <w:sz w:val="18"/>
                <w:szCs w:val="18"/>
                <w:color w:val="auto"/>
              </w:rPr>
              <w:t>March 31, 2002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335,000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30,868</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65,868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4"/>
          </w:tcPr>
          <w:p>
            <w:pPr>
              <w:spacing w:after="0"/>
              <w:rPr>
                <w:sz w:val="20"/>
                <w:szCs w:val="20"/>
                <w:color w:val="auto"/>
              </w:rPr>
            </w:pPr>
            <w:r>
              <w:rPr>
                <w:rFonts w:ascii="Arial" w:cs="Arial" w:eastAsia="Arial" w:hAnsi="Arial"/>
                <w:sz w:val="18"/>
                <w:szCs w:val="18"/>
                <w:color w:val="auto"/>
              </w:rPr>
              <w:t>YEAR ENDED: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September 30, 2001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70,803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112,803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477"/>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gridSpan w:val="4"/>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2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20" w:type="dxa"/>
            <w:vAlign w:val="bottom"/>
            <w:gridSpan w:val="4"/>
          </w:tcPr>
          <w:p>
            <w:pPr>
              <w:ind w:left="60"/>
              <w:spacing w:after="0"/>
              <w:rPr>
                <w:sz w:val="20"/>
                <w:szCs w:val="20"/>
                <w:color w:val="auto"/>
              </w:rPr>
            </w:pPr>
            <w:r>
              <w:rPr>
                <w:rFonts w:ascii="Arial" w:cs="Arial" w:eastAsia="Arial" w:hAnsi="Arial"/>
                <w:sz w:val="18"/>
                <w:szCs w:val="18"/>
                <w:color w:val="auto"/>
              </w:rPr>
              <w:t>Exhibit Index</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43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5"/>
          </w:tcPr>
          <w:p>
            <w:pPr>
              <w:ind w:left="580"/>
              <w:spacing w:after="0"/>
              <w:rPr>
                <w:sz w:val="20"/>
                <w:szCs w:val="20"/>
                <w:color w:val="auto"/>
              </w:rPr>
            </w:pPr>
            <w:r>
              <w:rPr>
                <w:rFonts w:ascii="Arial" w:cs="Arial" w:eastAsia="Arial" w:hAnsi="Arial"/>
                <w:sz w:val="14"/>
                <w:szCs w:val="14"/>
                <w:b w:val="1"/>
                <w:bCs w:val="1"/>
                <w:color w:val="auto"/>
              </w:rPr>
              <w:t>Method of Filing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540" w:type="dxa"/>
            <w:vAlign w:val="bottom"/>
            <w:tcBorders>
              <w:top w:val="single" w:sz="8" w:color="auto"/>
            </w:tcBorders>
            <w:gridSpan w:val="10"/>
          </w:tcPr>
          <w:p>
            <w:pPr>
              <w:spacing w:after="0" w:line="195" w:lineRule="exact"/>
              <w:rPr>
                <w:sz w:val="20"/>
                <w:szCs w:val="20"/>
                <w:color w:val="auto"/>
              </w:rPr>
            </w:pPr>
            <w:r>
              <w:rPr>
                <w:rFonts w:ascii="Arial" w:cs="Arial" w:eastAsia="Arial" w:hAnsi="Arial"/>
                <w:sz w:val="18"/>
                <w:szCs w:val="18"/>
                <w:color w:val="auto"/>
                <w:w w:val="93"/>
              </w:rPr>
              <w:t>Amended and Second Restated Articles of Incorporation as amended through February 27, 2001. (1)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tcBorders>
              <w:top w:val="single" w:sz="8" w:color="auto"/>
            </w:tcBorders>
            <w:gridSpan w:val="7"/>
          </w:tcPr>
          <w:p>
            <w:pPr>
              <w:spacing w:after="0" w:line="195" w:lineRule="exact"/>
              <w:rPr>
                <w:sz w:val="20"/>
                <w:szCs w:val="20"/>
                <w:color w:val="auto"/>
              </w:rPr>
            </w:pPr>
            <w:r>
              <w:rPr>
                <w:rFonts w:ascii="Arial" w:cs="Arial" w:eastAsia="Arial" w:hAnsi="Arial"/>
                <w:sz w:val="18"/>
                <w:szCs w:val="18"/>
                <w:color w:val="auto"/>
              </w:rPr>
              <w:t>Incorporated by Reference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900" w:type="dxa"/>
            <w:vAlign w:val="bottom"/>
            <w:gridSpan w:val="10"/>
          </w:tcPr>
          <w:p>
            <w:pPr>
              <w:ind w:left="80"/>
              <w:spacing w:after="0"/>
              <w:rPr>
                <w:sz w:val="20"/>
                <w:szCs w:val="20"/>
                <w:color w:val="auto"/>
              </w:rPr>
            </w:pPr>
            <w:r>
              <w:rPr>
                <w:rFonts w:ascii="Arial" w:cs="Arial" w:eastAsia="Arial" w:hAnsi="Arial"/>
                <w:sz w:val="18"/>
                <w:szCs w:val="18"/>
                <w:color w:val="auto"/>
                <w:w w:val="95"/>
              </w:rPr>
              <w:t>Second Amended and Superseding By-Laws as amended through February 15, 1995. (2)</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8"/>
          </w:tcPr>
          <w:p>
            <w:pPr>
              <w:ind w:left="180"/>
              <w:spacing w:after="0"/>
              <w:rPr>
                <w:sz w:val="20"/>
                <w:szCs w:val="20"/>
                <w:color w:val="auto"/>
              </w:rPr>
            </w:pPr>
            <w:r>
              <w:rPr>
                <w:rFonts w:ascii="Arial" w:cs="Arial" w:eastAsia="Arial" w:hAnsi="Arial"/>
                <w:sz w:val="18"/>
                <w:szCs w:val="18"/>
                <w:color w:val="auto"/>
              </w:rPr>
              <w:t>Incorporated by Reference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10.1</w:t>
            </w:r>
          </w:p>
        </w:tc>
        <w:tc>
          <w:tcPr>
            <w:tcW w:w="7700" w:type="dxa"/>
            <w:vAlign w:val="bottom"/>
            <w:gridSpan w:val="12"/>
          </w:tcPr>
          <w:p>
            <w:pPr>
              <w:ind w:left="80"/>
              <w:spacing w:after="0"/>
              <w:rPr>
                <w:sz w:val="20"/>
                <w:szCs w:val="20"/>
                <w:color w:val="auto"/>
              </w:rPr>
            </w:pPr>
            <w:r>
              <w:rPr>
                <w:rFonts w:ascii="Arial" w:cs="Arial" w:eastAsia="Arial" w:hAnsi="Arial"/>
                <w:sz w:val="18"/>
                <w:szCs w:val="18"/>
                <w:color w:val="auto"/>
                <w:w w:val="92"/>
              </w:rPr>
              <w:t>Asset purchase agreement dated May 9, 2000 among St. Mary’s Chemicals, Inc., its shareholders, and</w:t>
            </w:r>
          </w:p>
        </w:tc>
        <w:tc>
          <w:tcPr>
            <w:tcW w:w="2640" w:type="dxa"/>
            <w:vAlign w:val="bottom"/>
            <w:gridSpan w:val="8"/>
          </w:tcPr>
          <w:p>
            <w:pPr>
              <w:ind w:left="180"/>
              <w:spacing w:after="0"/>
              <w:rPr>
                <w:sz w:val="20"/>
                <w:szCs w:val="20"/>
                <w:color w:val="auto"/>
              </w:rPr>
            </w:pPr>
            <w:r>
              <w:rPr>
                <w:rFonts w:ascii="Arial" w:cs="Arial" w:eastAsia="Arial" w:hAnsi="Arial"/>
                <w:sz w:val="18"/>
                <w:szCs w:val="18"/>
                <w:color w:val="auto"/>
              </w:rPr>
              <w:t>Incorporated by Reference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gridSpan w:val="2"/>
          </w:tcPr>
          <w:p>
            <w:pPr>
              <w:ind w:left="80"/>
              <w:spacing w:after="0"/>
              <w:rPr>
                <w:sz w:val="20"/>
                <w:szCs w:val="20"/>
                <w:color w:val="auto"/>
              </w:rPr>
            </w:pPr>
            <w:r>
              <w:rPr>
                <w:rFonts w:ascii="Arial" w:cs="Arial" w:eastAsia="Arial" w:hAnsi="Arial"/>
                <w:sz w:val="18"/>
                <w:szCs w:val="18"/>
                <w:color w:val="auto"/>
              </w:rPr>
              <w:t>the Company. (3)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23.1</w:t>
            </w:r>
          </w:p>
        </w:tc>
        <w:tc>
          <w:tcPr>
            <w:tcW w:w="4460" w:type="dxa"/>
            <w:vAlign w:val="bottom"/>
            <w:gridSpan w:val="4"/>
          </w:tcPr>
          <w:p>
            <w:pPr>
              <w:ind w:left="80"/>
              <w:spacing w:after="0"/>
              <w:rPr>
                <w:sz w:val="20"/>
                <w:szCs w:val="20"/>
                <w:color w:val="auto"/>
              </w:rPr>
            </w:pPr>
            <w:r>
              <w:rPr>
                <w:rFonts w:ascii="Arial" w:cs="Arial" w:eastAsia="Arial" w:hAnsi="Arial"/>
                <w:sz w:val="18"/>
                <w:szCs w:val="18"/>
                <w:color w:val="auto"/>
                <w:w w:val="91"/>
              </w:rPr>
              <w:t>Consent of Independent Registered Public Accounting Firm.</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8"/>
          </w:tcPr>
          <w:p>
            <w:pPr>
              <w:ind w:left="180"/>
              <w:spacing w:after="0"/>
              <w:rPr>
                <w:sz w:val="20"/>
                <w:szCs w:val="20"/>
                <w:color w:val="auto"/>
              </w:rPr>
            </w:pPr>
            <w:r>
              <w:rPr>
                <w:rFonts w:ascii="Arial" w:cs="Arial" w:eastAsia="Arial" w:hAnsi="Arial"/>
                <w:sz w:val="18"/>
                <w:szCs w:val="18"/>
                <w:color w:val="auto"/>
              </w:rPr>
              <w:t>Filed Electronically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31.1</w:t>
            </w:r>
          </w:p>
        </w:tc>
        <w:tc>
          <w:tcPr>
            <w:tcW w:w="6900" w:type="dxa"/>
            <w:vAlign w:val="bottom"/>
            <w:gridSpan w:val="10"/>
          </w:tcPr>
          <w:p>
            <w:pPr>
              <w:ind w:left="80"/>
              <w:spacing w:after="0"/>
              <w:rPr>
                <w:sz w:val="20"/>
                <w:szCs w:val="20"/>
                <w:color w:val="auto"/>
              </w:rPr>
            </w:pPr>
            <w:r>
              <w:rPr>
                <w:rFonts w:ascii="Arial" w:cs="Arial" w:eastAsia="Arial" w:hAnsi="Arial"/>
                <w:sz w:val="18"/>
                <w:szCs w:val="18"/>
                <w:color w:val="auto"/>
                <w:w w:val="97"/>
              </w:rPr>
              <w:t>Certification by Chief Executive Officer pursuant to Rule 13a-14(a) of the Exchange Act.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8"/>
          </w:tcPr>
          <w:p>
            <w:pPr>
              <w:ind w:left="180"/>
              <w:spacing w:after="0"/>
              <w:rPr>
                <w:sz w:val="20"/>
                <w:szCs w:val="20"/>
                <w:color w:val="auto"/>
              </w:rPr>
            </w:pPr>
            <w:r>
              <w:rPr>
                <w:rFonts w:ascii="Arial" w:cs="Arial" w:eastAsia="Arial" w:hAnsi="Arial"/>
                <w:sz w:val="18"/>
                <w:szCs w:val="18"/>
                <w:color w:val="auto"/>
              </w:rPr>
              <w:t>Filed Electronically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31.2</w:t>
            </w:r>
          </w:p>
        </w:tc>
        <w:tc>
          <w:tcPr>
            <w:tcW w:w="6900" w:type="dxa"/>
            <w:vAlign w:val="bottom"/>
            <w:gridSpan w:val="10"/>
          </w:tcPr>
          <w:p>
            <w:pPr>
              <w:ind w:left="80"/>
              <w:spacing w:after="0"/>
              <w:rPr>
                <w:sz w:val="20"/>
                <w:szCs w:val="20"/>
                <w:color w:val="auto"/>
              </w:rPr>
            </w:pPr>
            <w:r>
              <w:rPr>
                <w:rFonts w:ascii="Arial" w:cs="Arial" w:eastAsia="Arial" w:hAnsi="Arial"/>
                <w:sz w:val="18"/>
                <w:szCs w:val="18"/>
                <w:color w:val="auto"/>
                <w:w w:val="98"/>
              </w:rPr>
              <w:t>Certification by Chief Financial Officer pursuant to Rule 13a-14(a) of the Exchange Act.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8"/>
          </w:tcPr>
          <w:p>
            <w:pPr>
              <w:ind w:left="180"/>
              <w:spacing w:after="0"/>
              <w:rPr>
                <w:sz w:val="20"/>
                <w:szCs w:val="20"/>
                <w:color w:val="auto"/>
              </w:rPr>
            </w:pPr>
            <w:r>
              <w:rPr>
                <w:rFonts w:ascii="Arial" w:cs="Arial" w:eastAsia="Arial" w:hAnsi="Arial"/>
                <w:sz w:val="18"/>
                <w:szCs w:val="18"/>
                <w:color w:val="auto"/>
              </w:rPr>
              <w:t>Filed Electronically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32.1</w:t>
            </w:r>
          </w:p>
        </w:tc>
        <w:tc>
          <w:tcPr>
            <w:tcW w:w="4080" w:type="dxa"/>
            <w:vAlign w:val="bottom"/>
            <w:gridSpan w:val="2"/>
          </w:tcPr>
          <w:p>
            <w:pPr>
              <w:ind w:left="80"/>
              <w:spacing w:after="0"/>
              <w:rPr>
                <w:sz w:val="20"/>
                <w:szCs w:val="20"/>
                <w:color w:val="auto"/>
              </w:rPr>
            </w:pPr>
            <w:r>
              <w:rPr>
                <w:rFonts w:ascii="Arial" w:cs="Arial" w:eastAsia="Arial" w:hAnsi="Arial"/>
                <w:sz w:val="18"/>
                <w:szCs w:val="18"/>
                <w:color w:val="auto"/>
                <w:w w:val="94"/>
              </w:rPr>
              <w:t>Section 1350 Certification by Chief Executive Officer.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8"/>
          </w:tcPr>
          <w:p>
            <w:pPr>
              <w:ind w:left="180"/>
              <w:spacing w:after="0"/>
              <w:rPr>
                <w:sz w:val="20"/>
                <w:szCs w:val="20"/>
                <w:color w:val="auto"/>
              </w:rPr>
            </w:pPr>
            <w:r>
              <w:rPr>
                <w:rFonts w:ascii="Arial" w:cs="Arial" w:eastAsia="Arial" w:hAnsi="Arial"/>
                <w:sz w:val="18"/>
                <w:szCs w:val="18"/>
                <w:color w:val="auto"/>
              </w:rPr>
              <w:t>Filed Electronically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32.2</w:t>
            </w:r>
          </w:p>
        </w:tc>
        <w:tc>
          <w:tcPr>
            <w:tcW w:w="4080" w:type="dxa"/>
            <w:vAlign w:val="bottom"/>
            <w:gridSpan w:val="2"/>
          </w:tcPr>
          <w:p>
            <w:pPr>
              <w:ind w:left="80"/>
              <w:spacing w:after="0"/>
              <w:rPr>
                <w:sz w:val="20"/>
                <w:szCs w:val="20"/>
                <w:color w:val="auto"/>
              </w:rPr>
            </w:pPr>
            <w:r>
              <w:rPr>
                <w:rFonts w:ascii="Arial" w:cs="Arial" w:eastAsia="Arial" w:hAnsi="Arial"/>
                <w:sz w:val="18"/>
                <w:szCs w:val="18"/>
                <w:color w:val="auto"/>
                <w:w w:val="95"/>
              </w:rPr>
              <w:t>Section 1350 Certification by Chief Financial Officer.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8"/>
          </w:tcPr>
          <w:p>
            <w:pPr>
              <w:ind w:left="180"/>
              <w:spacing w:after="0"/>
              <w:rPr>
                <w:sz w:val="20"/>
                <w:szCs w:val="20"/>
                <w:color w:val="auto"/>
              </w:rPr>
            </w:pPr>
            <w:r>
              <w:rPr>
                <w:rFonts w:ascii="Arial" w:cs="Arial" w:eastAsia="Arial" w:hAnsi="Arial"/>
                <w:sz w:val="18"/>
                <w:szCs w:val="18"/>
                <w:color w:val="auto"/>
              </w:rPr>
              <w:t>Filed Electronically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-1950085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-1950085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for the quarter ended June 30, 2000.</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consent to the incorporation by reference in Registration Statement No. 33-41323 of Hawkins, Inc. (the Company) on Form S-8 of our reports dated June 4, 2004 appearing in this Annual Report on Form 10-K for the Company for the year ended March 28, 2004.</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10,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225" w:lineRule="exact"/>
        <w:rPr>
          <w:sz w:val="20"/>
          <w:szCs w:val="20"/>
          <w:color w:val="auto"/>
        </w:rPr>
      </w:pPr>
    </w:p>
    <w:p>
      <w:pPr>
        <w:ind w:left="1000" w:hanging="344"/>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225" w:lineRule="exact"/>
        <w:rPr>
          <w:rFonts w:ascii="Arial" w:cs="Arial" w:eastAsia="Arial" w:hAnsi="Arial"/>
          <w:sz w:val="18"/>
          <w:szCs w:val="18"/>
          <w:color w:val="auto"/>
        </w:rPr>
      </w:pPr>
    </w:p>
    <w:p>
      <w:pPr>
        <w:jc w:val="both"/>
        <w:ind w:right="180" w:firstLine="656"/>
        <w:spacing w:after="0" w:line="342" w:lineRule="auto"/>
        <w:tabs>
          <w:tab w:leader="none" w:pos="9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80" w:firstLine="656"/>
        <w:spacing w:after="0" w:line="308" w:lineRule="auto"/>
        <w:tabs>
          <w:tab w:leader="none" w:pos="986"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40" w:firstLine="656"/>
        <w:spacing w:after="0" w:line="277" w:lineRule="auto"/>
        <w:tabs>
          <w:tab w:leader="none" w:pos="98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70" w:lineRule="exact"/>
        <w:rPr>
          <w:rFonts w:ascii="Arial" w:cs="Arial" w:eastAsia="Arial" w:hAnsi="Arial"/>
          <w:sz w:val="18"/>
          <w:szCs w:val="18"/>
          <w:color w:val="auto"/>
        </w:rPr>
      </w:pPr>
    </w:p>
    <w:p>
      <w:pPr>
        <w:ind w:left="660" w:right="120" w:firstLine="320"/>
        <w:spacing w:after="0" w:line="264" w:lineRule="auto"/>
        <w:tabs>
          <w:tab w:leader="none" w:pos="131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440" w:firstLine="320"/>
        <w:spacing w:after="0" w:line="342" w:lineRule="auto"/>
        <w:tabs>
          <w:tab w:leader="none" w:pos="131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80" w:firstLine="320"/>
        <w:spacing w:after="0" w:line="286" w:lineRule="auto"/>
        <w:tabs>
          <w:tab w:leader="none" w:pos="1313"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5" w:lineRule="exact"/>
        <w:rPr>
          <w:rFonts w:ascii="Arial" w:cs="Arial" w:eastAsia="Arial" w:hAnsi="Arial"/>
          <w:sz w:val="17"/>
          <w:szCs w:val="17"/>
          <w:color w:val="auto"/>
        </w:rPr>
      </w:pPr>
    </w:p>
    <w:p>
      <w:pPr>
        <w:ind w:right="100" w:firstLine="656"/>
        <w:spacing w:after="0" w:line="308" w:lineRule="auto"/>
        <w:tabs>
          <w:tab w:leader="none" w:pos="98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80" w:firstLine="320"/>
        <w:spacing w:after="0" w:line="342" w:lineRule="auto"/>
        <w:tabs>
          <w:tab w:leader="none" w:pos="1313"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60" w:right="360" w:firstLine="320"/>
        <w:spacing w:after="0" w:line="277" w:lineRule="auto"/>
        <w:tabs>
          <w:tab w:leader="none" w:pos="131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2004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R. Hawkins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225" w:lineRule="exact"/>
        <w:rPr>
          <w:sz w:val="20"/>
          <w:szCs w:val="20"/>
          <w:color w:val="auto"/>
        </w:rPr>
      </w:pPr>
    </w:p>
    <w:p>
      <w:pPr>
        <w:ind w:left="1000" w:hanging="344"/>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225" w:lineRule="exact"/>
        <w:rPr>
          <w:rFonts w:ascii="Arial" w:cs="Arial" w:eastAsia="Arial" w:hAnsi="Arial"/>
          <w:sz w:val="18"/>
          <w:szCs w:val="18"/>
          <w:color w:val="auto"/>
        </w:rPr>
      </w:pPr>
    </w:p>
    <w:p>
      <w:pPr>
        <w:jc w:val="both"/>
        <w:ind w:right="180" w:firstLine="656"/>
        <w:spacing w:after="0" w:line="342" w:lineRule="auto"/>
        <w:tabs>
          <w:tab w:leader="none" w:pos="986"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80" w:firstLine="656"/>
        <w:spacing w:after="0" w:line="308" w:lineRule="auto"/>
        <w:tabs>
          <w:tab w:leader="none" w:pos="986"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40" w:firstLine="656"/>
        <w:spacing w:after="0" w:line="277" w:lineRule="auto"/>
        <w:tabs>
          <w:tab w:leader="none" w:pos="9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70" w:lineRule="exact"/>
        <w:rPr>
          <w:rFonts w:ascii="Arial" w:cs="Arial" w:eastAsia="Arial" w:hAnsi="Arial"/>
          <w:sz w:val="18"/>
          <w:szCs w:val="18"/>
          <w:color w:val="auto"/>
        </w:rPr>
      </w:pPr>
    </w:p>
    <w:p>
      <w:pPr>
        <w:ind w:left="660" w:right="120" w:firstLine="320"/>
        <w:spacing w:after="0" w:line="264" w:lineRule="auto"/>
        <w:tabs>
          <w:tab w:leader="none" w:pos="131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440" w:firstLine="320"/>
        <w:spacing w:after="0" w:line="342" w:lineRule="auto"/>
        <w:tabs>
          <w:tab w:leader="none" w:pos="131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80" w:firstLine="320"/>
        <w:spacing w:after="0" w:line="286" w:lineRule="auto"/>
        <w:tabs>
          <w:tab w:leader="none" w:pos="1313"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5" w:lineRule="exact"/>
        <w:rPr>
          <w:rFonts w:ascii="Arial" w:cs="Arial" w:eastAsia="Arial" w:hAnsi="Arial"/>
          <w:sz w:val="17"/>
          <w:szCs w:val="17"/>
          <w:color w:val="auto"/>
        </w:rPr>
      </w:pPr>
    </w:p>
    <w:p>
      <w:pPr>
        <w:ind w:right="100" w:firstLine="656"/>
        <w:spacing w:after="0" w:line="308" w:lineRule="auto"/>
        <w:tabs>
          <w:tab w:leader="none" w:pos="98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80" w:firstLine="320"/>
        <w:spacing w:after="0" w:line="342" w:lineRule="auto"/>
        <w:tabs>
          <w:tab w:leader="none" w:pos="1313"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60" w:right="360" w:firstLine="320"/>
        <w:spacing w:after="0" w:line="277" w:lineRule="auto"/>
        <w:tabs>
          <w:tab w:leader="none" w:pos="131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2004</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Marvin E. Dee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-130810</wp:posOffset>
            </wp:positionV>
            <wp:extent cx="29502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28, 2004 as filed with the Securities and Exchange Commission on the date hereof (the Report), I, John R. Hawkins, Chief Executive Officer of the Company, certify, pursuant to 18 U.S.C. § 1350, as adopted pursuant to § 906 of the Sarbanes-Oxley Act of 2002, that:</w:t>
      </w:r>
    </w:p>
    <w:p>
      <w:pPr>
        <w:spacing w:after="0" w:line="181" w:lineRule="exact"/>
        <w:rPr>
          <w:sz w:val="20"/>
          <w:szCs w:val="20"/>
          <w:color w:val="auto"/>
        </w:rPr>
      </w:pPr>
    </w:p>
    <w:p>
      <w:pPr>
        <w:ind w:left="920" w:hanging="264"/>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28, 2004 as filed with the Securities and Exchange Commission on the date hereof (the Report), I, Marvin E. Dee, Chief Financial Officer of the Company, certify, pursuant to 18 U.S.C. § 1350, as adopted pursuant to § 906 of the Sarbanes-Oxley Act of 2002, that:</w:t>
      </w:r>
    </w:p>
    <w:p>
      <w:pPr>
        <w:spacing w:after="0" w:line="181" w:lineRule="exact"/>
        <w:rPr>
          <w:sz w:val="20"/>
          <w:szCs w:val="20"/>
          <w:color w:val="auto"/>
        </w:rPr>
      </w:pPr>
    </w:p>
    <w:p>
      <w:pPr>
        <w:ind w:left="920" w:hanging="264"/>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236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Letter"/>
      <w:start w:val="1"/>
    </w:lvl>
  </w:abstractNum>
  <w:abstractNum w:abstractNumId="1">
    <w:nsid w:val="1BEFD79F"/>
    <w:multiLevelType w:val="hybridMultilevel"/>
    <w:lvl w:ilvl="0">
      <w:lvlJc w:val="left"/>
      <w:lvlText w:val="(%1)"/>
      <w:numFmt w:val="lowerLetter"/>
      <w:start w:val="2"/>
    </w:lvl>
  </w:abstractNum>
  <w:abstractNum w:abstractNumId="2">
    <w:nsid w:val="41A7C4C9"/>
    <w:multiLevelType w:val="hybridMultilevel"/>
    <w:lvl w:ilvl="0">
      <w:lvlJc w:val="left"/>
      <w:lvlText w:val="(%1)"/>
      <w:numFmt w:val="lowerRoman"/>
      <w:start w:val="1"/>
    </w:lvl>
    <w:lvl w:ilvl="1">
      <w:lvlJc w:val="left"/>
      <w:lvlText w:val="(%2)"/>
      <w:numFmt w:val="upperLetter"/>
      <w:start w:val="1"/>
    </w:lvl>
  </w:abstractNum>
  <w:abstractNum w:abstractNumId="3">
    <w:nsid w:val="6B68079A"/>
    <w:multiLevelType w:val="hybridMultilevel"/>
    <w:lvl w:ilvl="0">
      <w:lvlJc w:val="left"/>
      <w:lvlText w:val="(%1)"/>
      <w:numFmt w:val="lowerRoman"/>
      <w:start w:val="2"/>
    </w:lvl>
  </w:abstractNum>
  <w:abstractNum w:abstractNumId="4">
    <w:nsid w:val="4E6AFB66"/>
    <w:multiLevelType w:val="hybridMultilevel"/>
    <w:lvl w:ilvl="0">
      <w:lvlJc w:val="left"/>
      <w:lvlText w:val="(%1)"/>
      <w:numFmt w:val="lowerRoman"/>
      <w:start w:val="4"/>
    </w:lvl>
  </w:abstractNum>
  <w:abstractNum w:abstractNumId="5">
    <w:nsid w:val="25E45D32"/>
    <w:multiLevelType w:val="hybridMultilevel"/>
    <w:lvl w:ilvl="0">
      <w:lvlJc w:val="left"/>
      <w:lvlText w:val="(%1)"/>
      <w:numFmt w:val="lowerRoman"/>
      <w:start w:val="6"/>
    </w:lvl>
  </w:abstractNum>
  <w:abstractNum w:abstractNumId="6">
    <w:nsid w:val="519B500D"/>
    <w:multiLevelType w:val="hybridMultilevel"/>
    <w:lvl w:ilvl="0">
      <w:lvlJc w:val="left"/>
      <w:lvlText w:val="%1"/>
      <w:numFmt w:val="lowerLetter"/>
      <w:start w:val="1"/>
    </w:lvl>
    <w:lvl w:ilvl="1">
      <w:lvlJc w:val="left"/>
      <w:lvlText w:val="(%2)"/>
      <w:numFmt w:val="lowerRoman"/>
      <w:start w:val="7"/>
    </w:lvl>
  </w:abstractNum>
  <w:abstractNum w:abstractNumId="7">
    <w:nsid w:val="431BD7B7"/>
    <w:multiLevelType w:val="hybridMultilevel"/>
    <w:lvl w:ilvl="0">
      <w:lvlJc w:val="left"/>
      <w:lvlText w:val="(%1)"/>
      <w:numFmt w:val="lowerLetter"/>
      <w:start w:val="4"/>
    </w:lvl>
    <w:lvl w:ilvl="1">
      <w:lvlJc w:val="left"/>
      <w:lvlText w:val="%2"/>
      <w:numFmt w:val="lowerRoman"/>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2"/>
    </w:lvl>
  </w:abstractNum>
  <w:abstractNum w:abstractNumId="15">
    <w:nsid w:val="721DA317"/>
    <w:multiLevelType w:val="hybridMultilevel"/>
    <w:lvl w:ilvl="0">
      <w:lvlJc w:val="left"/>
      <w:lvlText w:val="%1."/>
      <w:numFmt w:val="decimal"/>
      <w:start w:val="3"/>
    </w:lvl>
  </w:abstractNum>
  <w:abstractNum w:abstractNumId="16">
    <w:nsid w:val="2443A858"/>
    <w:multiLevelType w:val="hybridMultilevel"/>
    <w:lvl w:ilvl="0">
      <w:lvlJc w:val="left"/>
      <w:lvlText w:val="%1."/>
      <w:numFmt w:val="decimal"/>
      <w:start w:val="5"/>
    </w:lvl>
  </w:abstractNum>
  <w:abstractNum w:abstractNumId="17">
    <w:nsid w:val="2D1D5AE9"/>
    <w:multiLevelType w:val="hybridMultilevel"/>
    <w:lvl w:ilvl="0">
      <w:lvlJc w:val="left"/>
      <w:lvlText w:val="%1."/>
      <w:numFmt w:val="decimal"/>
      <w:start w:val="8"/>
    </w:lvl>
  </w:abstractNum>
  <w:abstractNum w:abstractNumId="18">
    <w:nsid w:val="6763845E"/>
    <w:multiLevelType w:val="hybridMultilevel"/>
    <w:lvl w:ilvl="0">
      <w:lvlJc w:val="left"/>
      <w:lvlText w:val="%1."/>
      <w:numFmt w:val="decimal"/>
      <w:start w:val="9"/>
    </w:lvl>
  </w:abstractNum>
  <w:abstractNum w:abstractNumId="19">
    <w:nsid w:val="75A2A8D4"/>
    <w:multiLevelType w:val="hybridMultilevel"/>
    <w:lvl w:ilvl="0">
      <w:lvlJc w:val="left"/>
      <w:lvlText w:val="%1."/>
      <w:numFmt w:val="decimal"/>
      <w:start w:val="10"/>
    </w:lvl>
  </w:abstractNum>
  <w:abstractNum w:abstractNumId="20">
    <w:nsid w:val="8EDBDAB"/>
    <w:multiLevelType w:val="hybridMultilevel"/>
    <w:lvl w:ilvl="0">
      <w:lvlJc w:val="left"/>
      <w:lvlText w:val="%1."/>
      <w:numFmt w:val="decimal"/>
      <w:start w:val="11"/>
    </w:lvl>
  </w:abstractNum>
  <w:abstractNum w:abstractNumId="21">
    <w:nsid w:val="79838CB2"/>
    <w:multiLevelType w:val="hybridMultilevel"/>
    <w:lvl w:ilvl="0">
      <w:lvlJc w:val="left"/>
      <w:lvlText w:val="%1"/>
      <w:numFmt w:val="lowerLetter"/>
      <w:start w:val="1"/>
    </w:lvl>
    <w:lvl w:ilvl="1">
      <w:lvlJc w:val="left"/>
      <w:lvlText w:val="(%2)"/>
      <w:numFmt w:val="decimal"/>
      <w:start w:val="1"/>
    </w:lvl>
  </w:abstractNum>
  <w:abstractNum w:abstractNumId="22">
    <w:nsid w:val="4353D0CD"/>
    <w:multiLevelType w:val="hybridMultilevel"/>
    <w:lvl w:ilvl="0">
      <w:lvlJc w:val="left"/>
      <w:lvlText w:val="(%1)"/>
      <w:numFmt w:val="lowerLetter"/>
      <w:start w:val="2"/>
    </w:lvl>
    <w:lvl w:ilvl="1">
      <w:lvlJc w:val="left"/>
      <w:lvlText w:val="%2"/>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2019-12-13T01:50:58Z</dcterms:created>
  <dcterms:modified xsi:type="dcterms:W3CDTF">2019-12-13T01:50:58Z</dcterms:modified>
</cp:coreProperties>
</file>