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4052023_090439.xml.htm"/>
      <w:bookmarkStart w:id="1" w:name="ksform404052023_0904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Oldenkamp Jeffrey P.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ROSEVILLE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EXECUTIVE VP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831"/>
        <w:gridCol w:w="443"/>
        <w:gridCol w:w="748"/>
        <w:gridCol w:w="1396"/>
        <w:gridCol w:w="983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8,190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44.13</w:t>
            </w:r>
            <w:r>
              <w:rPr/>
              <w:t xml:space="preserve"> </w:t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71,043.269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1,158.7532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ESOP Trustee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68.861 shares acquired June 2022-March 2023 pursuant to the Issuer's dividend reinvestment plan and 649 shares acquired June-December 2022 pursuant to the Issuer's employee stock purchase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Joshua L. Colburn,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04/05/2023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26669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553</Words>
  <CharactersWithSpaces>3526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