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36"/>
        </w:rPr>
      </w:pPr>
      <w:r>
        <w:rPr>
          <w:rFonts w:ascii="Calibri;sans-serif" w:hAnsi="Calibr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Calibri;sans-serif" w:hAnsi="Calibri;sans-serif"/>
          <w:b/>
          <w:color w:val="000000"/>
          <w:sz w:val="28"/>
        </w:rPr>
      </w:pPr>
      <w:r>
        <w:rPr>
          <w:rFonts w:ascii="Calibri;sans-serif" w:hAnsi="Calibri;sans-serif"/>
          <w:b/>
          <w:color w:val="000000"/>
          <w:sz w:val="28"/>
        </w:rPr>
        <w:t>CURRENT REPORT</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Pursuant to Section 13 or 15(d) of the</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Securities Exchange Act of 1934</w:t>
      </w:r>
    </w:p>
    <w:p>
      <w:pPr>
        <w:pStyle w:val="TextBody"/>
        <w:bidi w:val="0"/>
        <w:spacing w:lineRule="auto" w:line="288" w:before="180" w:after="283"/>
        <w:jc w:val="center"/>
        <w:rPr>
          <w:rFonts w:ascii="Calibri;sans-serif" w:hAnsi="Calibri;sans-serif"/>
          <w:b/>
          <w:color w:val="000000"/>
          <w:sz w:val="24"/>
        </w:rPr>
      </w:pPr>
      <w:r>
        <w:rPr>
          <w:rFonts w:ascii="Calibri;sans-serif" w:hAnsi="Calibri;sans-serif"/>
          <w:b/>
          <w:color w:val="000000"/>
          <w:sz w:val="24"/>
        </w:rPr>
        <w:t xml:space="preserve">Date of Report (Date of earliest event reported) July 31, 2024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Calibri;sans-serif" w:hAnsi="Calibri;sans-serif"/>
          <w:b/>
          <w:color w:val="000000"/>
          <w:sz w:val="48"/>
        </w:rPr>
      </w:pPr>
      <w:r>
        <w:rPr>
          <w:rFonts w:ascii="Calibri;sans-serif" w:hAnsi="Calibri;sans-serif"/>
          <w:b/>
          <w:color w:val="000000"/>
          <w:sz w:val="48"/>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063" w:type="dxa"/>
        <w:jc w:val="left"/>
        <w:tblInd w:w="0" w:type="dxa"/>
        <w:tblLayout w:type="fixed"/>
        <w:tblCellMar>
          <w:top w:w="28" w:type="dxa"/>
          <w:left w:w="28" w:type="dxa"/>
          <w:bottom w:w="28" w:type="dxa"/>
          <w:right w:w="28" w:type="dxa"/>
        </w:tblCellMar>
      </w:tblPr>
      <w:tblGrid>
        <w:gridCol w:w="1135"/>
        <w:gridCol w:w="994"/>
        <w:gridCol w:w="1006"/>
        <w:gridCol w:w="109"/>
        <w:gridCol w:w="109"/>
        <w:gridCol w:w="109"/>
        <w:gridCol w:w="637"/>
        <w:gridCol w:w="637"/>
        <w:gridCol w:w="645"/>
        <w:gridCol w:w="109"/>
        <w:gridCol w:w="109"/>
        <w:gridCol w:w="109"/>
        <w:gridCol w:w="688"/>
        <w:gridCol w:w="688"/>
        <w:gridCol w:w="979"/>
      </w:tblGrid>
      <w:tr>
        <w:trPr/>
        <w:tc>
          <w:tcPr>
            <w:tcW w:w="11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 Identification No.)</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92" w:type="dxa"/>
        <w:jc w:val="center"/>
        <w:tblInd w:w="0" w:type="dxa"/>
        <w:tblLayout w:type="fixed"/>
        <w:tblCellMar>
          <w:top w:w="28" w:type="dxa"/>
          <w:left w:w="28" w:type="dxa"/>
          <w:bottom w:w="28" w:type="dxa"/>
          <w:right w:w="28" w:type="dxa"/>
        </w:tblCellMar>
      </w:tblPr>
      <w:tblGrid>
        <w:gridCol w:w="499"/>
        <w:gridCol w:w="439"/>
        <w:gridCol w:w="442"/>
        <w:gridCol w:w="289"/>
        <w:gridCol w:w="289"/>
        <w:gridCol w:w="291"/>
        <w:gridCol w:w="325"/>
        <w:gridCol w:w="325"/>
        <w:gridCol w:w="326"/>
        <w:gridCol w:w="109"/>
        <w:gridCol w:w="109"/>
        <w:gridCol w:w="109"/>
        <w:gridCol w:w="246"/>
        <w:gridCol w:w="246"/>
        <w:gridCol w:w="34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20"/>
              </w:rPr>
            </w:pPr>
            <w:r>
              <w:rPr>
                <w:rFonts w:ascii="Calibri;sans-serif" w:hAnsi="Calibri;sans-serif"/>
                <w:b/>
                <w:color w:val="000000"/>
                <w:sz w:val="20"/>
              </w:rPr>
              <w:t>2381 Rosegate,</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Roseville,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3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Calibri;sans-serif" w:hAnsi="Calibri;sans-serif"/>
          <w:b w:val="false"/>
          <w:color w:val="000000"/>
          <w:sz w:val="20"/>
        </w:rPr>
        <w:t>Check the appropriate box below if the Form 8-K filing is intended to simultaneously satisfy the filing obligation of the registrant under any of the following provisions (</w:t>
      </w:r>
      <w:r>
        <w:rPr>
          <w:rFonts w:ascii="Calibri;sans-serif" w:hAnsi="Calibri;sans-serif"/>
          <w:b w:val="false"/>
          <w:i/>
          <w:color w:val="000000"/>
          <w:sz w:val="20"/>
        </w:rPr>
        <w:t>see</w:t>
      </w:r>
      <w:r>
        <w:rPr>
          <w:color w:val="000000"/>
        </w:rPr>
        <w:t xml:space="preserve"> </w:t>
      </w:r>
      <w:r>
        <w:rPr>
          <w:rFonts w:ascii="Calibri;sans-serif" w:hAnsi="Calibri;sans-serif"/>
          <w:b w:val="false"/>
          <w:color w:val="000000"/>
          <w:sz w:val="20"/>
        </w:rPr>
        <w:t>General Instruction A.2. below):</w:t>
      </w:r>
    </w:p>
    <w:tbl>
      <w:tblPr>
        <w:tblW w:w="9252" w:type="dxa"/>
        <w:jc w:val="left"/>
        <w:tblInd w:w="0" w:type="dxa"/>
        <w:tblLayout w:type="fixed"/>
        <w:tblCellMar>
          <w:top w:w="28" w:type="dxa"/>
          <w:left w:w="28" w:type="dxa"/>
          <w:bottom w:w="28" w:type="dxa"/>
          <w:right w:w="28" w:type="dxa"/>
        </w:tblCellMar>
      </w:tblPr>
      <w:tblGrid>
        <w:gridCol w:w="124"/>
        <w:gridCol w:w="109"/>
        <w:gridCol w:w="109"/>
        <w:gridCol w:w="2609"/>
        <w:gridCol w:w="2609"/>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val="false"/>
                <w:color w:val="000000"/>
                <w:sz w:val="18"/>
              </w:rPr>
            </w:pPr>
            <w:r>
              <w:rPr>
                <w:rFonts w:ascii="Calibri;sans-serif" w:hAnsi="Calibri;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6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right"/>
        <w:rPr/>
      </w:pPr>
      <w:r>
        <w:rPr>
          <w:rFonts w:ascii="Calibri;sans-serif" w:hAnsi="Calibr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Calibri;sans-serif" w:hAnsi="Calibr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5.07. Submission of Matters to a Vote of Security Holders.</w:t>
      </w:r>
    </w:p>
    <w:p>
      <w:pPr>
        <w:pStyle w:val="TextBody"/>
        <w:bidi w:val="0"/>
        <w:spacing w:lineRule="auto" w:line="288" w:before="120" w:after="283"/>
        <w:ind w:left="0" w:right="0" w:firstLine="720"/>
        <w:jc w:val="left"/>
        <w:rPr/>
      </w:pPr>
      <w:r>
        <w:rPr>
          <w:rFonts w:ascii="Calibri;sans-serif" w:hAnsi="Calibri;sans-serif"/>
          <w:b w:val="false"/>
          <w:color w:val="000000"/>
          <w:sz w:val="20"/>
        </w:rPr>
        <w:t xml:space="preserve">At our annual meeting of shareholders held July 31, 2024, the following proposals, each as described in further detail in the </w:t>
      </w:r>
      <w:hyperlink r:id="rId2">
        <w:r>
          <w:rPr>
            <w:rStyle w:val="InternetLink"/>
          </w:rPr>
          <w:t>definitive proxy statement filed by our company on June 20, 202</w:t>
        </w:r>
      </w:hyperlink>
      <w:hyperlink r:id="rId3">
        <w:r>
          <w:rPr>
            <w:rStyle w:val="InternetLink"/>
          </w:rPr>
          <w:t>4</w:t>
        </w:r>
      </w:hyperlink>
      <w:r>
        <w:rPr>
          <w:rFonts w:ascii="Calibri;sans-serif" w:hAnsi="Calibri;sans-serif"/>
          <w:b w:val="false"/>
          <w:color w:val="000000"/>
          <w:sz w:val="20"/>
        </w:rPr>
        <w:t>, were voted upon by our shareholders as set forth below:</w:t>
      </w:r>
    </w:p>
    <w:p>
      <w:pPr>
        <w:pStyle w:val="TextBody"/>
        <w:bidi w:val="0"/>
        <w:spacing w:before="0" w:after="0"/>
        <w:ind w:left="0" w:right="0" w:firstLine="72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Proposal One – Election of Directors</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Our shareholders elected each of the eight nominees to our Board of Directors, based on the following votes:</w:t>
      </w:r>
    </w:p>
    <w:tbl>
      <w:tblPr>
        <w:tblW w:w="6473" w:type="dxa"/>
        <w:jc w:val="left"/>
        <w:tblInd w:w="0" w:type="dxa"/>
        <w:tblLayout w:type="fixed"/>
        <w:tblCellMar>
          <w:top w:w="28" w:type="dxa"/>
          <w:left w:w="28" w:type="dxa"/>
          <w:bottom w:w="28" w:type="dxa"/>
          <w:right w:w="28" w:type="dxa"/>
        </w:tblCellMar>
      </w:tblPr>
      <w:tblGrid>
        <w:gridCol w:w="712"/>
        <w:gridCol w:w="626"/>
        <w:gridCol w:w="627"/>
        <w:gridCol w:w="109"/>
        <w:gridCol w:w="109"/>
        <w:gridCol w:w="109"/>
        <w:gridCol w:w="344"/>
        <w:gridCol w:w="344"/>
        <w:gridCol w:w="348"/>
        <w:gridCol w:w="109"/>
        <w:gridCol w:w="109"/>
        <w:gridCol w:w="109"/>
        <w:gridCol w:w="309"/>
        <w:gridCol w:w="309"/>
        <w:gridCol w:w="313"/>
        <w:gridCol w:w="109"/>
        <w:gridCol w:w="109"/>
        <w:gridCol w:w="109"/>
        <w:gridCol w:w="456"/>
        <w:gridCol w:w="456"/>
        <w:gridCol w:w="648"/>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Broker Non-Vote</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James A. Faulconbridge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13,896,230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2,003,313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Patrick H. Hawkins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15,638,313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261,230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Yi "Faith"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15,766,487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133,056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Mary J. Schumacher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15,362,832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536,711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Daniel J. Stauber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15,426,186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473,357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James T.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15,259,363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640,180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L. Wright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15,257,662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641,881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E. Spethmann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15,758,507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141,036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bl>
    <w:p>
      <w:pPr>
        <w:pStyle w:val="TextBody"/>
        <w:bidi w:val="0"/>
        <w:spacing w:before="120" w:after="283"/>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Proposal Two – Vote to Ratify the Appointment of Grant Thornton LLP</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Our shareholders ratified the appointment of Grant Thornton LLP to serve as the Company's independent registered public accounting firm for the fiscal year ending March 30, 2025 as disclosed in the above-referenced proxy statement, based on the votes listed below:</w:t>
      </w:r>
    </w:p>
    <w:tbl>
      <w:tblPr>
        <w:tblW w:w="509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259"/>
        <w:gridCol w:w="259"/>
        <w:gridCol w:w="263"/>
        <w:gridCol w:w="109"/>
        <w:gridCol w:w="109"/>
        <w:gridCol w:w="109"/>
        <w:gridCol w:w="240"/>
        <w:gridCol w:w="240"/>
        <w:gridCol w:w="241"/>
        <w:gridCol w:w="109"/>
        <w:gridCol w:w="109"/>
        <w:gridCol w:w="109"/>
        <w:gridCol w:w="456"/>
        <w:gridCol w:w="456"/>
        <w:gridCol w:w="648"/>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Broker Non-Vote</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17,402,747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545,877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34,096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Proposal Three – Advisory Vote to Approve Executive Compensation</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Our shareholders approved, on an advisory basis, the compensation of our executive officers ("say-on-pay") as disclosed in the above-referenced proxy statement, based on the votes listed below:</w:t>
      </w:r>
    </w:p>
    <w:tbl>
      <w:tblPr>
        <w:tblW w:w="509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259"/>
        <w:gridCol w:w="259"/>
        <w:gridCol w:w="263"/>
        <w:gridCol w:w="109"/>
        <w:gridCol w:w="109"/>
        <w:gridCol w:w="109"/>
        <w:gridCol w:w="240"/>
        <w:gridCol w:w="240"/>
        <w:gridCol w:w="241"/>
        <w:gridCol w:w="109"/>
        <w:gridCol w:w="109"/>
        <w:gridCol w:w="109"/>
        <w:gridCol w:w="456"/>
        <w:gridCol w:w="456"/>
        <w:gridCol w:w="648"/>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Broker Non-Vote</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14,988,501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842,981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68,061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2,083,177</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723" w:type="dxa"/>
        <w:jc w:val="left"/>
        <w:tblInd w:w="0" w:type="dxa"/>
        <w:tblLayout w:type="fixed"/>
        <w:tblCellMar>
          <w:top w:w="28" w:type="dxa"/>
          <w:left w:w="28" w:type="dxa"/>
          <w:bottom w:w="28" w:type="dxa"/>
          <w:right w:w="28" w:type="dxa"/>
        </w:tblCellMar>
      </w:tblPr>
      <w:tblGrid>
        <w:gridCol w:w="645"/>
        <w:gridCol w:w="567"/>
        <w:gridCol w:w="573"/>
        <w:gridCol w:w="109"/>
        <w:gridCol w:w="109"/>
        <w:gridCol w:w="109"/>
        <w:gridCol w:w="141"/>
        <w:gridCol w:w="141"/>
        <w:gridCol w:w="141"/>
        <w:gridCol w:w="141"/>
        <w:gridCol w:w="141"/>
        <w:gridCol w:w="141"/>
        <w:gridCol w:w="1102"/>
        <w:gridCol w:w="1102"/>
        <w:gridCol w:w="1561"/>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Date: 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/s/ Richard G. Erstad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Richard G. Erstad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Vice President, General Counsel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46250/000004625024000015/hwkn-20240619.htm" TargetMode="External"/><Relationship Id="rId3" Type="http://schemas.openxmlformats.org/officeDocument/2006/relationships/hyperlink" Target="https://www.sec.gov/ix?doc=/Archives/edgar/data/46250/000004625024000015/hwkn-20240619.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575</Words>
  <Characters>3258</Characters>
  <CharactersWithSpaces>3747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