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38"/>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29"/>
                <w:szCs w:val="29"/>
                <w:b w:val="1"/>
                <w:bCs w:val="1"/>
                <w:color w:val="auto"/>
                <w:w w:val="97"/>
              </w:rPr>
              <w:t>UNITED STATES</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5"/>
        </w:trPr>
        <w:tc>
          <w:tcPr>
            <w:tcW w:w="1140" w:type="dxa"/>
            <w:vAlign w:val="bottom"/>
          </w:tcPr>
          <w:p>
            <w:pPr>
              <w:spacing w:after="0"/>
              <w:rPr>
                <w:sz w:val="24"/>
                <w:szCs w:val="24"/>
                <w:color w:val="auto"/>
              </w:rPr>
            </w:pPr>
          </w:p>
        </w:tc>
        <w:tc>
          <w:tcPr>
            <w:tcW w:w="10060" w:type="dxa"/>
            <w:vAlign w:val="bottom"/>
            <w:gridSpan w:val="4"/>
          </w:tcPr>
          <w:p>
            <w:pPr>
              <w:jc w:val="center"/>
              <w:ind w:right="1140"/>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00" w:type="dxa"/>
            <w:vAlign w:val="bottom"/>
          </w:tcPr>
          <w:p>
            <w:pPr>
              <w:jc w:val="center"/>
              <w:ind w:left="634"/>
              <w:spacing w:after="0"/>
              <w:rPr>
                <w:sz w:val="20"/>
                <w:szCs w:val="20"/>
                <w:color w:val="auto"/>
              </w:rPr>
            </w:pPr>
            <w:r>
              <w:rPr>
                <w:rFonts w:ascii="Arial" w:cs="Arial" w:eastAsia="Arial" w:hAnsi="Arial"/>
                <w:sz w:val="18"/>
                <w:szCs w:val="18"/>
                <w:b w:val="1"/>
                <w:bCs w:val="1"/>
                <w:color w:val="auto"/>
                <w:w w:val="99"/>
              </w:rPr>
              <w:t>WASHINGTON, D.C. 20549</w:t>
            </w:r>
          </w:p>
        </w:tc>
        <w:tc>
          <w:tcPr>
            <w:tcW w:w="7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7"/>
        </w:trPr>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r>
      <w:tr>
        <w:trPr>
          <w:trHeight w:val="331"/>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Borders>
              <w:bottom w:val="single" w:sz="8" w:color="auto"/>
            </w:tcBorders>
          </w:tcPr>
          <w:p>
            <w:pPr>
              <w:jc w:val="center"/>
              <w:ind w:left="634"/>
              <w:spacing w:after="0" w:line="331" w:lineRule="exact"/>
              <w:rPr>
                <w:sz w:val="20"/>
                <w:szCs w:val="20"/>
                <w:color w:val="auto"/>
              </w:rPr>
            </w:pPr>
            <w:r>
              <w:rPr>
                <w:rFonts w:ascii="Arial" w:cs="Arial" w:eastAsia="Arial" w:hAnsi="Arial"/>
                <w:sz w:val="29"/>
                <w:szCs w:val="29"/>
                <w:b w:val="1"/>
                <w:bCs w:val="1"/>
                <w:color w:val="auto"/>
                <w:w w:val="98"/>
              </w:rPr>
              <w:t>FORM 10-Q</w:t>
            </w:r>
          </w:p>
        </w:tc>
        <w:tc>
          <w:tcPr>
            <w:tcW w:w="76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344"/>
        </w:trPr>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QUARTERLY REPORT PURSUANT TO SECTION 13 OR 15(d) OF THE</w:t>
            </w:r>
          </w:p>
        </w:tc>
      </w:tr>
      <w:tr>
        <w:trPr>
          <w:trHeight w:val="261"/>
        </w:trPr>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55"/>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32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99"/>
              </w:rPr>
              <w:t>For the quarterly period ended September 26, 2021</w:t>
            </w:r>
          </w:p>
        </w:tc>
      </w:tr>
      <w:tr>
        <w:trPr>
          <w:trHeight w:val="256"/>
        </w:trPr>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TRANSITION REPORT PURSUANT TO SECTION 13 OR 15(d) OF THE</w:t>
            </w:r>
          </w:p>
        </w:tc>
      </w:tr>
      <w:tr>
        <w:trPr>
          <w:trHeight w:val="261"/>
        </w:trPr>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405"/>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18"/>
                <w:szCs w:val="18"/>
                <w:b w:val="1"/>
                <w:bCs w:val="1"/>
                <w:color w:val="auto"/>
              </w:rPr>
              <w:t>Commission file number 0-7647</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32"/>
                <w:szCs w:val="32"/>
                <w:b w:val="1"/>
                <w:bCs w:val="1"/>
                <w:color w:val="auto"/>
              </w:rPr>
              <w:t>HAWKINS, INC.</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9"/>
        </w:trPr>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tcPr>
          <w:p>
            <w:pPr>
              <w:jc w:val="center"/>
              <w:ind w:left="614"/>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7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spacing w:after="0"/>
              <w:rPr>
                <w:sz w:val="16"/>
                <w:szCs w:val="16"/>
                <w:color w:val="auto"/>
              </w:rPr>
            </w:pPr>
          </w:p>
        </w:tc>
      </w:tr>
      <w:tr>
        <w:trPr>
          <w:trHeight w:val="345"/>
        </w:trPr>
        <w:tc>
          <w:tcPr>
            <w:tcW w:w="114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2"/>
          </w:tcPr>
          <w:p>
            <w:pPr>
              <w:jc w:val="center"/>
              <w:ind w:right="3074"/>
              <w:spacing w:after="0"/>
              <w:rPr>
                <w:sz w:val="20"/>
                <w:szCs w:val="20"/>
                <w:color w:val="auto"/>
              </w:rPr>
            </w:pPr>
            <w:r>
              <w:rPr>
                <w:rFonts w:ascii="Arial" w:cs="Arial" w:eastAsia="Arial" w:hAnsi="Arial"/>
                <w:sz w:val="18"/>
                <w:szCs w:val="18"/>
                <w:b w:val="1"/>
                <w:bCs w:val="1"/>
                <w:color w:val="auto"/>
              </w:rPr>
              <w:t>Minnesota</w:t>
            </w:r>
          </w:p>
        </w:tc>
        <w:tc>
          <w:tcPr>
            <w:tcW w:w="3620" w:type="dxa"/>
            <w:vAlign w:val="bottom"/>
            <w:tcBorders>
              <w:bottom w:val="single" w:sz="8" w:color="auto"/>
            </w:tcBorders>
            <w:gridSpan w:val="2"/>
          </w:tcPr>
          <w:p>
            <w:pPr>
              <w:jc w:val="center"/>
              <w:ind w:right="1700"/>
              <w:spacing w:after="0"/>
              <w:rPr>
                <w:sz w:val="20"/>
                <w:szCs w:val="20"/>
                <w:color w:val="auto"/>
              </w:rPr>
            </w:pPr>
            <w:r>
              <w:rPr>
                <w:rFonts w:ascii="Arial" w:cs="Arial" w:eastAsia="Arial" w:hAnsi="Arial"/>
                <w:sz w:val="18"/>
                <w:szCs w:val="18"/>
                <w:b w:val="1"/>
                <w:bCs w:val="1"/>
                <w:color w:val="auto"/>
                <w:w w:val="99"/>
              </w:rPr>
              <w:t>41-0771293</w:t>
            </w:r>
          </w:p>
        </w:tc>
      </w:tr>
      <w:tr>
        <w:trPr>
          <w:trHeight w:val="142"/>
        </w:trPr>
        <w:tc>
          <w:tcPr>
            <w:tcW w:w="1140" w:type="dxa"/>
            <w:vAlign w:val="bottom"/>
          </w:tcPr>
          <w:p>
            <w:pPr>
              <w:spacing w:after="0"/>
              <w:rPr>
                <w:sz w:val="12"/>
                <w:szCs w:val="12"/>
                <w:color w:val="auto"/>
              </w:rPr>
            </w:pPr>
          </w:p>
        </w:tc>
        <w:tc>
          <w:tcPr>
            <w:tcW w:w="6440" w:type="dxa"/>
            <w:vAlign w:val="bottom"/>
            <w:gridSpan w:val="2"/>
          </w:tcPr>
          <w:p>
            <w:pPr>
              <w:jc w:val="center"/>
              <w:ind w:right="3074"/>
              <w:spacing w:after="0" w:line="142" w:lineRule="exact"/>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gridSpan w:val="2"/>
          </w:tcPr>
          <w:p>
            <w:pPr>
              <w:jc w:val="center"/>
              <w:ind w:right="1700"/>
              <w:spacing w:after="0" w:line="142"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1140" w:type="dxa"/>
            <w:vAlign w:val="bottom"/>
          </w:tcPr>
          <w:p>
            <w:pPr>
              <w:spacing w:after="0"/>
              <w:rPr>
                <w:sz w:val="16"/>
                <w:szCs w:val="16"/>
                <w:color w:val="auto"/>
              </w:rPr>
            </w:pPr>
          </w:p>
        </w:tc>
        <w:tc>
          <w:tcPr>
            <w:tcW w:w="6440" w:type="dxa"/>
            <w:vAlign w:val="bottom"/>
            <w:gridSpan w:val="2"/>
          </w:tcPr>
          <w:p>
            <w:pPr>
              <w:jc w:val="center"/>
              <w:ind w:right="3074"/>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rPr>
              <w:t>Identification No.)</w:t>
            </w:r>
          </w:p>
        </w:tc>
      </w:tr>
      <w:tr>
        <w:trPr>
          <w:trHeight w:val="377"/>
        </w:trPr>
        <w:tc>
          <w:tcPr>
            <w:tcW w:w="1140" w:type="dxa"/>
            <w:vAlign w:val="bottom"/>
          </w:tcPr>
          <w:p>
            <w:pPr>
              <w:spacing w:after="0"/>
              <w:rPr>
                <w:sz w:val="24"/>
                <w:szCs w:val="24"/>
                <w:color w:val="auto"/>
              </w:rPr>
            </w:pPr>
          </w:p>
        </w:tc>
        <w:tc>
          <w:tcPr>
            <w:tcW w:w="6440" w:type="dxa"/>
            <w:vAlign w:val="bottom"/>
            <w:gridSpan w:val="2"/>
          </w:tcPr>
          <w:p>
            <w:pPr>
              <w:jc w:val="center"/>
              <w:ind w:right="1794"/>
              <w:spacing w:after="0"/>
              <w:rPr>
                <w:sz w:val="20"/>
                <w:szCs w:val="20"/>
                <w:color w:val="auto"/>
              </w:rPr>
            </w:pPr>
            <w:r>
              <w:rPr>
                <w:rFonts w:ascii="Arial" w:cs="Arial" w:eastAsia="Arial" w:hAnsi="Arial"/>
                <w:sz w:val="18"/>
                <w:szCs w:val="18"/>
                <w:b w:val="1"/>
                <w:bCs w:val="1"/>
                <w:color w:val="auto"/>
                <w:w w:val="99"/>
              </w:rPr>
              <w:t>2381 Rosegate, Roseville, Minnesota</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55113</w:t>
            </w:r>
          </w:p>
        </w:tc>
        <w:tc>
          <w:tcPr>
            <w:tcW w:w="2860" w:type="dxa"/>
            <w:vAlign w:val="bottom"/>
          </w:tcPr>
          <w:p>
            <w:pPr>
              <w:spacing w:after="0"/>
              <w:rPr>
                <w:sz w:val="24"/>
                <w:szCs w:val="24"/>
                <w:color w:val="auto"/>
              </w:rPr>
            </w:pPr>
          </w:p>
        </w:tc>
      </w:tr>
      <w:tr>
        <w:trPr>
          <w:trHeight w:val="244"/>
        </w:trPr>
        <w:tc>
          <w:tcPr>
            <w:tcW w:w="1140" w:type="dxa"/>
            <w:vAlign w:val="bottom"/>
          </w:tcPr>
          <w:p>
            <w:pPr>
              <w:spacing w:after="0"/>
              <w:rPr>
                <w:sz w:val="21"/>
                <w:szCs w:val="21"/>
                <w:color w:val="auto"/>
              </w:rPr>
            </w:pPr>
          </w:p>
        </w:tc>
        <w:tc>
          <w:tcPr>
            <w:tcW w:w="6440" w:type="dxa"/>
            <w:vAlign w:val="bottom"/>
            <w:gridSpan w:val="2"/>
          </w:tcPr>
          <w:p>
            <w:pPr>
              <w:jc w:val="center"/>
              <w:ind w:right="1774"/>
              <w:spacing w:after="0"/>
              <w:rPr>
                <w:sz w:val="20"/>
                <w:szCs w:val="20"/>
                <w:color w:val="auto"/>
              </w:rPr>
            </w:pPr>
            <w:r>
              <w:rPr>
                <w:rFonts w:ascii="Arial" w:cs="Arial" w:eastAsia="Arial" w:hAnsi="Arial"/>
                <w:sz w:val="14"/>
                <w:szCs w:val="14"/>
                <w:b w:val="1"/>
                <w:bCs w:val="1"/>
                <w:color w:val="auto"/>
              </w:rPr>
              <w:t>(Address of principal executive offices)</w:t>
            </w:r>
          </w:p>
        </w:tc>
        <w:tc>
          <w:tcPr>
            <w:tcW w:w="3620" w:type="dxa"/>
            <w:vAlign w:val="bottom"/>
            <w:gridSpan w:val="2"/>
          </w:tcPr>
          <w:p>
            <w:pPr>
              <w:jc w:val="center"/>
              <w:ind w:right="2640"/>
              <w:spacing w:after="0"/>
              <w:rPr>
                <w:sz w:val="20"/>
                <w:szCs w:val="20"/>
                <w:color w:val="auto"/>
              </w:rPr>
            </w:pPr>
            <w:r>
              <w:rPr>
                <w:rFonts w:ascii="Arial" w:cs="Arial" w:eastAsia="Arial" w:hAnsi="Arial"/>
                <w:sz w:val="14"/>
                <w:szCs w:val="14"/>
                <w:b w:val="1"/>
                <w:bCs w:val="1"/>
                <w:color w:val="auto"/>
              </w:rPr>
              <w:t>(Zip code)</w:t>
            </w:r>
          </w:p>
        </w:tc>
      </w:tr>
      <w:tr>
        <w:trPr>
          <w:trHeight w:val="417"/>
        </w:trPr>
        <w:tc>
          <w:tcPr>
            <w:tcW w:w="1140" w:type="dxa"/>
            <w:vAlign w:val="bottom"/>
          </w:tcPr>
          <w:p>
            <w:pPr>
              <w:spacing w:after="0"/>
              <w:rPr>
                <w:sz w:val="24"/>
                <w:szCs w:val="24"/>
                <w:color w:val="auto"/>
              </w:rPr>
            </w:pPr>
          </w:p>
        </w:tc>
        <w:tc>
          <w:tcPr>
            <w:tcW w:w="6440" w:type="dxa"/>
            <w:vAlign w:val="bottom"/>
            <w:gridSpan w:val="2"/>
          </w:tcPr>
          <w:p>
            <w:pPr>
              <w:jc w:val="center"/>
              <w:ind w:left="2388"/>
              <w:spacing w:after="0"/>
              <w:rPr>
                <w:sz w:val="20"/>
                <w:szCs w:val="20"/>
                <w:color w:val="auto"/>
              </w:rPr>
            </w:pPr>
            <w:r>
              <w:rPr>
                <w:rFonts w:ascii="Arial" w:cs="Arial" w:eastAsia="Arial" w:hAnsi="Arial"/>
                <w:sz w:val="18"/>
                <w:szCs w:val="18"/>
                <w:b w:val="1"/>
                <w:bCs w:val="1"/>
                <w:color w:val="auto"/>
              </w:rPr>
              <w:t>(612) 331-6910</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89"/>
        </w:trPr>
        <w:tc>
          <w:tcPr>
            <w:tcW w:w="11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700" w:type="dxa"/>
            <w:vAlign w:val="bottom"/>
            <w:tcBorders>
              <w:bottom w:val="single" w:sz="8" w:color="auto"/>
            </w:tcBorders>
          </w:tcPr>
          <w:p>
            <w:pPr>
              <w:jc w:val="center"/>
              <w:ind w:left="634"/>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760" w:type="dxa"/>
            <w:vAlign w:val="bottom"/>
            <w:tcBorders>
              <w:bottom w:val="single" w:sz="8" w:color="auto"/>
            </w:tcBorders>
          </w:tcPr>
          <w:p>
            <w:pPr>
              <w:spacing w:after="0"/>
              <w:rPr>
                <w:sz w:val="16"/>
                <w:szCs w:val="16"/>
                <w:color w:val="auto"/>
              </w:rPr>
            </w:pPr>
          </w:p>
        </w:tc>
        <w:tc>
          <w:tcPr>
            <w:tcW w:w="2860" w:type="dxa"/>
            <w:vAlign w:val="bottom"/>
          </w:tcPr>
          <w:p>
            <w:pPr>
              <w:spacing w:after="0"/>
              <w:rPr>
                <w:sz w:val="16"/>
                <w:szCs w:val="16"/>
                <w:color w:val="auto"/>
              </w:rPr>
            </w:pPr>
          </w:p>
        </w:tc>
      </w:tr>
    </w:tbl>
    <w:p>
      <w:pPr>
        <w:spacing w:after="0" w:line="3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Borders>
              <w:bottom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5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6"/>
        </w:trPr>
        <w:tc>
          <w:tcPr>
            <w:tcW w:w="34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280" w:type="dxa"/>
            <w:vAlign w:val="bottom"/>
          </w:tcPr>
          <w:p>
            <w:pPr>
              <w:jc w:val="center"/>
              <w:spacing w:after="0"/>
              <w:rPr>
                <w:sz w:val="20"/>
                <w:szCs w:val="20"/>
                <w:color w:val="auto"/>
              </w:rPr>
            </w:pPr>
            <w:r>
              <w:rPr>
                <w:rFonts w:ascii="Arial" w:cs="Arial" w:eastAsia="Arial" w:hAnsi="Arial"/>
                <w:sz w:val="16"/>
                <w:szCs w:val="16"/>
                <w:color w:val="auto"/>
              </w:rPr>
              <w:t>HWKN</w:t>
            </w:r>
          </w:p>
        </w:tc>
        <w:tc>
          <w:tcPr>
            <w:tcW w:w="4540" w:type="dxa"/>
            <w:vAlign w:val="bottom"/>
          </w:tcPr>
          <w:p>
            <w:pPr>
              <w:jc w:val="center"/>
              <w:ind w:right="99"/>
              <w:spacing w:after="0"/>
              <w:rPr>
                <w:sz w:val="20"/>
                <w:szCs w:val="20"/>
                <w:color w:val="auto"/>
              </w:rPr>
            </w:pPr>
            <w:r>
              <w:rPr>
                <w:rFonts w:ascii="Arial" w:cs="Arial" w:eastAsia="Arial" w:hAnsi="Arial"/>
                <w:sz w:val="16"/>
                <w:szCs w:val="16"/>
                <w:color w:val="auto"/>
              </w:rPr>
              <w:t>Nasdaq Stock Market LLC</w:t>
            </w:r>
          </w:p>
        </w:tc>
      </w:tr>
    </w:tbl>
    <w:p>
      <w:pPr>
        <w:spacing w:after="0" w:line="248" w:lineRule="exact"/>
        <w:rPr>
          <w:sz w:val="24"/>
          <w:szCs w:val="24"/>
          <w:color w:val="auto"/>
        </w:rPr>
      </w:pPr>
    </w:p>
    <w:p>
      <w:pPr>
        <w:ind w:right="10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9"/>
        </w:trPr>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16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2" w:lineRule="exact"/>
        <w:rPr>
          <w:sz w:val="24"/>
          <w:szCs w:val="24"/>
          <w:color w:val="auto"/>
        </w:rPr>
      </w:pPr>
    </w:p>
    <w:p>
      <w:pPr>
        <w:ind w:right="20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60" w:right="2240" w:hanging="647"/>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300" w:type="dxa"/>
            <w:vAlign w:val="bottom"/>
          </w:tcPr>
          <w:p>
            <w:pPr>
              <w:spacing w:after="0"/>
              <w:rPr>
                <w:sz w:val="14"/>
                <w:szCs w:val="14"/>
                <w:color w:val="auto"/>
              </w:rPr>
            </w:pP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Shares Outstanding at October 22, 2021</w:t>
            </w:r>
          </w:p>
        </w:tc>
        <w:tc>
          <w:tcPr>
            <w:tcW w:w="1260" w:type="dxa"/>
            <w:vAlign w:val="bottom"/>
          </w:tcPr>
          <w:p>
            <w:pPr>
              <w:spacing w:after="0"/>
              <w:rPr>
                <w:sz w:val="14"/>
                <w:szCs w:val="14"/>
                <w:color w:val="auto"/>
              </w:rPr>
            </w:pPr>
          </w:p>
        </w:tc>
      </w:tr>
      <w:tr>
        <w:trPr>
          <w:trHeight w:val="223"/>
        </w:trPr>
        <w:tc>
          <w:tcPr>
            <w:tcW w:w="40" w:type="dxa"/>
            <w:vAlign w:val="bottom"/>
          </w:tcPr>
          <w:p>
            <w:pPr>
              <w:spacing w:after="0"/>
              <w:rPr>
                <w:sz w:val="19"/>
                <w:szCs w:val="19"/>
                <w:color w:val="auto"/>
              </w:rPr>
            </w:pPr>
          </w:p>
        </w:tc>
        <w:tc>
          <w:tcPr>
            <w:tcW w:w="512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Common Stock, par value $.01 per share</w:t>
            </w:r>
          </w:p>
        </w:tc>
        <w:tc>
          <w:tcPr>
            <w:tcW w:w="4820" w:type="dxa"/>
            <w:vAlign w:val="bottom"/>
          </w:tcPr>
          <w:p>
            <w:pPr>
              <w:jc w:val="right"/>
              <w:ind w:right="1879"/>
              <w:spacing w:after="0"/>
              <w:rPr>
                <w:sz w:val="20"/>
                <w:szCs w:val="20"/>
                <w:color w:val="auto"/>
              </w:rPr>
            </w:pPr>
            <w:r>
              <w:rPr>
                <w:rFonts w:ascii="Arial" w:cs="Arial" w:eastAsia="Arial" w:hAnsi="Arial"/>
                <w:sz w:val="18"/>
                <w:szCs w:val="18"/>
                <w:color w:val="auto"/>
              </w:rPr>
              <w:t>21,112,683</w:t>
            </w:r>
          </w:p>
        </w:tc>
        <w:tc>
          <w:tcPr>
            <w:tcW w:w="1260" w:type="dxa"/>
            <w:vAlign w:val="bottom"/>
          </w:tcPr>
          <w:p>
            <w:pPr>
              <w:spacing w:after="0"/>
              <w:rPr>
                <w:sz w:val="19"/>
                <w:szCs w:val="19"/>
                <w:color w:val="auto"/>
              </w:rPr>
            </w:pPr>
          </w:p>
        </w:tc>
      </w:tr>
      <w:tr>
        <w:trPr>
          <w:trHeight w:val="121"/>
        </w:trPr>
        <w:tc>
          <w:tcPr>
            <w:tcW w:w="4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r>
        <w:trPr>
          <w:trHeight w:val="68"/>
        </w:trPr>
        <w:tc>
          <w:tcPr>
            <w:tcW w:w="4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831"/>
        </w:trPr>
        <w:tc>
          <w:tcPr>
            <w:tcW w:w="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 w:name="page2"/>
    <w:bookmarkEnd w:id="1"/>
    <w:p>
      <w:pPr>
        <w:jc w:val="center"/>
        <w:ind w:right="-879"/>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INDEX TO FORM 10-Q</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42"/>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160" w:type="dxa"/>
            <w:vAlign w:val="bottom"/>
            <w:gridSpan w:val="23"/>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270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Financial Statements (unaudited):</w:t>
              </w:r>
            </w:hyperlink>
          </w:p>
        </w:tc>
        <w:tc>
          <w:tcPr>
            <w:tcW w:w="5460" w:type="dxa"/>
            <w:vAlign w:val="bottom"/>
            <w:gridSpan w:val="13"/>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1120" w:type="dxa"/>
            <w:vAlign w:val="bottom"/>
          </w:tcPr>
          <w:p>
            <w:pPr>
              <w:spacing w:after="0"/>
              <w:rPr>
                <w:sz w:val="22"/>
                <w:szCs w:val="22"/>
                <w:color w:val="auto"/>
              </w:rPr>
            </w:pPr>
          </w:p>
        </w:tc>
        <w:tc>
          <w:tcPr>
            <w:tcW w:w="8160" w:type="dxa"/>
            <w:vAlign w:val="bottom"/>
            <w:gridSpan w:val="2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w:t>
              </w:r>
            </w:hyperlink>
            <w:r>
              <w:rPr>
                <w:rFonts w:ascii="Arial" w:cs="Arial" w:eastAsia="Arial" w:hAnsi="Arial"/>
                <w:sz w:val="18"/>
                <w:szCs w:val="18"/>
                <w:color w:val="0000FF"/>
              </w:rPr>
              <w:t xml:space="preserve">–September 26, </w:t>
            </w:r>
            <w:hyperlink w:anchor="page3">
              <w:r>
                <w:rPr>
                  <w:rFonts w:ascii="Arial" w:cs="Arial" w:eastAsia="Arial" w:hAnsi="Arial"/>
                  <w:sz w:val="18"/>
                  <w:szCs w:val="18"/>
                  <w:color w:val="0000FF"/>
                </w:rPr>
                <w:t>2021 and March 28, 2021</w:t>
              </w:r>
            </w:hyperlink>
          </w:p>
        </w:tc>
        <w:tc>
          <w:tcPr>
            <w:tcW w:w="10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8160" w:type="dxa"/>
            <w:vAlign w:val="bottom"/>
            <w:gridSpan w:val="2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 Three and Six Months Ended September</w:t>
              </w:r>
            </w:hyperlink>
          </w:p>
        </w:tc>
        <w:tc>
          <w:tcPr>
            <w:tcW w:w="100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156"/>
        </w:trPr>
        <w:tc>
          <w:tcPr>
            <w:tcW w:w="112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26, 2021 and September 27, 2020</w:t>
              </w:r>
            </w:hyperlink>
          </w:p>
        </w:tc>
        <w:tc>
          <w:tcPr>
            <w:tcW w:w="4540" w:type="dxa"/>
            <w:vAlign w:val="bottom"/>
            <w:tcBorders>
              <w:top w:val="single" w:sz="8" w:color="0000FF"/>
            </w:tcBorders>
            <w:gridSpan w:val="9"/>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63"/>
        </w:trPr>
        <w:tc>
          <w:tcPr>
            <w:tcW w:w="1120" w:type="dxa"/>
            <w:vAlign w:val="bottom"/>
          </w:tcPr>
          <w:p>
            <w:pPr>
              <w:spacing w:after="0"/>
              <w:rPr>
                <w:sz w:val="22"/>
                <w:szCs w:val="22"/>
                <w:color w:val="auto"/>
              </w:rPr>
            </w:pPr>
          </w:p>
        </w:tc>
        <w:tc>
          <w:tcPr>
            <w:tcW w:w="8160" w:type="dxa"/>
            <w:vAlign w:val="bottom"/>
            <w:gridSpan w:val="2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 Three and Six Months</w:t>
              </w:r>
            </w:hyperlink>
          </w:p>
        </w:tc>
        <w:tc>
          <w:tcPr>
            <w:tcW w:w="10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156"/>
        </w:trPr>
        <w:tc>
          <w:tcPr>
            <w:tcW w:w="11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 xml:space="preserve">Ended </w:t>
              </w:r>
            </w:hyperlink>
            <w:hyperlink w:anchor="page3">
              <w:r>
                <w:rPr>
                  <w:rFonts w:ascii="Arial" w:cs="Arial" w:eastAsia="Arial" w:hAnsi="Arial"/>
                  <w:sz w:val="18"/>
                  <w:szCs w:val="18"/>
                  <w:color w:val="0000FF"/>
                  <w:w w:val="99"/>
                </w:rPr>
                <w:t xml:space="preserve">September 26, </w:t>
              </w:r>
            </w:hyperlink>
            <w:hyperlink w:anchor="page4">
              <w:r>
                <w:rPr>
                  <w:rFonts w:ascii="Arial" w:cs="Arial" w:eastAsia="Arial" w:hAnsi="Arial"/>
                  <w:sz w:val="18"/>
                  <w:szCs w:val="18"/>
                  <w:color w:val="0000FF"/>
                  <w:w w:val="99"/>
                </w:rPr>
                <w:t xml:space="preserve">2021 and </w:t>
              </w:r>
            </w:hyperlink>
            <w:hyperlink w:anchor="page3">
              <w:r>
                <w:rPr>
                  <w:rFonts w:ascii="Arial" w:cs="Arial" w:eastAsia="Arial" w:hAnsi="Arial"/>
                  <w:sz w:val="18"/>
                  <w:szCs w:val="18"/>
                  <w:color w:val="0000FF"/>
                  <w:w w:val="99"/>
                </w:rPr>
                <w:t xml:space="preserve">September 27, </w:t>
              </w:r>
            </w:hyperlink>
            <w:hyperlink w:anchor="page4">
              <w:r>
                <w:rPr>
                  <w:rFonts w:ascii="Arial" w:cs="Arial" w:eastAsia="Arial" w:hAnsi="Arial"/>
                  <w:sz w:val="18"/>
                  <w:szCs w:val="18"/>
                  <w:color w:val="0000FF"/>
                  <w:w w:val="99"/>
                </w:rPr>
                <w:t>2020</w:t>
              </w:r>
            </w:hyperlink>
          </w:p>
        </w:tc>
        <w:tc>
          <w:tcPr>
            <w:tcW w:w="2860" w:type="dxa"/>
            <w:vAlign w:val="bottom"/>
            <w:tcBorders>
              <w:top w:val="single" w:sz="8" w:color="0000FF"/>
            </w:tcBorders>
            <w:gridSpan w:val="6"/>
          </w:tcPr>
          <w:p>
            <w:pPr>
              <w:spacing w:after="0"/>
              <w:rPr>
                <w:sz w:val="13"/>
                <w:szCs w:val="13"/>
                <w:color w:val="auto"/>
              </w:rPr>
            </w:pPr>
          </w:p>
        </w:tc>
        <w:tc>
          <w:tcPr>
            <w:tcW w:w="3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64"/>
        </w:trPr>
        <w:tc>
          <w:tcPr>
            <w:tcW w:w="1120" w:type="dxa"/>
            <w:vAlign w:val="bottom"/>
          </w:tcPr>
          <w:p>
            <w:pPr>
              <w:spacing w:after="0"/>
              <w:rPr>
                <w:sz w:val="22"/>
                <w:szCs w:val="22"/>
                <w:color w:val="auto"/>
              </w:rPr>
            </w:pPr>
          </w:p>
        </w:tc>
        <w:tc>
          <w:tcPr>
            <w:tcW w:w="8160" w:type="dxa"/>
            <w:vAlign w:val="bottom"/>
            <w:gridSpan w:val="2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Shareholder’s Equity – Three and Six Months Ended</w:t>
              </w:r>
            </w:hyperlink>
          </w:p>
        </w:tc>
        <w:tc>
          <w:tcPr>
            <w:tcW w:w="10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155"/>
        </w:trPr>
        <w:tc>
          <w:tcPr>
            <w:tcW w:w="1120" w:type="dxa"/>
            <w:vAlign w:val="bottom"/>
          </w:tcPr>
          <w:p>
            <w:pPr>
              <w:spacing w:after="0"/>
              <w:rPr>
                <w:sz w:val="13"/>
                <w:szCs w:val="13"/>
                <w:color w:val="auto"/>
              </w:rPr>
            </w:pPr>
          </w:p>
        </w:tc>
        <w:tc>
          <w:tcPr>
            <w:tcW w:w="74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September 26, </w:t>
              </w:r>
            </w:hyperlink>
            <w:hyperlink w:anchor="page5">
              <w:r>
                <w:rPr>
                  <w:rFonts w:ascii="Arial" w:cs="Arial" w:eastAsia="Arial" w:hAnsi="Arial"/>
                  <w:sz w:val="18"/>
                  <w:szCs w:val="18"/>
                  <w:color w:val="0000FF"/>
                </w:rPr>
                <w:t xml:space="preserve">2021 and </w:t>
              </w:r>
            </w:hyperlink>
            <w:hyperlink w:anchor="page3">
              <w:r>
                <w:rPr>
                  <w:rFonts w:ascii="Arial" w:cs="Arial" w:eastAsia="Arial" w:hAnsi="Arial"/>
                  <w:sz w:val="18"/>
                  <w:szCs w:val="18"/>
                  <w:color w:val="0000FF"/>
                </w:rPr>
                <w:t xml:space="preserve">September 27, </w:t>
              </w:r>
            </w:hyperlink>
            <w:hyperlink w:anchor="page5">
              <w:r>
                <w:rPr>
                  <w:rFonts w:ascii="Arial" w:cs="Arial" w:eastAsia="Arial" w:hAnsi="Arial"/>
                  <w:sz w:val="18"/>
                  <w:szCs w:val="18"/>
                  <w:color w:val="0000FF"/>
                </w:rPr>
                <w:t>2020</w:t>
              </w:r>
            </w:hyperlink>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3"/>
        </w:trPr>
        <w:tc>
          <w:tcPr>
            <w:tcW w:w="1120" w:type="dxa"/>
            <w:vAlign w:val="bottom"/>
          </w:tcPr>
          <w:p>
            <w:pPr>
              <w:spacing w:after="0"/>
              <w:rPr>
                <w:sz w:val="22"/>
                <w:szCs w:val="22"/>
                <w:color w:val="auto"/>
              </w:rPr>
            </w:pPr>
          </w:p>
        </w:tc>
        <w:tc>
          <w:tcPr>
            <w:tcW w:w="8160" w:type="dxa"/>
            <w:vAlign w:val="bottom"/>
            <w:gridSpan w:val="23"/>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 Six Months Ended September 26, 2021</w:t>
              </w:r>
            </w:hyperlink>
          </w:p>
        </w:tc>
        <w:tc>
          <w:tcPr>
            <w:tcW w:w="10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156"/>
        </w:trPr>
        <w:tc>
          <w:tcPr>
            <w:tcW w:w="1120" w:type="dxa"/>
            <w:vAlign w:val="bottom"/>
          </w:tcPr>
          <w:p>
            <w:pPr>
              <w:spacing w:after="0"/>
              <w:rPr>
                <w:sz w:val="13"/>
                <w:szCs w:val="13"/>
                <w:color w:val="auto"/>
              </w:rPr>
            </w:pPr>
          </w:p>
        </w:tc>
        <w:tc>
          <w:tcPr>
            <w:tcW w:w="75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 xml:space="preserve">and </w:t>
              </w:r>
            </w:hyperlink>
            <w:hyperlink w:anchor="page3">
              <w:r>
                <w:rPr>
                  <w:rFonts w:ascii="Arial" w:cs="Arial" w:eastAsia="Arial" w:hAnsi="Arial"/>
                  <w:sz w:val="18"/>
                  <w:szCs w:val="18"/>
                  <w:color w:val="0000FF"/>
                </w:rPr>
                <w:t xml:space="preserve">September 27, </w:t>
              </w:r>
            </w:hyperlink>
            <w:hyperlink w:anchor="page6">
              <w:r>
                <w:rPr>
                  <w:rFonts w:ascii="Arial" w:cs="Arial" w:eastAsia="Arial" w:hAnsi="Arial"/>
                  <w:sz w:val="18"/>
                  <w:szCs w:val="18"/>
                  <w:color w:val="0000FF"/>
                </w:rPr>
                <w:t>2020</w:t>
              </w:r>
            </w:hyperlink>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3"/>
        </w:trPr>
        <w:tc>
          <w:tcPr>
            <w:tcW w:w="1120" w:type="dxa"/>
            <w:vAlign w:val="bottom"/>
          </w:tcPr>
          <w:p>
            <w:pPr>
              <w:spacing w:after="0"/>
              <w:rPr>
                <w:sz w:val="22"/>
                <w:szCs w:val="22"/>
                <w:color w:val="auto"/>
              </w:rPr>
            </w:pPr>
          </w:p>
        </w:tc>
        <w:tc>
          <w:tcPr>
            <w:tcW w:w="4480" w:type="dxa"/>
            <w:vAlign w:val="bottom"/>
            <w:tcBorders>
              <w:bottom w:val="single" w:sz="8" w:color="0000FF"/>
            </w:tcBorders>
            <w:gridSpan w:val="14"/>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Condensed Consolidated Financial Statements</w:t>
              </w:r>
            </w:hyperlink>
          </w:p>
        </w:tc>
        <w:tc>
          <w:tcPr>
            <w:tcW w:w="3680" w:type="dxa"/>
            <w:vAlign w:val="bottom"/>
            <w:gridSpan w:val="9"/>
          </w:tcPr>
          <w:p>
            <w:pPr>
              <w:spacing w:after="0"/>
              <w:rPr>
                <w:sz w:val="22"/>
                <w:szCs w:val="22"/>
                <w:color w:val="auto"/>
              </w:rPr>
            </w:pPr>
          </w:p>
        </w:tc>
        <w:tc>
          <w:tcPr>
            <w:tcW w:w="9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160" w:type="dxa"/>
            <w:vAlign w:val="bottom"/>
            <w:gridSpan w:val="23"/>
          </w:tcPr>
          <w:p>
            <w:pPr>
              <w:spacing w:after="0"/>
              <w:rPr>
                <w:rFonts w:ascii="Arial" w:cs="Arial" w:eastAsia="Arial" w:hAnsi="Arial"/>
                <w:sz w:val="18"/>
                <w:szCs w:val="18"/>
                <w:color w:val="0000FF"/>
              </w:rPr>
            </w:pPr>
            <w:hyperlink w:anchor="page14">
              <w:r>
                <w:rPr>
                  <w:rFonts w:ascii="Arial" w:cs="Arial" w:eastAsia="Arial" w:hAnsi="Arial"/>
                  <w:sz w:val="18"/>
                  <w:szCs w:val="18"/>
                  <w:color w:val="0000FF"/>
                </w:rPr>
                <w:t>Management’s Discussion and Analysis of Financial Condition and Results of Operations</w:t>
              </w:r>
            </w:hyperlink>
          </w:p>
        </w:tc>
        <w:tc>
          <w:tcPr>
            <w:tcW w:w="1000" w:type="dxa"/>
            <w:vAlign w:val="bottom"/>
            <w:gridSpan w:val="3"/>
          </w:tcPr>
          <w:p>
            <w:pPr>
              <w:jc w:val="right"/>
              <w:spacing w:after="0"/>
              <w:rPr>
                <w:rFonts w:ascii="Arial" w:cs="Arial" w:eastAsia="Arial" w:hAnsi="Arial"/>
                <w:sz w:val="18"/>
                <w:szCs w:val="18"/>
                <w:color w:val="0000FF"/>
              </w:rPr>
            </w:pPr>
            <w:hyperlink w:anchor="page14">
              <w:r>
                <w:rPr>
                  <w:rFonts w:ascii="Arial" w:cs="Arial" w:eastAsia="Arial" w:hAnsi="Arial"/>
                  <w:sz w:val="18"/>
                  <w:szCs w:val="18"/>
                  <w:color w:val="0000FF"/>
                </w:rPr>
                <w:t>13</w:t>
              </w:r>
            </w:hyperlink>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Quantitative and Qualitative Disclosures about Market Risk</w:t>
              </w:r>
            </w:hyperlink>
          </w:p>
        </w:tc>
        <w:tc>
          <w:tcPr>
            <w:tcW w:w="2380" w:type="dxa"/>
            <w:vAlign w:val="bottom"/>
            <w:tcBorders>
              <w:top w:val="single" w:sz="8" w:color="0000FF"/>
            </w:tcBorders>
            <w:gridSpan w:val="3"/>
          </w:tcPr>
          <w:p>
            <w:pPr>
              <w:spacing w:after="0"/>
              <w:rPr>
                <w:sz w:val="22"/>
                <w:szCs w:val="22"/>
                <w:color w:val="auto"/>
              </w:rPr>
            </w:pPr>
          </w:p>
        </w:tc>
        <w:tc>
          <w:tcPr>
            <w:tcW w:w="1080" w:type="dxa"/>
            <w:vAlign w:val="bottom"/>
            <w:gridSpan w:val="5"/>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20</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Controls and Procedures</w:t>
              </w:r>
            </w:hyperlink>
          </w:p>
        </w:tc>
        <w:tc>
          <w:tcPr>
            <w:tcW w:w="6160" w:type="dxa"/>
            <w:vAlign w:val="bottom"/>
            <w:gridSpan w:val="16"/>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20</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bottom w:val="single" w:sz="8" w:color="0000FF"/>
            </w:tcBorders>
            <w:gridSpan w:val="6"/>
          </w:tcPr>
          <w:p>
            <w:pPr>
              <w:spacing w:after="0"/>
              <w:rPr>
                <w:rFonts w:ascii="Arial" w:cs="Arial" w:eastAsia="Arial" w:hAnsi="Arial"/>
                <w:sz w:val="18"/>
                <w:szCs w:val="18"/>
                <w:b w:val="1"/>
                <w:bCs w:val="1"/>
                <w:color w:val="0000FF"/>
                <w:w w:val="99"/>
              </w:rPr>
            </w:pPr>
            <w:hyperlink w:anchor="page22">
              <w:r>
                <w:rPr>
                  <w:rFonts w:ascii="Arial" w:cs="Arial" w:eastAsia="Arial" w:hAnsi="Arial"/>
                  <w:sz w:val="18"/>
                  <w:szCs w:val="18"/>
                  <w:b w:val="1"/>
                  <w:bCs w:val="1"/>
                  <w:color w:val="0000FF"/>
                  <w:w w:val="99"/>
                </w:rPr>
                <w:t>OTHER INFORMATION</w:t>
              </w:r>
            </w:hyperlink>
          </w:p>
        </w:tc>
        <w:tc>
          <w:tcPr>
            <w:tcW w:w="6180" w:type="dxa"/>
            <w:vAlign w:val="bottom"/>
            <w:gridSpan w:val="17"/>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Legal Proceedings</w:t>
              </w:r>
            </w:hyperlink>
          </w:p>
        </w:tc>
        <w:tc>
          <w:tcPr>
            <w:tcW w:w="6660" w:type="dxa"/>
            <w:vAlign w:val="bottom"/>
            <w:gridSpan w:val="19"/>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160" w:type="dxa"/>
            <w:vAlign w:val="bottom"/>
            <w:gridSpan w:val="2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Risk Factors</w:t>
              </w:r>
            </w:hyperlink>
          </w:p>
        </w:tc>
        <w:tc>
          <w:tcPr>
            <w:tcW w:w="100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r>
      <w:tr>
        <w:trPr>
          <w:trHeight w:val="20"/>
        </w:trPr>
        <w:tc>
          <w:tcPr>
            <w:tcW w:w="11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Unregistered Sales of Equity Securities and Use of Proceeds</w:t>
              </w:r>
            </w:hyperlink>
          </w:p>
        </w:tc>
        <w:tc>
          <w:tcPr>
            <w:tcW w:w="3300" w:type="dxa"/>
            <w:vAlign w:val="bottom"/>
            <w:gridSpan w:val="7"/>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Defaults Upon Senior Securities</w:t>
              </w:r>
            </w:hyperlink>
          </w:p>
        </w:tc>
        <w:tc>
          <w:tcPr>
            <w:tcW w:w="5600" w:type="dxa"/>
            <w:vAlign w:val="bottom"/>
            <w:gridSpan w:val="14"/>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Mine Safety Disclosures</w:t>
              </w:r>
            </w:hyperlink>
          </w:p>
        </w:tc>
        <w:tc>
          <w:tcPr>
            <w:tcW w:w="6220" w:type="dxa"/>
            <w:vAlign w:val="bottom"/>
            <w:gridSpan w:val="18"/>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8160" w:type="dxa"/>
            <w:vAlign w:val="bottom"/>
            <w:gridSpan w:val="2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Other Information</w:t>
              </w:r>
            </w:hyperlink>
          </w:p>
        </w:tc>
        <w:tc>
          <w:tcPr>
            <w:tcW w:w="100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rFonts w:ascii="Arial" w:cs="Arial" w:eastAsia="Arial" w:hAnsi="Arial"/>
                <w:sz w:val="18"/>
                <w:szCs w:val="18"/>
                <w:color w:val="0000FF"/>
                <w:w w:val="98"/>
              </w:rPr>
            </w:pPr>
            <w:hyperlink w:anchor="page23">
              <w:r>
                <w:rPr>
                  <w:rFonts w:ascii="Arial" w:cs="Arial" w:eastAsia="Arial" w:hAnsi="Arial"/>
                  <w:sz w:val="18"/>
                  <w:szCs w:val="18"/>
                  <w:color w:val="0000FF"/>
                  <w:w w:val="98"/>
                </w:rPr>
                <w:t>Exhibits</w:t>
              </w:r>
            </w:hyperlink>
          </w:p>
        </w:tc>
        <w:tc>
          <w:tcPr>
            <w:tcW w:w="760" w:type="dxa"/>
            <w:vAlign w:val="bottom"/>
            <w:tcBorders>
              <w:top w:val="single" w:sz="8" w:color="0000FF"/>
            </w:tcBorders>
            <w:gridSpan w:val="2"/>
          </w:tcPr>
          <w:p>
            <w:pPr>
              <w:spacing w:after="0"/>
              <w:rPr>
                <w:sz w:val="22"/>
                <w:szCs w:val="22"/>
                <w:color w:val="auto"/>
              </w:rPr>
            </w:pPr>
          </w:p>
        </w:tc>
        <w:tc>
          <w:tcPr>
            <w:tcW w:w="6760" w:type="dxa"/>
            <w:vAlign w:val="bottom"/>
            <w:gridSpan w:val="20"/>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60" w:top="886" w:right="1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26,</w:t>
            </w:r>
          </w:p>
        </w:tc>
        <w:tc>
          <w:tcPr>
            <w:tcW w:w="240" w:type="dxa"/>
            <w:vAlign w:val="bottom"/>
          </w:tcPr>
          <w:p>
            <w:pPr>
              <w:spacing w:after="0"/>
              <w:rPr>
                <w:sz w:val="16"/>
                <w:szCs w:val="16"/>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28,</w:t>
            </w:r>
          </w:p>
        </w:tc>
      </w:tr>
      <w:tr>
        <w:trPr>
          <w:trHeight w:val="215"/>
        </w:trPr>
        <w:tc>
          <w:tcPr>
            <w:tcW w:w="8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Trade accounts receivables,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90,057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90,603</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63,864</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r>
      <w:tr>
        <w:trPr>
          <w:trHeight w:val="206"/>
        </w:trPr>
        <w:tc>
          <w:tcPr>
            <w:tcW w:w="8220" w:type="dxa"/>
            <w:vAlign w:val="bottom"/>
          </w:tcPr>
          <w:p>
            <w:pPr>
              <w:ind w:left="80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169,675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163,007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300,404</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accumulated depreciation</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155,792</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property, plant, and equipment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144,612</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Right-of-use assets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11,630</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70,720</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 net of accumulated amortization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76,368</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6,213</w:t>
            </w:r>
          </w:p>
        </w:tc>
      </w:tr>
      <w:tr>
        <w:trPr>
          <w:trHeight w:val="209"/>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164,931</w:t>
            </w:r>
          </w:p>
        </w:tc>
      </w:tr>
      <w:tr>
        <w:trPr>
          <w:trHeight w:val="209"/>
        </w:trPr>
        <w:tc>
          <w:tcPr>
            <w:tcW w:w="822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477,804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 trade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37,313</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Accrued payroll and employee benefits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18,048</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9,907</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lease liability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r>
      <w:tr>
        <w:trPr>
          <w:trHeight w:val="213"/>
        </w:trPr>
        <w:tc>
          <w:tcPr>
            <w:tcW w:w="8220" w:type="dxa"/>
            <w:vAlign w:val="bottom"/>
          </w:tcPr>
          <w:p>
            <w:pPr>
              <w:ind w:left="360"/>
              <w:spacing w:after="0"/>
              <w:rPr>
                <w:sz w:val="20"/>
                <w:szCs w:val="20"/>
                <w:color w:val="auto"/>
              </w:rPr>
            </w:pPr>
            <w:r>
              <w:rPr>
                <w:rFonts w:ascii="Arial" w:cs="Arial" w:eastAsia="Arial" w:hAnsi="Arial"/>
                <w:sz w:val="16"/>
                <w:szCs w:val="16"/>
                <w:color w:val="auto"/>
              </w:rPr>
              <w:t>Container deposits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1,452</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w:t>
            </w:r>
          </w:p>
        </w:tc>
      </w:tr>
      <w:tr>
        <w:trPr>
          <w:trHeight w:val="206"/>
        </w:trPr>
        <w:tc>
          <w:tcPr>
            <w:tcW w:w="8220" w:type="dxa"/>
            <w:vAlign w:val="bottom"/>
          </w:tcPr>
          <w:p>
            <w:pPr>
              <w:ind w:left="80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71,549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70,462</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88,845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10,231</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WITHDRAWAL LIABILITY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4,631</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24,445</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COMPENSATION LIABILITY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7,322</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w:t>
            </w:r>
          </w:p>
        </w:tc>
      </w:tr>
      <w:tr>
        <w:trPr>
          <w:trHeight w:val="213"/>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207,304</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7"/>
        </w:trPr>
        <w:tc>
          <w:tcPr>
            <w:tcW w:w="8220" w:type="dxa"/>
            <w:vAlign w:val="bottom"/>
          </w:tcPr>
          <w:p>
            <w:pPr>
              <w:ind w:left="360"/>
              <w:spacing w:after="0" w:line="178" w:lineRule="exact"/>
              <w:rPr>
                <w:sz w:val="20"/>
                <w:szCs w:val="20"/>
                <w:color w:val="auto"/>
              </w:rPr>
            </w:pPr>
            <w:r>
              <w:rPr>
                <w:rFonts w:ascii="Arial" w:cs="Arial" w:eastAsia="Arial" w:hAnsi="Arial"/>
                <w:sz w:val="16"/>
                <w:szCs w:val="16"/>
                <w:color w:val="auto"/>
              </w:rPr>
              <w:t>Common stock; authorized: 60,000,000 shares of $0.01 par value; 20,888,923 and 20,969,746 shares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8"/>
        </w:trPr>
        <w:tc>
          <w:tcPr>
            <w:tcW w:w="8220" w:type="dxa"/>
            <w:vAlign w:val="bottom"/>
          </w:tcPr>
          <w:p>
            <w:pPr>
              <w:ind w:left="360"/>
              <w:spacing w:after="0"/>
              <w:rPr>
                <w:sz w:val="20"/>
                <w:szCs w:val="20"/>
                <w:color w:val="auto"/>
              </w:rPr>
            </w:pPr>
            <w:r>
              <w:rPr>
                <w:rFonts w:ascii="Arial" w:cs="Arial" w:eastAsia="Arial" w:hAnsi="Arial"/>
                <w:sz w:val="16"/>
                <w:szCs w:val="16"/>
                <w:color w:val="auto"/>
              </w:rPr>
              <w:t>issued and outstanding as of September 26, 2021 and March 28, 2021, respectively</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w:t>
            </w:r>
          </w:p>
        </w:tc>
      </w:tr>
      <w:tr>
        <w:trPr>
          <w:trHeight w:val="219"/>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51,138</w:t>
            </w:r>
          </w:p>
        </w:tc>
      </w:tr>
      <w:tr>
        <w:trPr>
          <w:trHeight w:val="21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239,303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213,898</w:t>
            </w:r>
          </w:p>
        </w:tc>
      </w:tr>
      <w:tr>
        <w:trPr>
          <w:trHeight w:val="210"/>
        </w:trPr>
        <w:tc>
          <w:tcPr>
            <w:tcW w:w="82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284,313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265,246</w:t>
            </w:r>
          </w:p>
        </w:tc>
      </w:tr>
      <w:tr>
        <w:trPr>
          <w:trHeight w:val="209"/>
        </w:trPr>
        <w:tc>
          <w:tcPr>
            <w:tcW w:w="8220" w:type="dxa"/>
            <w:vAlign w:val="bottom"/>
          </w:tcPr>
          <w:p>
            <w:pPr>
              <w:ind w:left="80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477,804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472,550</w:t>
            </w:r>
          </w:p>
        </w:tc>
      </w:tr>
      <w:tr>
        <w:trPr>
          <w:trHeight w:val="24"/>
        </w:trPr>
        <w:tc>
          <w:tcPr>
            <w:tcW w:w="8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6"/>
                <w:szCs w:val="16"/>
                <w:b w:val="1"/>
                <w:bCs w:val="1"/>
                <w:color w:val="auto"/>
              </w:rPr>
              <w:t>Six Months Ended</w:t>
            </w:r>
          </w:p>
        </w:tc>
      </w:tr>
      <w:tr>
        <w:trPr>
          <w:trHeight w:val="145"/>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2"/>
                <w:szCs w:val="12"/>
                <w:color w:val="auto"/>
              </w:rPr>
            </w:pPr>
          </w:p>
        </w:tc>
        <w:tc>
          <w:tcPr>
            <w:tcW w:w="12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2"/>
                <w:szCs w:val="12"/>
                <w:color w:val="auto"/>
              </w:rPr>
            </w:pPr>
          </w:p>
        </w:tc>
        <w:tc>
          <w:tcPr>
            <w:tcW w:w="130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2"/>
                <w:szCs w:val="12"/>
                <w:color w:val="auto"/>
              </w:rPr>
            </w:pPr>
          </w:p>
        </w:tc>
        <w:tc>
          <w:tcPr>
            <w:tcW w:w="1180" w:type="dxa"/>
            <w:vAlign w:val="bottom"/>
          </w:tcPr>
          <w:p>
            <w:pPr>
              <w:jc w:val="right"/>
              <w:ind w:right="92"/>
              <w:spacing w:after="0" w:line="145" w:lineRule="exact"/>
              <w:rPr>
                <w:sz w:val="20"/>
                <w:szCs w:val="20"/>
                <w:color w:val="auto"/>
              </w:rPr>
            </w:pPr>
            <w:r>
              <w:rPr>
                <w:rFonts w:ascii="Arial" w:cs="Arial" w:eastAsia="Arial" w:hAnsi="Arial"/>
                <w:sz w:val="14"/>
                <w:szCs w:val="14"/>
                <w:b w:val="1"/>
                <w:bCs w:val="1"/>
                <w:color w:val="auto"/>
              </w:rPr>
              <w:t>September 27,</w:t>
            </w:r>
          </w:p>
        </w:tc>
      </w:tr>
      <w:tr>
        <w:trPr>
          <w:trHeight w:val="176"/>
        </w:trPr>
        <w:tc>
          <w:tcPr>
            <w:tcW w:w="5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290,973</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(227,200)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63,773</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(31,259)</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32,514</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32,599</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23,978</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20,986,542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21,055,782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21,010,422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21,053,022</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21,140,087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21,245,762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21,168,809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21,268,562</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5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0.13000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0.11625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0.25250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0.23250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2"/>
                <w:szCs w:val="12"/>
                <w:color w:val="auto"/>
              </w:rPr>
            </w:pPr>
          </w:p>
        </w:tc>
        <w:tc>
          <w:tcPr>
            <w:tcW w:w="12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2"/>
                <w:szCs w:val="12"/>
                <w:color w:val="auto"/>
              </w:rPr>
            </w:pPr>
          </w:p>
        </w:tc>
        <w:tc>
          <w:tcPr>
            <w:tcW w:w="13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September 26,</w:t>
            </w:r>
          </w:p>
        </w:tc>
        <w:tc>
          <w:tcPr>
            <w:tcW w:w="140" w:type="dxa"/>
            <w:vAlign w:val="bottom"/>
          </w:tcPr>
          <w:p>
            <w:pPr>
              <w:spacing w:after="0"/>
              <w:rPr>
                <w:sz w:val="12"/>
                <w:szCs w:val="12"/>
                <w:color w:val="auto"/>
              </w:rPr>
            </w:pPr>
          </w:p>
        </w:tc>
        <w:tc>
          <w:tcPr>
            <w:tcW w:w="118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September 27,</w:t>
            </w:r>
          </w:p>
        </w:tc>
      </w:tr>
      <w:tr>
        <w:trPr>
          <w:trHeight w:val="175"/>
        </w:trPr>
        <w:tc>
          <w:tcPr>
            <w:tcW w:w="5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interest rate swap</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24,007</w:t>
            </w:r>
          </w:p>
        </w:tc>
      </w:tr>
      <w:tr>
        <w:trPr>
          <w:trHeight w:val="21"/>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ind w:right="4740"/>
        <w:spacing w:after="0" w:line="228" w:lineRule="auto"/>
        <w:rPr>
          <w:sz w:val="20"/>
          <w:szCs w:val="20"/>
          <w:color w:val="auto"/>
        </w:rPr>
      </w:pPr>
      <w:r>
        <w:rPr>
          <w:rFonts w:ascii="Arial" w:cs="Arial" w:eastAsia="Arial" w:hAnsi="Arial"/>
          <w:sz w:val="18"/>
          <w:szCs w:val="18"/>
          <w:b w:val="1"/>
          <w:bCs w:val="1"/>
          <w:color w:val="auto"/>
        </w:rPr>
        <w:t xml:space="preserve">CONDENSED CONSOLIDATED STATEMENTS OF SHAREHOLDERS’ EQUITY </w:t>
      </w:r>
      <w:r>
        <w:rPr>
          <w:rFonts w:ascii="Arial" w:cs="Arial" w:eastAsia="Arial" w:hAnsi="Arial"/>
          <w:sz w:val="14"/>
          <w:szCs w:val="14"/>
          <w:b w:val="1"/>
          <w:bCs w:val="1"/>
          <w:color w:val="auto"/>
        </w:rPr>
        <w:t>(In thousands, except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3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0"/>
                <w:szCs w:val="10"/>
                <w:color w:val="auto"/>
              </w:rPr>
            </w:pPr>
          </w:p>
        </w:tc>
        <w:tc>
          <w:tcPr>
            <w:tcW w:w="230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300"/>
              <w:spacing w:after="0" w:line="115"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0"/>
                <w:szCs w:val="10"/>
                <w:color w:val="auto"/>
              </w:rPr>
            </w:pPr>
          </w:p>
        </w:tc>
        <w:tc>
          <w:tcPr>
            <w:tcW w:w="1320" w:type="dxa"/>
            <w:vAlign w:val="bottom"/>
            <w:gridSpan w:val="2"/>
          </w:tcPr>
          <w:p>
            <w:pPr>
              <w:jc w:val="center"/>
              <w:ind w:right="220"/>
              <w:spacing w:after="0" w:line="115"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1080" w:type="dxa"/>
            <w:vAlign w:val="bottom"/>
          </w:tcPr>
          <w:p>
            <w:pPr>
              <w:jc w:val="center"/>
              <w:ind w:right="21"/>
              <w:spacing w:after="0" w:line="11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110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080" w:type="dxa"/>
            <w:vAlign w:val="bottom"/>
          </w:tcPr>
          <w:p>
            <w:pPr>
              <w:jc w:val="center"/>
              <w:ind w:right="41"/>
              <w:spacing w:after="0" w:line="12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75"/>
        </w:trPr>
        <w:tc>
          <w:tcPr>
            <w:tcW w:w="37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7"/>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28,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20,969,746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51,138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213,898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265,246</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spacing w:after="0"/>
              <w:rPr>
                <w:sz w:val="20"/>
                <w:szCs w:val="20"/>
                <w:color w:val="auto"/>
              </w:rPr>
            </w:pPr>
            <w:r>
              <w:rPr>
                <w:rFonts w:ascii="Arial" w:cs="Arial" w:eastAsia="Arial" w:hAnsi="Arial"/>
                <w:sz w:val="16"/>
                <w:szCs w:val="16"/>
                <w:color w:val="auto"/>
              </w:rPr>
              <w:t>123,002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spacing w:after="0"/>
              <w:rPr>
                <w:sz w:val="20"/>
                <w:szCs w:val="20"/>
                <w:color w:val="auto"/>
              </w:rPr>
            </w:pPr>
            <w:r>
              <w:rPr>
                <w:rFonts w:ascii="Arial" w:cs="Arial" w:eastAsia="Arial" w:hAnsi="Arial"/>
                <w:sz w:val="16"/>
                <w:szCs w:val="16"/>
                <w:color w:val="auto"/>
              </w:rPr>
              <w:t>(100,954)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16,628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16,628</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Arial" w:cs="Arial" w:eastAsia="Arial" w:hAnsi="Arial"/>
                <w:sz w:val="16"/>
                <w:szCs w:val="16"/>
                <w:color w:val="auto"/>
              </w:rPr>
              <w:t>BALANCE — June 27, 2021</w:t>
            </w:r>
          </w:p>
        </w:tc>
        <w:tc>
          <w:tcPr>
            <w:tcW w:w="1100" w:type="dxa"/>
            <w:vAlign w:val="bottom"/>
          </w:tcPr>
          <w:p>
            <w:pPr>
              <w:jc w:val="right"/>
              <w:spacing w:after="0"/>
              <w:rPr>
                <w:sz w:val="20"/>
                <w:szCs w:val="20"/>
                <w:color w:val="auto"/>
              </w:rPr>
            </w:pPr>
            <w:r>
              <w:rPr>
                <w:rFonts w:ascii="Arial" w:cs="Arial" w:eastAsia="Arial" w:hAnsi="Arial"/>
                <w:sz w:val="16"/>
                <w:szCs w:val="16"/>
                <w:color w:val="auto"/>
              </w:rPr>
              <w:t>20,946,404</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47,069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227,926</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275,205</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40" w:type="dxa"/>
            <w:vAlign w:val="bottom"/>
            <w:shd w:val="clear" w:color="auto" w:fill="CCEEFF"/>
          </w:tcPr>
          <w:p>
            <w:pPr>
              <w:ind w:left="360"/>
              <w:spacing w:after="0" w:line="180" w:lineRule="exact"/>
              <w:rPr>
                <w:sz w:val="20"/>
                <w:szCs w:val="20"/>
                <w:color w:val="auto"/>
              </w:rPr>
            </w:pPr>
            <w:r>
              <w:rPr>
                <w:rFonts w:ascii="Arial" w:cs="Arial" w:eastAsia="Arial" w:hAnsi="Arial"/>
                <w:sz w:val="16"/>
                <w:szCs w:val="16"/>
                <w:color w:val="auto"/>
              </w:rPr>
              <w:t>Cash dividends declared and paid</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100" w:type="dxa"/>
            <w:vAlign w:val="bottom"/>
          </w:tcPr>
          <w:p>
            <w:pPr>
              <w:jc w:val="right"/>
              <w:spacing w:after="0"/>
              <w:rPr>
                <w:sz w:val="20"/>
                <w:szCs w:val="20"/>
                <w:color w:val="auto"/>
              </w:rPr>
            </w:pPr>
            <w:r>
              <w:rPr>
                <w:rFonts w:ascii="Arial" w:cs="Arial" w:eastAsia="Arial" w:hAnsi="Arial"/>
                <w:sz w:val="16"/>
                <w:szCs w:val="16"/>
                <w:color w:val="auto"/>
              </w:rPr>
              <w:t>40,300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14,133</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14,133</w:t>
            </w:r>
          </w:p>
        </w:tc>
        <w:tc>
          <w:tcPr>
            <w:tcW w:w="0" w:type="dxa"/>
            <w:vAlign w:val="bottom"/>
          </w:tcPr>
          <w:p>
            <w:pPr>
              <w:spacing w:after="0"/>
              <w:rPr>
                <w:sz w:val="1"/>
                <w:szCs w:val="1"/>
                <w:color w:val="auto"/>
              </w:rPr>
            </w:pPr>
          </w:p>
        </w:tc>
      </w:tr>
      <w:tr>
        <w:trPr>
          <w:trHeight w:val="205"/>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September 26,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20,888,923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44,801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239,303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284,313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108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23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740" w:type="dxa"/>
            <w:vAlign w:val="bottom"/>
          </w:tcPr>
          <w:p>
            <w:pPr>
              <w:spacing w:after="0"/>
              <w:rPr>
                <w:sz w:val="8"/>
                <w:szCs w:val="8"/>
                <w:color w:val="auto"/>
              </w:rPr>
            </w:pPr>
          </w:p>
        </w:tc>
        <w:tc>
          <w:tcPr>
            <w:tcW w:w="230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8"/>
                <w:szCs w:val="8"/>
                <w:color w:val="auto"/>
              </w:rPr>
            </w:pPr>
          </w:p>
        </w:tc>
        <w:tc>
          <w:tcPr>
            <w:tcW w:w="106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8"/>
                <w:szCs w:val="8"/>
                <w:color w:val="auto"/>
              </w:rPr>
            </w:pPr>
          </w:p>
        </w:tc>
        <w:tc>
          <w:tcPr>
            <w:tcW w:w="13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8"/>
                <w:szCs w:val="8"/>
                <w:color w:val="auto"/>
              </w:rPr>
            </w:pPr>
          </w:p>
        </w:tc>
        <w:tc>
          <w:tcPr>
            <w:tcW w:w="1080" w:type="dxa"/>
            <w:vAlign w:val="bottom"/>
            <w:vMerge w:val="restart"/>
          </w:tcPr>
          <w:p>
            <w:pPr>
              <w:jc w:val="center"/>
              <w:ind w:right="41"/>
              <w:spacing w:after="0" w:line="135"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line="20" w:lineRule="exact"/>
              <w:rPr>
                <w:sz w:val="1"/>
                <w:szCs w:val="1"/>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5"/>
                <w:szCs w:val="15"/>
                <w:color w:val="auto"/>
              </w:rPr>
            </w:pPr>
          </w:p>
        </w:tc>
        <w:tc>
          <w:tcPr>
            <w:tcW w:w="1080" w:type="dxa"/>
            <w:vAlign w:val="bottom"/>
          </w:tcPr>
          <w:p>
            <w:pPr>
              <w:jc w:val="center"/>
              <w:ind w:right="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2"/>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29,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21,024,458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233,484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40" w:type="dxa"/>
            <w:vAlign w:val="bottom"/>
            <w:vMerge w:val="continue"/>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spacing w:after="0"/>
              <w:rPr>
                <w:sz w:val="20"/>
                <w:szCs w:val="20"/>
                <w:color w:val="auto"/>
              </w:rPr>
            </w:pPr>
            <w:r>
              <w:rPr>
                <w:rFonts w:ascii="Arial" w:cs="Arial" w:eastAsia="Arial" w:hAnsi="Arial"/>
                <w:sz w:val="16"/>
                <w:szCs w:val="16"/>
                <w:color w:val="auto"/>
              </w:rPr>
              <w:t>10,526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Other comprehensive loss, net of tax</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11,788</w:t>
            </w:r>
          </w:p>
        </w:tc>
        <w:tc>
          <w:tcPr>
            <w:tcW w:w="0" w:type="dxa"/>
            <w:vAlign w:val="bottom"/>
          </w:tcPr>
          <w:p>
            <w:pPr>
              <w:spacing w:after="0"/>
              <w:rPr>
                <w:sz w:val="1"/>
                <w:szCs w:val="1"/>
                <w:color w:val="auto"/>
              </w:rPr>
            </w:pPr>
          </w:p>
        </w:tc>
      </w:tr>
      <w:tr>
        <w:trPr>
          <w:trHeight w:val="206"/>
        </w:trPr>
        <w:tc>
          <w:tcPr>
            <w:tcW w:w="3740" w:type="dxa"/>
            <w:vAlign w:val="bottom"/>
          </w:tcPr>
          <w:p>
            <w:pPr>
              <w:ind w:left="20"/>
              <w:spacing w:after="0"/>
              <w:rPr>
                <w:sz w:val="20"/>
                <w:szCs w:val="20"/>
                <w:color w:val="auto"/>
              </w:rPr>
            </w:pPr>
            <w:r>
              <w:rPr>
                <w:rFonts w:ascii="Arial" w:cs="Arial" w:eastAsia="Arial" w:hAnsi="Arial"/>
                <w:sz w:val="16"/>
                <w:szCs w:val="16"/>
                <w:color w:val="auto"/>
              </w:rPr>
              <w:t>BALANCE — June 28,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21,031,670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51,051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192,256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243,429</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40" w:type="dxa"/>
            <w:vAlign w:val="bottom"/>
            <w:shd w:val="clear" w:color="auto" w:fill="CCEEFF"/>
          </w:tcPr>
          <w:p>
            <w:pPr>
              <w:ind w:left="360"/>
              <w:spacing w:after="0" w:line="180" w:lineRule="exact"/>
              <w:rPr>
                <w:sz w:val="20"/>
                <w:szCs w:val="20"/>
                <w:color w:val="auto"/>
              </w:rPr>
            </w:pPr>
            <w:r>
              <w:rPr>
                <w:rFonts w:ascii="Arial" w:cs="Arial" w:eastAsia="Arial" w:hAnsi="Arial"/>
                <w:sz w:val="16"/>
                <w:szCs w:val="16"/>
                <w:color w:val="auto"/>
              </w:rPr>
              <w:t>Cash dividends declared and paid</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Share-based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Vesting of restricted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ESPP shares issued</w:t>
            </w:r>
          </w:p>
        </w:tc>
        <w:tc>
          <w:tcPr>
            <w:tcW w:w="1100" w:type="dxa"/>
            <w:vAlign w:val="bottom"/>
          </w:tcPr>
          <w:p>
            <w:pPr>
              <w:jc w:val="right"/>
              <w:spacing w:after="0"/>
              <w:rPr>
                <w:sz w:val="20"/>
                <w:szCs w:val="20"/>
                <w:color w:val="auto"/>
              </w:rPr>
            </w:pPr>
            <w:r>
              <w:rPr>
                <w:rFonts w:ascii="Arial" w:cs="Arial" w:eastAsia="Arial" w:hAnsi="Arial"/>
                <w:sz w:val="16"/>
                <w:szCs w:val="16"/>
                <w:color w:val="auto"/>
              </w:rPr>
              <w:t>42,720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gain, net of tax</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37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12,190</w:t>
            </w:r>
          </w:p>
        </w:tc>
        <w:tc>
          <w:tcPr>
            <w:tcW w:w="0" w:type="dxa"/>
            <w:vAlign w:val="bottom"/>
          </w:tcPr>
          <w:p>
            <w:pPr>
              <w:spacing w:after="0"/>
              <w:rPr>
                <w:sz w:val="1"/>
                <w:szCs w:val="1"/>
                <w:color w:val="auto"/>
              </w:rPr>
            </w:pPr>
          </w:p>
        </w:tc>
      </w:tr>
      <w:tr>
        <w:trPr>
          <w:trHeight w:val="234"/>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September 27,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21,090,406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201,966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254,637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Six Months Ended</w:t>
            </w:r>
          </w:p>
        </w:tc>
      </w:tr>
      <w:tr>
        <w:trPr>
          <w:trHeight w:val="159"/>
        </w:trPr>
        <w:tc>
          <w:tcPr>
            <w:tcW w:w="8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September 26,</w:t>
            </w:r>
          </w:p>
        </w:tc>
        <w:tc>
          <w:tcPr>
            <w:tcW w:w="140" w:type="dxa"/>
            <w:vAlign w:val="bottom"/>
          </w:tcPr>
          <w:p>
            <w:pPr>
              <w:spacing w:after="0"/>
              <w:rPr>
                <w:sz w:val="13"/>
                <w:szCs w:val="13"/>
                <w:color w:val="auto"/>
              </w:rPr>
            </w:pPr>
          </w:p>
        </w:tc>
        <w:tc>
          <w:tcPr>
            <w:tcW w:w="1340" w:type="dxa"/>
            <w:vAlign w:val="bottom"/>
          </w:tcPr>
          <w:p>
            <w:pPr>
              <w:jc w:val="right"/>
              <w:ind w:right="99"/>
              <w:spacing w:after="0" w:line="158" w:lineRule="exact"/>
              <w:rPr>
                <w:sz w:val="20"/>
                <w:szCs w:val="20"/>
                <w:color w:val="auto"/>
              </w:rPr>
            </w:pPr>
            <w:r>
              <w:rPr>
                <w:rFonts w:ascii="Arial" w:cs="Arial" w:eastAsia="Arial" w:hAnsi="Arial"/>
                <w:sz w:val="16"/>
                <w:szCs w:val="16"/>
                <w:b w:val="1"/>
                <w:bCs w:val="1"/>
                <w:color w:val="auto"/>
              </w:rPr>
              <w:t>September 27,</w:t>
            </w:r>
          </w:p>
        </w:tc>
      </w:tr>
      <w:tr>
        <w:trPr>
          <w:trHeight w:val="215"/>
        </w:trPr>
        <w:tc>
          <w:tcPr>
            <w:tcW w:w="8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30,761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23,978</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Reconciliation to cash flows: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11,065</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leases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Gain on deferred compensation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(804)</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 compensation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r>
      <w:tr>
        <w:trPr>
          <w:trHeight w:val="213"/>
        </w:trPr>
        <w:tc>
          <w:tcPr>
            <w:tcW w:w="8060" w:type="dxa"/>
            <w:vAlign w:val="bottom"/>
          </w:tcPr>
          <w:p>
            <w:pPr>
              <w:ind w:left="6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9"/>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Changes in operating accounts providing (using) cash:</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Trade receivables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(5,811)</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(8,004)</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(1,421)</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Accrued 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(2,320)</w:t>
            </w:r>
          </w:p>
        </w:tc>
      </w:tr>
      <w:tr>
        <w:trPr>
          <w:trHeight w:val="213"/>
        </w:trPr>
        <w:tc>
          <w:tcPr>
            <w:tcW w:w="8060" w:type="dxa"/>
            <w:vAlign w:val="bottom"/>
          </w:tcPr>
          <w:p>
            <w:pPr>
              <w:ind w:left="1120"/>
              <w:spacing w:after="0"/>
              <w:rPr>
                <w:sz w:val="20"/>
                <w:szCs w:val="20"/>
                <w:color w:val="auto"/>
              </w:rPr>
            </w:pPr>
            <w:r>
              <w:rPr>
                <w:rFonts w:ascii="Arial" w:cs="Arial" w:eastAsia="Arial" w:hAnsi="Arial"/>
                <w:sz w:val="16"/>
                <w:szCs w:val="16"/>
                <w:color w:val="auto"/>
              </w:rPr>
              <w:t>Lease liabilities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(963)</w:t>
            </w:r>
          </w:p>
        </w:tc>
      </w:tr>
      <w:tr>
        <w:trPr>
          <w:trHeight w:val="219"/>
        </w:trPr>
        <w:tc>
          <w:tcPr>
            <w:tcW w:w="80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r>
      <w:tr>
        <w:trPr>
          <w:trHeight w:val="213"/>
        </w:trPr>
        <w:tc>
          <w:tcPr>
            <w:tcW w:w="80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20,138</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Acquisitions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07"/>
        </w:trPr>
        <w:tc>
          <w:tcPr>
            <w:tcW w:w="8060" w:type="dxa"/>
            <w:vAlign w:val="bottom"/>
          </w:tcPr>
          <w:p>
            <w:pPr>
              <w:ind w:left="14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(33,015)</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dividends declared and paid</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(4,959)</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New shares issued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Shares surrendered for payroll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(payments on) proceeds from revolving loan</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16,000</w:t>
            </w:r>
          </w:p>
        </w:tc>
      </w:tr>
      <w:tr>
        <w:trPr>
          <w:trHeight w:val="213"/>
        </w:trPr>
        <w:tc>
          <w:tcPr>
            <w:tcW w:w="80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Net cash (used in)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(28,355)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11,760</w:t>
            </w:r>
          </w:p>
        </w:tc>
      </w:tr>
      <w:tr>
        <w:trPr>
          <w:trHeight w:val="206"/>
        </w:trPr>
        <w:tc>
          <w:tcPr>
            <w:tcW w:w="80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(1,117)</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4,277</w:t>
            </w:r>
          </w:p>
        </w:tc>
      </w:tr>
      <w:tr>
        <w:trPr>
          <w:trHeight w:val="207"/>
        </w:trPr>
        <w:tc>
          <w:tcPr>
            <w:tcW w:w="80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6"/>
        </w:trPr>
        <w:tc>
          <w:tcPr>
            <w:tcW w:w="8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7,845</w:t>
            </w:r>
          </w:p>
        </w:tc>
      </w:tr>
      <w:tr>
        <w:trPr>
          <w:trHeight w:val="213"/>
        </w:trPr>
        <w:tc>
          <w:tcPr>
            <w:tcW w:w="8060" w:type="dxa"/>
            <w:vAlign w:val="bottom"/>
          </w:tcPr>
          <w:p>
            <w:pPr>
              <w:ind w:left="360"/>
              <w:spacing w:after="0"/>
              <w:rPr>
                <w:sz w:val="20"/>
                <w:szCs w:val="20"/>
                <w:color w:val="auto"/>
              </w:rPr>
            </w:pPr>
            <w:r>
              <w:rPr>
                <w:rFonts w:ascii="Arial" w:cs="Arial" w:eastAsia="Arial" w:hAnsi="Arial"/>
                <w:sz w:val="16"/>
                <w:szCs w:val="16"/>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19"/>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ind w:right="40"/>
        <w:spacing w:after="0" w:line="255"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18">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six months ended September 26, 2021 are not necessarily indicative of the results that may be expected for the full year.</w:t>
      </w:r>
    </w:p>
    <w:p>
      <w:pPr>
        <w:spacing w:after="0" w:line="23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References to fiscal 2020 refer to the fiscal year ended March 29, 2020, references to fiscal 2021 refer to the fiscal year ended March 28, 2021 and references to fiscal 2022 refer to the fiscal year ending April 3, 2022. As compared to our normal 52-week fiscal years, fiscal 2022 will be a 53-week year, with the extra week to be recorded in our fourth quarter's results of operations.</w:t>
      </w:r>
    </w:p>
    <w:p>
      <w:pPr>
        <w:spacing w:after="0" w:line="2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condensed consolidated financial statements in conformity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206" w:lineRule="exact"/>
        <w:rPr>
          <w:sz w:val="20"/>
          <w:szCs w:val="20"/>
          <w:color w:val="auto"/>
        </w:rPr>
      </w:pPr>
    </w:p>
    <w:p>
      <w:pPr>
        <w:jc w:val="both"/>
        <w:ind w:right="180"/>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Policies. </w:t>
      </w:r>
      <w:r>
        <w:rPr>
          <w:rFonts w:ascii="Arial" w:cs="Arial" w:eastAsia="Arial" w:hAnsi="Arial"/>
          <w:sz w:val="18"/>
          <w:szCs w:val="18"/>
          <w:color w:val="auto"/>
        </w:rPr>
        <w:t>The accounting policies we follow are set forth in Note 1 – Nature of Business and Significant Accounting Policies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consolidated financial statements in our </w:t>
      </w:r>
      <w:hyperlink r:id="rId18">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 previously filed with the SEC. There has been no significant change in our accounting policies since the end of fiscal 2021.</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26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Acquisition of Southeast Water Systems LLC: </w:t>
      </w:r>
      <w:r>
        <w:rPr>
          <w:rFonts w:ascii="Arial" w:cs="Arial" w:eastAsia="Arial" w:hAnsi="Arial"/>
          <w:sz w:val="18"/>
          <w:szCs w:val="18"/>
          <w:color w:val="auto"/>
        </w:rPr>
        <w:t>On September 20, 2021, we acquired substantially all the assets of Southeast Water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LLC, under the terms of an asset purchase agreement with Southeast Water Systems and its shareholders. We paid $1.2 million at closing for the acquisition and may pay up to an additional $1.0 million over the next three years based on achieving certain goals. Southeast Water Systems supplied and installed water treatment chemical equipment to its customers located primarily in Alabama, southern Georgia and the Florida panhandle.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2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acquisition has been accounted for under the acquisition method of accounting, under which the total purchase price is allocated to the net tangible and intangible assets and liabilities of Southeast Water Systems acquired in connection with the acquisition based on their estimated fair values. We estimated the fair values of the assets acquired and liabilities assumed using a discounted cash flow analysis (income approach). Of the total $2.2 million purchase price, we allocated $0.4 million to finite-lived intangible assets, primarily customer</w:t>
      </w:r>
    </w:p>
    <w:p>
      <w:pPr>
        <w:spacing w:after="0" w:line="2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relationships to be amortized over 10 years, and $0.1 million to property, plant and equipment. The residual amount of $1.7 million was allocated to goodwill. The goodwill recognized as a result of this acquisition is primarily attributable to strategic and synergistic benefits, as well as the assembled workforce. Such goodwill is expected to be deductible for tax purposes.</w:t>
      </w:r>
    </w:p>
    <w:p>
      <w:pPr>
        <w:spacing w:after="0" w:line="20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Acquisitions of C&amp;L Aqua Professionals, Inc. and LC Blending, Inc.</w:t>
      </w:r>
      <w:r>
        <w:rPr>
          <w:rFonts w:ascii="Arial" w:cs="Arial" w:eastAsia="Arial" w:hAnsi="Arial"/>
          <w:sz w:val="18"/>
          <w:szCs w:val="18"/>
          <w:color w:val="auto"/>
        </w:rPr>
        <w:t>: In the fourth quarter of fiscal 2021, we acquired substantially 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of C&amp;L Aqua Professionals, Inc. and LC Blending, Inc. (together, "C&amp;L Aqua") under the terms of an asset purchase agreement among us, C&amp;L Aqua and its shareholders. We paid $ 16 million for the acquisition. C&amp;L Aqua was a water treatment chemical distribution company operating primarily in Louisiana.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b w:val="1"/>
          <w:bCs w:val="1"/>
          <w:i w:val="1"/>
          <w:iCs w:val="1"/>
          <w:color w:val="auto"/>
        </w:rPr>
        <w:t>Acquisition of Property</w:t>
      </w:r>
      <w:r>
        <w:rPr>
          <w:rFonts w:ascii="Arial" w:cs="Arial" w:eastAsia="Arial" w:hAnsi="Arial"/>
          <w:sz w:val="18"/>
          <w:szCs w:val="18"/>
          <w:color w:val="auto"/>
        </w:rPr>
        <w:t>: In the third quarter of fiscal 2021, we acquired a manufacturing facility on 28 acres located adjacent to our facility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Rosemount, Minnesota to allow further expansion and growth in both our Industrial and Water Treatment segments. We paid $10 million for the property. The purchase of this facility added approximately 40,000 square feet of manufacturing and warehouse space to bring us to a total of 105,000 square feet of space on 56 acres of land in the area, with rail access at both of the sites to allow for future growth and provide for supply chain flexibility on certain raw materials to better serve our customers.</w:t>
      </w:r>
    </w:p>
    <w:p>
      <w:pPr>
        <w:spacing w:after="0" w:line="2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Acquisition of American Development Corporation of Tennessee, Inc.</w:t>
      </w:r>
      <w:r>
        <w:rPr>
          <w:rFonts w:ascii="Arial" w:cs="Arial" w:eastAsia="Arial" w:hAnsi="Arial"/>
          <w:sz w:val="18"/>
          <w:szCs w:val="18"/>
          <w:color w:val="auto"/>
        </w:rPr>
        <w:t>: In the second quarter of fiscal 2021, we acquired substantially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assets of American Development Corporation of Tennessee, Inc. (“ADC”) under the terms of an asset purchase agreement among us, ADC and its shareholders. We paid $25 million for the acquisition. ADC was a water treatment chemical distribution company operating primarily in Tennessee, Georgia and Kentucky.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274"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 The following tables disaggregate external customer net sales by major revenue stream for the three and six months ended September 26, 2021 and September 27, 2020:</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p>
    <w:p>
      <w:pPr>
        <w:ind w:left="20"/>
        <w:spacing w:after="0" w:line="227" w:lineRule="auto"/>
        <w:rPr>
          <w:sz w:val="20"/>
          <w:szCs w:val="20"/>
          <w:color w:val="auto"/>
        </w:rPr>
      </w:pPr>
      <w:r>
        <w:rPr>
          <w:rFonts w:ascii="Arial" w:cs="Arial" w:eastAsia="Arial" w:hAnsi="Arial"/>
          <w:sz w:val="17"/>
          <w:szCs w:val="17"/>
          <w:color w:val="auto"/>
        </w:rPr>
        <w:t xml:space="preserve">Manufactured, blended or repackaged products </w:t>
      </w:r>
      <w:r>
        <w:rPr>
          <w:rFonts w:ascii="Arial" w:cs="Arial" w:eastAsia="Arial" w:hAnsi="Arial"/>
          <w:sz w:val="22"/>
          <w:szCs w:val="22"/>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Arial" w:cs="Arial" w:eastAsia="Arial" w:hAnsi="Arial"/>
          <w:sz w:val="18"/>
          <w:szCs w:val="18"/>
          <w:b w:val="1"/>
          <w:bCs w:val="1"/>
          <w:color w:val="auto"/>
        </w:rPr>
        <w:t>Three months ended September 26,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Health and</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5,242</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30,062</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48,967</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68,150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56,373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132,406</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37,998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183,277</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-334010</wp:posOffset>
            </wp:positionV>
            <wp:extent cx="710628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14"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Three months ended September 27,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Health and</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28,953</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42,624</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104,126</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147,801</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-334010</wp:posOffset>
            </wp:positionV>
            <wp:extent cx="710628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1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Six months ended September 26,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9"/>
              </w:rPr>
              <w:t>Health and</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25,506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9,795</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61,004</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96,305</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140,716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107,601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264,251</w:t>
            </w: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364,518</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-334010</wp:posOffset>
            </wp:positionV>
            <wp:extent cx="710628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14"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Six months ended September 27,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20"/>
              <w:spacing w:after="0" w:line="169" w:lineRule="exact"/>
              <w:rPr>
                <w:sz w:val="20"/>
                <w:szCs w:val="20"/>
                <w:color w:val="auto"/>
              </w:rPr>
            </w:pPr>
            <w:r>
              <w:rPr>
                <w:rFonts w:ascii="Arial" w:cs="Arial" w:eastAsia="Arial" w:hAnsi="Arial"/>
                <w:sz w:val="18"/>
                <w:szCs w:val="18"/>
                <w:b w:val="1"/>
                <w:bCs w:val="1"/>
                <w:color w:val="auto"/>
              </w:rPr>
              <w:t>Water</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2"/>
          </w:tcPr>
          <w:p>
            <w:pPr>
              <w:ind w:left="20"/>
              <w:spacing w:after="0" w:line="169" w:lineRule="exact"/>
              <w:rPr>
                <w:sz w:val="20"/>
                <w:szCs w:val="20"/>
                <w:color w:val="auto"/>
              </w:rPr>
            </w:pPr>
            <w:r>
              <w:rPr>
                <w:rFonts w:ascii="Arial" w:cs="Arial" w:eastAsia="Arial" w:hAnsi="Arial"/>
                <w:sz w:val="18"/>
                <w:szCs w:val="18"/>
                <w:b w:val="1"/>
                <w:bCs w:val="1"/>
                <w:color w:val="auto"/>
              </w:rPr>
              <w:t>Health and</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18,137</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54,898</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81,268</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80,344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207,572</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290,973</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-633730</wp:posOffset>
            </wp:positionV>
            <wp:extent cx="710628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-333375</wp:posOffset>
            </wp:positionV>
            <wp:extent cx="710628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680"/>
          </w:cols>
          <w:pgMar w:left="320" w:top="603"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9" w:name="page10"/>
    <w:bookmarkEnd w:id="9"/>
    <w:p>
      <w:pPr>
        <w:jc w:val="both"/>
        <w:ind w:left="660" w:right="60" w:hanging="328"/>
        <w:spacing w:after="0" w:line="246"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ind w:left="660" w:right="140" w:hanging="328"/>
        <w:spacing w:after="0" w:line="253"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EPS includes the dilutive impact of incremental shares assumed to be issued as performance units and restricted stock.</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Pr>
          <w:p>
            <w:pPr>
              <w:spacing w:after="0"/>
              <w:rPr>
                <w:sz w:val="20"/>
                <w:szCs w:val="20"/>
                <w:color w:val="auto"/>
              </w:rPr>
            </w:pPr>
            <w:r>
              <w:rPr>
                <w:rFonts w:ascii="Arial" w:cs="Arial" w:eastAsia="Arial" w:hAnsi="Arial"/>
                <w:sz w:val="18"/>
                <w:szCs w:val="18"/>
                <w:color w:val="auto"/>
              </w:rPr>
              <w:t>Basic and diluted EPS were calculated using the following: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63"/>
        </w:trPr>
        <w:tc>
          <w:tcPr>
            <w:tcW w:w="5560" w:type="dxa"/>
            <w:vAlign w:val="bottom"/>
          </w:tcPr>
          <w:p>
            <w:pPr>
              <w:spacing w:after="0"/>
              <w:rPr>
                <w:sz w:val="22"/>
                <w:szCs w:val="22"/>
                <w:color w:val="auto"/>
              </w:rPr>
            </w:pPr>
          </w:p>
        </w:tc>
        <w:tc>
          <w:tcPr>
            <w:tcW w:w="2900" w:type="dxa"/>
            <w:vAlign w:val="bottom"/>
            <w:gridSpan w:val="4"/>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27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176"/>
        </w:trPr>
        <w:tc>
          <w:tcPr>
            <w:tcW w:w="5560" w:type="dxa"/>
            <w:vAlign w:val="bottom"/>
          </w:tcPr>
          <w:p>
            <w:pPr>
              <w:spacing w:after="0"/>
              <w:rPr>
                <w:sz w:val="15"/>
                <w:szCs w:val="15"/>
                <w:color w:val="auto"/>
              </w:rPr>
            </w:pPr>
          </w:p>
        </w:tc>
        <w:tc>
          <w:tcPr>
            <w:tcW w:w="1460" w:type="dxa"/>
            <w:vAlign w:val="bottom"/>
            <w:tcBorders>
              <w:top w:val="single" w:sz="8" w:color="auto"/>
            </w:tcBorders>
            <w:gridSpan w:val="2"/>
          </w:tcPr>
          <w:p>
            <w:pPr>
              <w:ind w:left="60"/>
              <w:spacing w:after="0" w:line="176" w:lineRule="exact"/>
              <w:rPr>
                <w:sz w:val="20"/>
                <w:szCs w:val="20"/>
                <w:color w:val="auto"/>
              </w:rPr>
            </w:pPr>
            <w:r>
              <w:rPr>
                <w:rFonts w:ascii="Arial" w:cs="Arial" w:eastAsia="Arial" w:hAnsi="Arial"/>
                <w:sz w:val="18"/>
                <w:szCs w:val="18"/>
                <w:b w:val="1"/>
                <w:bCs w:val="1"/>
                <w:color w:val="auto"/>
              </w:rPr>
              <w:t>September 26,</w:t>
            </w:r>
          </w:p>
        </w:tc>
        <w:tc>
          <w:tcPr>
            <w:tcW w:w="13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September 27,</w:t>
            </w:r>
          </w:p>
        </w:tc>
        <w:tc>
          <w:tcPr>
            <w:tcW w:w="100" w:type="dxa"/>
            <w:vAlign w:val="bottom"/>
          </w:tcPr>
          <w:p>
            <w:pPr>
              <w:spacing w:after="0"/>
              <w:rPr>
                <w:sz w:val="15"/>
                <w:szCs w:val="15"/>
                <w:color w:val="auto"/>
              </w:rPr>
            </w:pPr>
          </w:p>
        </w:tc>
        <w:tc>
          <w:tcPr>
            <w:tcW w:w="1440" w:type="dxa"/>
            <w:vAlign w:val="bottom"/>
            <w:tcBorders>
              <w:top w:val="single" w:sz="8" w:color="auto"/>
            </w:tcBorders>
            <w:gridSpan w:val="2"/>
          </w:tcPr>
          <w:p>
            <w:pPr>
              <w:ind w:left="60"/>
              <w:spacing w:after="0" w:line="176" w:lineRule="exact"/>
              <w:rPr>
                <w:sz w:val="20"/>
                <w:szCs w:val="20"/>
                <w:color w:val="auto"/>
              </w:rPr>
            </w:pPr>
            <w:r>
              <w:rPr>
                <w:rFonts w:ascii="Arial" w:cs="Arial" w:eastAsia="Arial" w:hAnsi="Arial"/>
                <w:sz w:val="18"/>
                <w:szCs w:val="18"/>
                <w:b w:val="1"/>
                <w:bCs w:val="1"/>
                <w:color w:val="auto"/>
              </w:rPr>
              <w:t>September 26,</w:t>
            </w:r>
          </w:p>
        </w:tc>
        <w:tc>
          <w:tcPr>
            <w:tcW w:w="13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b w:val="1"/>
                <w:bCs w:val="1"/>
                <w:color w:val="auto"/>
              </w:rPr>
              <w:t>September 27,</w:t>
            </w:r>
          </w:p>
        </w:tc>
      </w:tr>
      <w:tr>
        <w:trPr>
          <w:trHeight w:val="229"/>
        </w:trPr>
        <w:tc>
          <w:tcPr>
            <w:tcW w:w="55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20,986,542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21,055,782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21,010,422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21,053,022</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performance units and restricted stock</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153,545</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189,980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158,387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215,540</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outstanding—diluted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21,140,087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21,245,762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21,168,809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21,268,562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periods presented, there were no shares excluded from the calculation of weighted-average common shares for diluted EPS.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94" w:lineRule="exact"/>
        <w:rPr>
          <w:sz w:val="20"/>
          <w:szCs w:val="20"/>
          <w:color w:val="auto"/>
        </w:rPr>
      </w:pPr>
    </w:p>
    <w:p>
      <w:pPr>
        <w:ind w:left="900"/>
        <w:spacing w:after="0"/>
        <w:tabs>
          <w:tab w:leader="none" w:pos="18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23" w:lineRule="exact"/>
        <w:rPr>
          <w:sz w:val="20"/>
          <w:szCs w:val="20"/>
          <w:color w:val="auto"/>
        </w:rPr>
      </w:pPr>
    </w:p>
    <w:p>
      <w:pPr>
        <w:ind w:left="1820" w:right="640" w:hanging="908"/>
        <w:spacing w:after="0" w:line="219" w:lineRule="auto"/>
        <w:tabs>
          <w:tab w:leader="none" w:pos="1800" w:val="left"/>
        </w:tabs>
        <w:rPr>
          <w:sz w:val="20"/>
          <w:szCs w:val="20"/>
          <w:color w:val="auto"/>
        </w:rPr>
      </w:pPr>
      <w:r>
        <w:rPr>
          <w:rFonts w:ascii="Arial" w:cs="Arial" w:eastAsia="Arial" w:hAnsi="Arial"/>
          <w:sz w:val="18"/>
          <w:szCs w:val="18"/>
          <w:color w:val="auto"/>
        </w:rPr>
        <w:t>Level 2:</w:t>
        <w:tab/>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14" w:lineRule="exact"/>
        <w:rPr>
          <w:sz w:val="20"/>
          <w:szCs w:val="20"/>
          <w:color w:val="auto"/>
        </w:rPr>
      </w:pPr>
    </w:p>
    <w:p>
      <w:pPr>
        <w:ind w:left="1820" w:right="700" w:hanging="908"/>
        <w:spacing w:after="0" w:line="219" w:lineRule="auto"/>
        <w:tabs>
          <w:tab w:leader="none" w:pos="1800" w:val="left"/>
        </w:tabs>
        <w:rPr>
          <w:sz w:val="20"/>
          <w:szCs w:val="20"/>
          <w:color w:val="auto"/>
        </w:rPr>
      </w:pPr>
      <w:r>
        <w:rPr>
          <w:rFonts w:ascii="Arial" w:cs="Arial" w:eastAsia="Arial" w:hAnsi="Arial"/>
          <w:sz w:val="18"/>
          <w:szCs w:val="18"/>
          <w:color w:val="auto"/>
        </w:rPr>
        <w:t>Level 3:</w:t>
        <w:tab/>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00" w:lineRule="exact"/>
        <w:rPr>
          <w:sz w:val="20"/>
          <w:szCs w:val="20"/>
          <w:color w:val="auto"/>
        </w:rPr>
      </w:pPr>
    </w:p>
    <w:p>
      <w:pPr>
        <w:spacing w:after="0" w:line="3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4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financial assets that are measured at fair value on a recurring basis are assets held in a deferred compensation retirement plan. As of September 26, 2021 and March 28, 2021, the assets held in a deferred compensation retirement plan were classified as other long-term assets on our balance sheet, with the portion of the plan assets expected to be paid within twelve months classified as current assets on our balance sheet.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0" w:name="page11"/>
    <w:bookmarkEnd w:id="10"/>
    <w:p>
      <w:pPr>
        <w:ind w:right="180"/>
        <w:spacing w:after="0" w:line="261" w:lineRule="auto"/>
        <w:rPr>
          <w:sz w:val="20"/>
          <w:szCs w:val="20"/>
          <w:color w:val="auto"/>
        </w:rPr>
      </w:pPr>
      <w:r>
        <w:rPr>
          <w:rFonts w:ascii="Arial" w:cs="Arial" w:eastAsia="Arial" w:hAnsi="Arial"/>
          <w:sz w:val="18"/>
          <w:szCs w:val="18"/>
          <w:color w:val="auto"/>
        </w:rPr>
        <w:t>The following tables summarize the balances of assets and liabilities measured at fair value on a recurring basis as of September 26, 2021 and March 28,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26, 2021</w:t>
            </w:r>
          </w:p>
        </w:tc>
        <w:tc>
          <w:tcPr>
            <w:tcW w:w="240" w:type="dxa"/>
            <w:vAlign w:val="bottom"/>
          </w:tcPr>
          <w:p>
            <w:pPr>
              <w:spacing w:after="0"/>
              <w:rPr>
                <w:sz w:val="20"/>
                <w:szCs w:val="20"/>
                <w:color w:val="auto"/>
              </w:rPr>
            </w:pPr>
          </w:p>
        </w:tc>
        <w:tc>
          <w:tcPr>
            <w:tcW w:w="17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28, 2021</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Deferred compensation plan assets</w:t>
            </w:r>
          </w:p>
        </w:tc>
        <w:tc>
          <w:tcPr>
            <w:tcW w:w="2540" w:type="dxa"/>
            <w:vAlign w:val="bottom"/>
          </w:tcPr>
          <w:p>
            <w:pPr>
              <w:ind w:left="1440"/>
              <w:spacing w:after="0"/>
              <w:rPr>
                <w:sz w:val="20"/>
                <w:szCs w:val="20"/>
                <w:color w:val="auto"/>
              </w:rPr>
            </w:pPr>
            <w:r>
              <w:rPr>
                <w:rFonts w:ascii="Arial" w:cs="Arial" w:eastAsia="Arial" w:hAnsi="Arial"/>
                <w:sz w:val="18"/>
                <w:szCs w:val="18"/>
                <w:color w:val="auto"/>
              </w:rPr>
              <w:t>Level 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7,364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5,946</w:t>
            </w:r>
          </w:p>
        </w:tc>
      </w:tr>
      <w:tr>
        <w:trPr>
          <w:trHeight w:val="55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Note 6– Assets Held for Sale</w:t>
            </w: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4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Included in assets held for sale as of March 28, 2021 was $ 0.7 million for an office building in St. Louis, Missouri which was utilized in the administration of our Industrial segment and $0.2 million for a water treatment branch located in Eldridge, Iowa, which has been relocated to another owned facility. Both were sold in the first quarter of fiscal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40" w:type="dxa"/>
            <w:vAlign w:val="bottom"/>
          </w:tcPr>
          <w:p>
            <w:pPr>
              <w:spacing w:after="0"/>
              <w:rPr>
                <w:sz w:val="20"/>
                <w:szCs w:val="20"/>
                <w:color w:val="auto"/>
              </w:rPr>
            </w:pPr>
            <w:r>
              <w:rPr>
                <w:rFonts w:ascii="Arial" w:cs="Arial" w:eastAsia="Arial" w:hAnsi="Arial"/>
                <w:sz w:val="18"/>
                <w:szCs w:val="18"/>
                <w:b w:val="1"/>
                <w:bCs w:val="1"/>
                <w:color w:val="auto"/>
              </w:rPr>
              <w:t>Note 7 – Inventories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7840" w:type="dxa"/>
            <w:vAlign w:val="bottom"/>
          </w:tcPr>
          <w:p>
            <w:pPr>
              <w:spacing w:after="0"/>
              <w:rPr>
                <w:sz w:val="20"/>
                <w:szCs w:val="20"/>
                <w:color w:val="auto"/>
              </w:rPr>
            </w:pPr>
            <w:r>
              <w:rPr>
                <w:rFonts w:ascii="Arial" w:cs="Arial" w:eastAsia="Arial" w:hAnsi="Arial"/>
                <w:sz w:val="18"/>
                <w:szCs w:val="18"/>
                <w:color w:val="auto"/>
              </w:rPr>
              <w:t>Inventories at September 26, 2021 and March 28, 2021 consisted of the following:</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8"/>
        </w:trPr>
        <w:tc>
          <w:tcPr>
            <w:tcW w:w="7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September 26,</w:t>
            </w:r>
          </w:p>
        </w:tc>
        <w:tc>
          <w:tcPr>
            <w:tcW w:w="260" w:type="dxa"/>
            <w:vAlign w:val="bottom"/>
          </w:tcPr>
          <w:p>
            <w:pPr>
              <w:spacing w:after="0"/>
              <w:rPr>
                <w:sz w:val="24"/>
                <w:szCs w:val="24"/>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28,</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8"/>
              </w:rPr>
              <w:t>80,682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69,438</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rPr>
              <w:t>(10,344)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8"/>
              </w:rPr>
              <w:t>70,338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63,864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$ 57.0 million at September 26, 2021 and $46.8 million at March 28, 2021. The remainder of the inventory was valued and accounted for under the FIFO method.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7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carrying amount of goodwill was $72.4 million as of September 26, 2021 and $70.7 million as of March 28, 2021, of which $44.9 million was related to our Health and Nutrition segment, $21.0 million was related to our Water Treatment segment, and $6.5 million was related to our Industrial segment. The increase in goodwill during the six months ended September 26, 2021 represents goodwill recorded in connection with the acquisition of the assets of Southeast Water Systems, LLC as discussed in Note 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September 26, 2021 and March 28, 2021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26, 2021</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28, 2021</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8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7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5"/>
        </w:trPr>
        <w:tc>
          <w:tcPr>
            <w:tcW w:w="3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100,008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(29,377)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70,631</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99,588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(26,522)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73,066</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75,141</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73,666</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76,368</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5" w:right="3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9"/>
        </w:trPr>
        <w:tc>
          <w:tcPr>
            <w:tcW w:w="7800" w:type="dxa"/>
            <w:vAlign w:val="bottom"/>
          </w:tcPr>
          <w:p>
            <w:pPr>
              <w:spacing w:after="0"/>
              <w:rPr>
                <w:sz w:val="20"/>
                <w:szCs w:val="20"/>
                <w:color w:val="auto"/>
              </w:rPr>
            </w:pPr>
            <w:r>
              <w:rPr>
                <w:rFonts w:ascii="Arial" w:cs="Arial" w:eastAsia="Arial" w:hAnsi="Arial"/>
                <w:sz w:val="18"/>
                <w:szCs w:val="18"/>
                <w:b w:val="1"/>
                <w:bCs w:val="1"/>
                <w:color w:val="auto"/>
              </w:rPr>
              <w:t>Note 9 – Debt</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Debt at September 26, 2021 and March 28, 2021 consisted of the following:</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7"/>
        </w:trPr>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September 26,</w:t>
            </w:r>
          </w:p>
        </w:tc>
        <w:tc>
          <w:tcPr>
            <w:tcW w:w="240" w:type="dxa"/>
            <w:vAlign w:val="bottom"/>
          </w:tcPr>
          <w:p>
            <w:pPr>
              <w:spacing w:after="0"/>
              <w:rPr>
                <w:sz w:val="24"/>
                <w:szCs w:val="24"/>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28,</w:t>
            </w:r>
          </w:p>
        </w:tc>
      </w:tr>
      <w:tr>
        <w:trPr>
          <w:trHeight w:val="230"/>
        </w:trPr>
        <w:tc>
          <w:tcPr>
            <w:tcW w:w="78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169"/>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Senior secured revolving loan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84,000</w:t>
            </w:r>
          </w:p>
        </w:tc>
        <w:tc>
          <w:tcPr>
            <w:tcW w:w="1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99,000</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unamortized 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Total debt, net of debt issuance costs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83,798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98,752</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73,891</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88,845</w:t>
            </w:r>
          </w:p>
        </w:tc>
      </w:tr>
      <w:tr>
        <w:trPr>
          <w:trHeight w:val="21"/>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74"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1, 2018 are closed to examination by the Internal Revenue Service, and with few exceptions, state and local</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income tax jurisdictions. Our effective tax rate was approximately 26% for both the six months ended September 26, 2021 and for the six months ended September 27, 2020. The effective tax rate is impacted by projected levels of annual taxable income, permanent items, and state taxes.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Leases</w:t>
      </w:r>
    </w:p>
    <w:p>
      <w:pPr>
        <w:spacing w:after="0" w:line="230"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September 26, 2021, we were obligated under operating lease agreements for certain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warehouse space, the land on which some of our facilities sit, vehicles and information technology equipment. Our leases have remaining original lease terms of 1 year to 23 years, some of which include options to extend the lease for up to 10 years.</w:t>
      </w:r>
    </w:p>
    <w:p>
      <w:pPr>
        <w:spacing w:after="0" w:line="22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As of September 26, 2021, our operating lease components with initial or remaining terms in excess of one year were classified on the condensed consolidated balance sheet within right of use assets, short-term lease liability and long-term lease liability.</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Expense for leases less than 12 months was not material for the three and six months ended September 26, 2021 and September 27, 2020. Total lease expense was $0.7 million for both the three months ended September 26, 2021 and September 27, 2020, and was $1.4 million for both the six months ended September 26, 2021 and September 27,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4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September 26, 2021</w:t>
            </w:r>
          </w:p>
        </w:tc>
        <w:tc>
          <w:tcPr>
            <w:tcW w:w="18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6"/>
                <w:szCs w:val="16"/>
                <w:b w:val="1"/>
                <w:bCs w:val="1"/>
                <w:color w:val="auto"/>
              </w:rPr>
              <w:t>March 28, 2021</w:t>
            </w: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Weighted average remaining lease term (years)</w:t>
            </w:r>
          </w:p>
        </w:tc>
        <w:tc>
          <w:tcPr>
            <w:tcW w:w="2280" w:type="dxa"/>
            <w:vAlign w:val="bottom"/>
          </w:tcPr>
          <w:p>
            <w:pPr>
              <w:jc w:val="right"/>
              <w:ind w:right="153"/>
              <w:spacing w:after="0"/>
              <w:rPr>
                <w:sz w:val="20"/>
                <w:szCs w:val="20"/>
                <w:color w:val="auto"/>
              </w:rPr>
            </w:pPr>
            <w:r>
              <w:rPr>
                <w:rFonts w:ascii="Arial" w:cs="Arial" w:eastAsia="Arial" w:hAnsi="Arial"/>
                <w:sz w:val="18"/>
                <w:szCs w:val="18"/>
                <w:color w:val="auto"/>
              </w:rPr>
              <w:t>9.40</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9.73</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discount rate</w:t>
            </w:r>
          </w:p>
        </w:tc>
        <w:tc>
          <w:tcPr>
            <w:tcW w:w="2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2.6 %</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2.7 %</w:t>
            </w:r>
          </w:p>
        </w:tc>
      </w:tr>
      <w:tr>
        <w:trPr>
          <w:trHeight w:val="540"/>
        </w:trPr>
        <w:tc>
          <w:tcPr>
            <w:tcW w:w="7140" w:type="dxa"/>
            <w:vAlign w:val="bottom"/>
          </w:tcPr>
          <w:p>
            <w:pPr>
              <w:spacing w:after="0"/>
              <w:rPr>
                <w:sz w:val="20"/>
                <w:szCs w:val="20"/>
                <w:color w:val="auto"/>
              </w:rPr>
            </w:pPr>
            <w:r>
              <w:rPr>
                <w:rFonts w:ascii="Arial" w:cs="Arial" w:eastAsia="Arial" w:hAnsi="Arial"/>
                <w:sz w:val="18"/>
                <w:szCs w:val="18"/>
                <w:color w:val="auto"/>
              </w:rPr>
              <w:t>Maturities of lease liabilities as of September 26, 2021 were as follows:</w:t>
            </w: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Operating Leases</w:t>
            </w:r>
          </w:p>
        </w:tc>
        <w:tc>
          <w:tcPr>
            <w:tcW w:w="60" w:type="dxa"/>
            <w:vAlign w:val="bottom"/>
          </w:tcPr>
          <w:p>
            <w:pPr>
              <w:spacing w:after="0"/>
              <w:rPr>
                <w:sz w:val="21"/>
                <w:szCs w:val="2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fiscal 2022</w:t>
            </w:r>
          </w:p>
        </w:tc>
        <w:tc>
          <w:tcPr>
            <w:tcW w:w="2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1,713</w:t>
            </w:r>
          </w:p>
        </w:tc>
        <w:tc>
          <w:tcPr>
            <w:tcW w:w="60" w:type="dxa"/>
            <w:vAlign w:val="bottom"/>
          </w:tcPr>
          <w:p>
            <w:pPr>
              <w:spacing w:after="0"/>
              <w:rPr>
                <w:sz w:val="19"/>
                <w:szCs w:val="19"/>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2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60" w:type="dxa"/>
            <w:vAlign w:val="bottom"/>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1,305</w:t>
            </w:r>
          </w:p>
        </w:tc>
        <w:tc>
          <w:tcPr>
            <w:tcW w:w="60" w:type="dxa"/>
            <w:vAlign w:val="bottom"/>
          </w:tcPr>
          <w:p>
            <w:pPr>
              <w:spacing w:after="0"/>
              <w:rPr>
                <w:sz w:val="19"/>
                <w:szCs w:val="19"/>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2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60" w:type="dxa"/>
            <w:vAlign w:val="bottom"/>
          </w:tcPr>
          <w:p>
            <w:pPr>
              <w:spacing w:after="0"/>
              <w:rPr>
                <w:sz w:val="19"/>
                <w:szCs w:val="19"/>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6,280</w:t>
            </w:r>
          </w:p>
        </w:tc>
        <w:tc>
          <w:tcPr>
            <w:tcW w:w="60" w:type="dxa"/>
            <w:vAlign w:val="bottom"/>
          </w:tcPr>
          <w:p>
            <w:pPr>
              <w:spacing w:after="0"/>
              <w:rPr>
                <w:sz w:val="19"/>
                <w:szCs w:val="19"/>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12,775</w:t>
            </w:r>
          </w:p>
        </w:tc>
        <w:tc>
          <w:tcPr>
            <w:tcW w:w="60" w:type="dxa"/>
            <w:vAlign w:val="bottom"/>
          </w:tcPr>
          <w:p>
            <w:pPr>
              <w:spacing w:after="0"/>
              <w:rPr>
                <w:sz w:val="19"/>
                <w:szCs w:val="19"/>
                <w:color w:val="auto"/>
              </w:rPr>
            </w:pP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228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60" w:type="dxa"/>
            <w:vAlign w:val="bottom"/>
          </w:tcPr>
          <w:p>
            <w:pPr>
              <w:spacing w:after="0"/>
              <w:rPr>
                <w:sz w:val="19"/>
                <w:szCs w:val="19"/>
                <w:color w:val="auto"/>
              </w:rPr>
            </w:pPr>
          </w:p>
        </w:tc>
      </w:tr>
      <w:tr>
        <w:trPr>
          <w:trHeight w:val="24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60" w:type="dxa"/>
            <w:vAlign w:val="bottom"/>
          </w:tcPr>
          <w:p>
            <w:pPr>
              <w:spacing w:after="0"/>
              <w:rPr>
                <w:sz w:val="21"/>
                <w:szCs w:val="2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12 – Share-Based Compensation</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Performance-Based Restricted Stock Units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(the “Board”)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during the first quarters of each of fiscal 2022 and fiscal 2021.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88,524 shares in the aggregate for fiscal 2022.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six months ended September 26,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center"/>
              <w:ind w:right="94"/>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44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4"/>
                <w:szCs w:val="14"/>
                <w:color w:val="auto"/>
              </w:rPr>
            </w:pPr>
          </w:p>
        </w:tc>
        <w:tc>
          <w:tcPr>
            <w:tcW w:w="148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215"/>
        </w:trPr>
        <w:tc>
          <w:tcPr>
            <w:tcW w:w="78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center"/>
              <w:ind w:right="114"/>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4"/>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rPr>
              <w:t>239,120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center"/>
              <w:ind w:left="452"/>
              <w:spacing w:after="0"/>
              <w:rPr>
                <w:sz w:val="20"/>
                <w:szCs w:val="20"/>
                <w:color w:val="auto"/>
              </w:rPr>
            </w:pPr>
            <w:r>
              <w:rPr>
                <w:rFonts w:ascii="Arial" w:cs="Arial" w:eastAsia="Arial" w:hAnsi="Arial"/>
                <w:sz w:val="18"/>
                <w:szCs w:val="18"/>
                <w:color w:val="auto"/>
              </w:rPr>
              <w:t>111,618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auto"/>
            </w:tcBorders>
            <w:shd w:val="clear" w:color="auto" w:fill="CCEEFF"/>
          </w:tcPr>
          <w:p>
            <w:pPr>
              <w:jc w:val="center"/>
              <w:ind w:left="432"/>
              <w:spacing w:after="0"/>
              <w:rPr>
                <w:sz w:val="20"/>
                <w:szCs w:val="20"/>
                <w:color w:val="auto"/>
              </w:rPr>
            </w:pPr>
            <w:r>
              <w:rPr>
                <w:rFonts w:ascii="Arial" w:cs="Arial" w:eastAsia="Arial" w:hAnsi="Arial"/>
                <w:sz w:val="18"/>
                <w:szCs w:val="18"/>
                <w:color w:val="auto"/>
                <w:w w:val="98"/>
              </w:rPr>
              <w:t>(123,002)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rPr>
              <w:t>227,736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recorded compensation expense related to performance share units and restricted stock of $0.6 million and $1.2 million for the three and six months ended September 26, 2021, respectively. We recorded compensation expense related to performance share units and restricted stock of $0.5 million and $1.0 million for the three and six months ended September 27, 2020, respectively. Substantially all of the compensation expense was recorded in selling, general and administrative expenses in the condensed consolidated statements of income.</w:t>
      </w:r>
    </w:p>
    <w:p>
      <w:pPr>
        <w:spacing w:after="0" w:line="210"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 our non-employee directors receive restricted stock for their Board services.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awards are generally expensed over a one-year vesting period, based on the market value on the date of grant. As of September 26, 2021, there were 9,282 shares of restricted stock with an average grant date fair value of $32.31 outstanding under this program. Compensation expense for both the three months ended September 26, 2021 and September 27, 2020 related to restricted stock awards to the Board was $0.1 million. Compensation expense for both the six months ended September 26, 2021 and September 27, 2020 related to restricted stock awards to the Board was $0.2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 Repurchase Program</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Board has authorized the repurchase of up to 1.6 million shares of our outstanding common stock for cash on the open market or in privately negotiated transactions subject to applicable securities laws and regulations. Upon purchase of the shares, we reduce our common stock for the par value of the shares with the excess applied against additional paid-in capital. During the three months ended September 26, 2021, we repurchased 109,009 shares at an aggregate purchase price of $4.0 million. During the six months ended September 26, 2021, we repurchased 209,963 shares at an aggregate purchase price of $7.4 million. During the three and six months ended September 27, 2020, no shares were repurchased. As of September 26, 2021, 341,543 shares remained available to be repurchased under the share repurchase program.</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74" w:lineRule="exact"/>
        <w:rPr>
          <w:sz w:val="20"/>
          <w:szCs w:val="20"/>
          <w:color w:val="auto"/>
        </w:rPr>
      </w:pPr>
    </w:p>
    <w:p>
      <w:pPr>
        <w:ind w:right="140"/>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We have three reportable segments: Industrial, Water Treatment, and Health and Nutrition. The accounting policies of the segments are the </w:t>
      </w:r>
      <w:hyperlink r:id="rId18">
        <w:r>
          <w:rPr>
            <w:rFonts w:ascii="Arial" w:cs="Arial" w:eastAsia="Arial" w:hAnsi="Arial"/>
            <w:sz w:val="18"/>
            <w:szCs w:val="18"/>
            <w:color w:val="auto"/>
          </w:rPr>
          <w:t xml:space="preserve">same as those described in the summary of significant accounting policies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March 28, 2021</w:t>
        </w:r>
        <w:r>
          <w:rPr>
            <w:rFonts w:ascii="Arial" w:cs="Arial" w:eastAsia="Arial" w:hAnsi="Arial"/>
            <w:sz w:val="18"/>
            <w:szCs w:val="18"/>
            <w:color w:val="000000"/>
          </w:rPr>
          <w:t>.</w:t>
        </w:r>
      </w:hyperlink>
    </w:p>
    <w:p>
      <w:pPr>
        <w:spacing w:after="0" w:line="22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26, 2021:</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83,168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62,111</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37,998</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183,277</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37,287</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17,679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Three months ended September 27, 2020: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147,801</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7,839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32,797</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16,221</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16,576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September 26, 2021:</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169,018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118,349</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77,151</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364,518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76,261</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7,371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34,535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41,726</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Six months ended September 27, 2020:</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290,973</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25,861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15,019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63,773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31,259</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32,514</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six months ended September 26, 2021.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4" w:name="page15"/>
    <w:bookmarkEnd w:id="14"/>
    <w:p>
      <w:pPr>
        <w:spacing w:after="0"/>
        <w:tabs>
          <w:tab w:leader="none" w:pos="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47" w:lineRule="exact"/>
        <w:rPr>
          <w:sz w:val="20"/>
          <w:szCs w:val="20"/>
          <w:color w:val="auto"/>
        </w:rPr>
      </w:pPr>
    </w:p>
    <w:p>
      <w:pPr>
        <w:ind w:right="1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and analysis of our financial condition and results of operations for the six months ended September 26, 2021 as compared to the similar period ended September 27, 2020. This discussion should be read in conjunction with the condensed consolidated financial statements and notes to condensed consolidated financial statements included in this quarterly report on Form 10-Q and Item 8 of our </w:t>
      </w:r>
      <w:hyperlink r:id="rId18">
        <w:r>
          <w:rPr>
            <w:rFonts w:ascii="Arial" w:cs="Arial" w:eastAsia="Arial" w:hAnsi="Arial"/>
            <w:sz w:val="18"/>
            <w:szCs w:val="18"/>
            <w:u w:val="single" w:color="auto"/>
            <w:color w:val="0000FF"/>
          </w:rPr>
          <w:t>Annual Report on Form 10-K for the fiscal year ended March 28, 2021</w:t>
        </w:r>
      </w:hyperlink>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Acquisitions</w:t>
      </w:r>
    </w:p>
    <w:p>
      <w:pPr>
        <w:spacing w:after="0" w:line="25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On September 20, 2021, we acquired substantially all the assets of Southeast Water Systems LLC, under the terms of an asset purchase agreement with Southeast Water Systems and its shareholders. Southeast Water Systems supplied and installed water treatment chemical equipment to its customers located primarily in Alabama, southern Georgia and the Florida panhandle. The results of operations since the acquisition date are included in our Water Treatment segment.</w:t>
      </w:r>
    </w:p>
    <w:p>
      <w:pPr>
        <w:spacing w:after="0" w:line="23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the fourth quarter of fiscal 2021, we acquired substantially all the assets of C&amp;L Aqua Professionals, Inc. and LC Blending, Inc. (together, “C&amp;L Aqua”) under the terms of an asset purchase agreement among us, C&amp;L Aqua and its shareholders. C&amp;L Aqua was a water treatment chemical distribution company operating primarily in Louisiana. The results of operations and the assets are included as part of our Water Treatment segment.</w:t>
      </w:r>
    </w:p>
    <w:p>
      <w:pPr>
        <w:spacing w:after="0" w:line="232" w:lineRule="exact"/>
        <w:rPr>
          <w:sz w:val="20"/>
          <w:szCs w:val="20"/>
          <w:color w:val="auto"/>
        </w:rPr>
      </w:pPr>
    </w:p>
    <w:p>
      <w:pPr>
        <w:jc w:val="both"/>
        <w:ind w:right="560"/>
        <w:spacing w:after="0" w:line="238" w:lineRule="auto"/>
        <w:rPr>
          <w:sz w:val="20"/>
          <w:szCs w:val="20"/>
          <w:color w:val="auto"/>
        </w:rPr>
      </w:pPr>
      <w:r>
        <w:rPr>
          <w:rFonts w:ascii="Arial" w:cs="Arial" w:eastAsia="Arial" w:hAnsi="Arial"/>
          <w:sz w:val="18"/>
          <w:szCs w:val="18"/>
          <w:color w:val="auto"/>
        </w:rPr>
        <w:t>In the second quarter of fiscal 2021, we acquired substantially all the assets of American Development Corporation of Tennessee, Inc. (“ADC”) under the terms of an asset purchase agreement among us, ADC and its shareholders. ADC was a water treatment chemical distribution company operating primarily in Tennessee, Georgia and Kentucky. The results of operations since the acquisition date are included in our Water Treatment segment.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annual revenue from these three acquisitions in the twelve months prior to our acquisitions totaled approximately $26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25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the fourth quarter of fiscal 2021, we effected a two-for-one split of our common stock, and adjusted the par value from $0.05 per share to $0.01 per share. At the same time, we increased the number of authorized shares from 30 million to 60 million. Our consolidated financial statements, related notes, and other financial data contained in this report have been adjusted to give retroactive effect to the stock split for all periods presented.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on COVID-19</w:t>
      </w:r>
    </w:p>
    <w:p>
      <w:pPr>
        <w:spacing w:after="0" w:line="25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pandemic caused by COVID-19, federal, state and local governments around the world implemented stringent measures to help control the spread of the virus, including, from time to time, quarantines, “shelter in place” and “stay at home” orders, travel restrictions or bans, business curtailments, school closures, and other protective measures. While most restrictions have eased since the start of the COVID-19 pandemic, certain restrictions remain in place or new restrictions may be implemented in the future.</w:t>
      </w:r>
    </w:p>
    <w:p>
      <w:pPr>
        <w:spacing w:after="0" w:line="231" w:lineRule="exact"/>
        <w:rPr>
          <w:sz w:val="20"/>
          <w:szCs w:val="20"/>
          <w:color w:val="auto"/>
        </w:rPr>
      </w:pPr>
    </w:p>
    <w:p>
      <w:pPr>
        <w:ind w:right="260"/>
        <w:spacing w:after="0" w:line="308" w:lineRule="auto"/>
        <w:rPr>
          <w:sz w:val="20"/>
          <w:szCs w:val="20"/>
          <w:color w:val="auto"/>
        </w:rPr>
      </w:pPr>
      <w:r>
        <w:rPr>
          <w:rFonts w:ascii="Arial" w:cs="Arial" w:eastAsia="Arial" w:hAnsi="Arial"/>
          <w:sz w:val="18"/>
          <w:szCs w:val="18"/>
          <w:color w:val="auto"/>
        </w:rPr>
        <w:t>All of our manufacturing facilities have qualified as essential operations (or the equivalent) under applicable federal and state orders. As a result, all of our manufacturing sites and facilities have continued to operate, with no significant impact to our output levels.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this public health crisis, we remained focused on the health and safety of our employees, customers and suppliers and maintaining safe and reliable operations of our manufacturing sites. As our operations and products are essential to critical national infrastructure, it is imperative that we continue to supply materials including the products needed to maintain safe drinking water, ingredients essential for large-scale food, pharmaceutical and other health product manufacturing and nutrition products needed to support our critical infrastructure.</w:t>
      </w:r>
    </w:p>
    <w:p>
      <w:pPr>
        <w:spacing w:after="0" w:line="23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financial impact of the COVID-19 pandemic to our company has been mixed, and we expect mixed results to continue until conditions normalize following the end of the pandemic.</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Financial Results</w:t>
      </w:r>
    </w:p>
    <w:p>
      <w:pPr>
        <w:spacing w:after="0" w:line="25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the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FIFO method.</w:t>
      </w:r>
    </w:p>
    <w:p>
      <w:pPr>
        <w:spacing w:after="0" w:line="23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40" w:type="dxa"/>
            <w:vAlign w:val="bottom"/>
          </w:tcPr>
          <w:p>
            <w:pPr>
              <w:spacing w:after="0"/>
              <w:rPr>
                <w:sz w:val="20"/>
                <w:szCs w:val="20"/>
                <w:color w:val="auto"/>
              </w:rPr>
            </w:pPr>
          </w:p>
        </w:tc>
        <w:tc>
          <w:tcPr>
            <w:tcW w:w="3460" w:type="dxa"/>
            <w:vAlign w:val="bottom"/>
            <w:gridSpan w:val="4"/>
          </w:tcPr>
          <w:p>
            <w:pPr>
              <w:ind w:left="780"/>
              <w:spacing w:after="0"/>
              <w:rPr>
                <w:sz w:val="20"/>
                <w:szCs w:val="20"/>
                <w:color w:val="auto"/>
              </w:rPr>
            </w:pPr>
            <w:r>
              <w:rPr>
                <w:rFonts w:ascii="Arial" w:cs="Arial" w:eastAsia="Arial" w:hAnsi="Arial"/>
                <w:sz w:val="18"/>
                <w:szCs w:val="18"/>
                <w:b w:val="1"/>
                <w:bCs w:val="1"/>
                <w:color w:val="auto"/>
              </w:rPr>
              <w:t>Three Months Ended</w:t>
            </w:r>
          </w:p>
        </w:tc>
        <w:tc>
          <w:tcPr>
            <w:tcW w:w="344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34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gridSpan w:val="2"/>
            <w:shd w:val="clear" w:color="auto" w:fill="CCEEFF"/>
          </w:tcPr>
          <w:p>
            <w:pPr>
              <w:ind w:left="200"/>
              <w:spacing w:after="0" w:line="169" w:lineRule="exact"/>
              <w:rPr>
                <w:sz w:val="20"/>
                <w:szCs w:val="20"/>
                <w:color w:val="auto"/>
              </w:rPr>
            </w:pPr>
            <w:r>
              <w:rPr>
                <w:rFonts w:ascii="Arial" w:cs="Arial" w:eastAsia="Arial" w:hAnsi="Arial"/>
                <w:sz w:val="18"/>
                <w:szCs w:val="18"/>
                <w:b w:val="1"/>
                <w:bCs w:val="1"/>
                <w:color w:val="auto"/>
              </w:rPr>
              <w:t>September 26,</w:t>
            </w:r>
          </w:p>
        </w:tc>
        <w:tc>
          <w:tcPr>
            <w:tcW w:w="1620" w:type="dxa"/>
            <w:vAlign w:val="bottom"/>
            <w:tcBorders>
              <w:top w:val="single" w:sz="8" w:color="auto"/>
            </w:tcBorders>
            <w:shd w:val="clear" w:color="auto" w:fill="CCEEFF"/>
          </w:tcPr>
          <w:p>
            <w:pPr>
              <w:jc w:val="right"/>
              <w:ind w:right="90"/>
              <w:spacing w:after="0" w:line="169" w:lineRule="exact"/>
              <w:rPr>
                <w:sz w:val="20"/>
                <w:szCs w:val="20"/>
                <w:color w:val="auto"/>
              </w:rPr>
            </w:pPr>
            <w:r>
              <w:rPr>
                <w:rFonts w:ascii="Arial" w:cs="Arial" w:eastAsia="Arial" w:hAnsi="Arial"/>
                <w:sz w:val="18"/>
                <w:szCs w:val="18"/>
                <w:b w:val="1"/>
                <w:bCs w:val="1"/>
                <w:color w:val="auto"/>
              </w:rPr>
              <w:t>September 27,</w:t>
            </w:r>
          </w:p>
        </w:tc>
        <w:tc>
          <w:tcPr>
            <w:tcW w:w="1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gridSpan w:val="2"/>
            <w:shd w:val="clear" w:color="auto" w:fill="CCEEFF"/>
          </w:tcPr>
          <w:p>
            <w:pPr>
              <w:ind w:left="200"/>
              <w:spacing w:after="0" w:line="169" w:lineRule="exact"/>
              <w:rPr>
                <w:sz w:val="20"/>
                <w:szCs w:val="20"/>
                <w:color w:val="auto"/>
              </w:rPr>
            </w:pPr>
            <w:r>
              <w:rPr>
                <w:rFonts w:ascii="Arial" w:cs="Arial" w:eastAsia="Arial" w:hAnsi="Arial"/>
                <w:sz w:val="18"/>
                <w:szCs w:val="18"/>
                <w:b w:val="1"/>
                <w:bCs w:val="1"/>
                <w:color w:val="auto"/>
              </w:rPr>
              <w:t>September 26,</w:t>
            </w:r>
          </w:p>
        </w:tc>
        <w:tc>
          <w:tcPr>
            <w:tcW w:w="1640" w:type="dxa"/>
            <w:vAlign w:val="bottom"/>
            <w:tcBorders>
              <w:top w:val="single" w:sz="8" w:color="auto"/>
            </w:tcBorders>
            <w:shd w:val="clear" w:color="auto" w:fill="CCEEFF"/>
          </w:tcPr>
          <w:p>
            <w:pPr>
              <w:jc w:val="right"/>
              <w:ind w:right="110"/>
              <w:spacing w:after="0" w:line="169" w:lineRule="exact"/>
              <w:rPr>
                <w:sz w:val="20"/>
                <w:szCs w:val="20"/>
                <w:color w:val="auto"/>
              </w:rPr>
            </w:pPr>
            <w:r>
              <w:rPr>
                <w:rFonts w:ascii="Arial" w:cs="Arial" w:eastAsia="Arial" w:hAnsi="Arial"/>
                <w:sz w:val="18"/>
                <w:szCs w:val="18"/>
                <w:b w:val="1"/>
                <w:bCs w:val="1"/>
                <w:color w:val="auto"/>
              </w:rPr>
              <w:t>September 27,</w:t>
            </w:r>
          </w:p>
        </w:tc>
      </w:tr>
      <w:tr>
        <w:trPr>
          <w:trHeight w:val="230"/>
        </w:trPr>
        <w:tc>
          <w:tcPr>
            <w:tcW w:w="434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Sales</w:t>
            </w: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20" w:type="dxa"/>
            <w:vAlign w:val="bottom"/>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22.2 %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20.9 %</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21.9 %</w:t>
            </w: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20" w:type="dxa"/>
            <w:vAlign w:val="bottom"/>
          </w:tcPr>
          <w:p>
            <w:pPr>
              <w:jc w:val="right"/>
              <w:spacing w:after="0"/>
              <w:rPr>
                <w:sz w:val="20"/>
                <w:szCs w:val="20"/>
                <w:color w:val="auto"/>
              </w:rPr>
            </w:pPr>
            <w:r>
              <w:rPr>
                <w:rFonts w:ascii="Arial" w:cs="Arial" w:eastAsia="Arial" w:hAnsi="Arial"/>
                <w:sz w:val="18"/>
                <w:szCs w:val="18"/>
                <w:color w:val="auto"/>
              </w:rPr>
              <w:t>10.7 %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11.2 %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11.4 %</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11.2 %</w:t>
            </w: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0.3 %</w:t>
            </w: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26, 2021 Compared to Three Months Ended September 27,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7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Sales were $183.3 million for the three months ended September 26, 2021, an increase of $35.5 million, or 24%, from sales of $147.8 million in the same period a year ago.</w:t>
      </w:r>
    </w:p>
    <w:p>
      <w:pPr>
        <w:spacing w:after="0" w:line="20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$22.0 million, or 36%, to $83.2 million for the three months ended September 26,</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sales of $61.2 million in the same period a year ago. Sales of bulk commodity products in the Industrial segment were approximately 16% of sales dollars in the three months ended September 26, 2021 and 15% in the same period of the prior year. The increase in sales was driven by increased sales of both our bulk products as well as our manufactured, blended and repackaged products, in particular certain of our agricultural and food ingredient products.</w:t>
      </w:r>
    </w:p>
    <w:p>
      <w:pPr>
        <w:spacing w:after="0" w:line="212"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$12.6 million, or 25%, to $62.1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26, 2021, from sales of $49.5 million in the same period a year ago. Sales of bulk commodity products in the Water Treatment segment were approximately 8% of sales dollars in the three months ended September 26, 2021 and 9% in the same period of the prior year. Sales increased as a result of increased demand for many of our products, as well as $4.9 million in added sales from the acquisitions of ADC and C&amp;L Aqua in fiscal 2021.</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increased $0.9 million, or 2%, to $38.0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26, 2021, from sales of $37.1 million in the same period a year ago. The increase in sales was primarily driven by increased sales of our specialty distributed products largely as a result of continued increased demand for ingredients used in health and immunity products.</w:t>
      </w:r>
    </w:p>
    <w:p>
      <w:pPr>
        <w:sectPr>
          <w:pgSz w:w="11900" w:h="16838" w:orient="portrait"/>
          <w:cols w:equalWidth="0" w:num="1">
            <w:col w:w="11240"/>
          </w:cols>
          <w:pgMar w:left="320" w:top="5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Gross Profit</w:t>
      </w:r>
    </w:p>
    <w:p>
      <w:pPr>
        <w:spacing w:after="0" w:line="27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Gross profit increased $ 4.5 million, or 14%, to $37.3 million, or 20% of sales, for the three months ended September 26, 2021, from $32.8 million, or 22% of sales, for the same period a year ago. During the three months ended September 26, 2021, the LIFO reserve increased, and gross profit decreased, by $3.0 million, primarily due to rising raw material prices. In the same quarter a year ago, the LIFO reserve decreased, and gross profit increased, by $0.2 million.</w:t>
      </w:r>
    </w:p>
    <w:p>
      <w:pPr>
        <w:spacing w:after="0" w:line="213"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$2.2 million, or 20%, to $12.6 million, or 15% of sales,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26, 2021, from $10.4 million, or 17% of sales, in the same period a year ago. During the three months ended September 26, 2021, the LIFO reserve increased, and gross profit decreased, by $2.3 million, primarily due to rising raw material prices. In the same quarter a year ago, the LIFO reserve decreased, and gross profit increased, by $0.2 million. Gross profit increased as a result of the increase in sales, partially offset by the negative impact of the increase in the LIFO reserve. Gross profit as a percentage of sales decreased due to the gross profit impact from the LIFO charge.</w:t>
      </w:r>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$ 3.0 million, or 21%, to $17.5 million, or 28%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26, 2021, from $14.5 million, or 29% of sales, in the same period a year ago. During the three months ended September 26, 2021, the LIFO reserve increased, and gross profit decreased, by $0.7 million. In the same quarter a year ago, the change in the LIFO reserve had a nominal impact on gross profit. Gross profit increased as a result of the increased sales, including the added sales in the acquired businesses of ADC and C&amp;L Aqua.</w:t>
      </w:r>
    </w:p>
    <w:p>
      <w:pPr>
        <w:spacing w:after="0" w:line="21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decreased $0.6 million, or 8%, to $7.2 million, or 19%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three months ended September 26, 2021, from $7.8 million, or 21% of sales, for the same period a year ago. While sales were up slightly from a year ago, the decrease in gross profit was a result of product mix changes as well as inventory adjustments of $1.0 million due to increased reserves for excess product on hand, in accordance with our reserve policies.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Selling, general and administrative (“SG&amp;A”) expenses increased $1.5 million to $17.7 million, or 10% of sales, for the three months ended September 26, 2021, from $16.2 million, or 11% of sales, for the same period a year ago. Expenses increased in part due to the added costs from the acquired businesses of ADC and C&amp;L Aqua, including $0.3 million of expense for amortization of intangibles, as well as increased variable pay expense.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7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Operating income increased $ 3.0 million, or 18%, to $19.6 million, or 11% of sales, for the three months ended September 26, 2021, from $16.6 million, or 11% of sales, for the same period a year ago due to the combined impact of the factors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$0.3 million for both the three months ended September 26, 2021 and the three months ended September 27,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interest cost as a result of the increase in outstanding borrowings was offset by lower borrowing rates compared to the prior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57"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Other income of $0.2 million for the current quarter was $0.1 million lower than other income of $ 0.3 million in the same period a year ago. This represents gains recorded on investments held for our non-qualified deferred compensation plan. The amount recorded as a gain was offset by a similar amount recorded as an increase to compensation expense within SG&amp;A expenses</w:t>
      </w:r>
      <w:r>
        <w:rPr>
          <w:rFonts w:ascii="Arial" w:cs="Arial" w:eastAsia="Arial" w:hAnsi="Arial"/>
          <w:sz w:val="18"/>
          <w:szCs w:val="18"/>
          <w:i w:val="1"/>
          <w:i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70"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effective income tax rate was 27% for the three months ended September 26, 2021, compared to 26% in the same period a year ago. The effective tax rate is impacted by projected levels of annual taxable income, permanent items, and state taxes. Our effective tax rate for the full year is currently expected to be approximately 26-27%.</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6"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Six Months Ended September 26, 2021 Compared to Six Months Ended September 27, 2020</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7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Sales were $364.5 million for the six months ended September 26, 2021, an increase of $73.5 million, or 25%, from sales of $291.0 million in the same period a year ago.</w:t>
      </w:r>
    </w:p>
    <w:p>
      <w:pPr>
        <w:spacing w:after="0" w:line="20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$36.3 million, or 27%, to $169.0 million for the six months ended September 26,</w:t>
      </w:r>
      <w:r>
        <w:rPr>
          <w:rFonts w:ascii="Arial" w:cs="Arial" w:eastAsia="Arial" w:hAnsi="Arial"/>
          <w:sz w:val="18"/>
          <w:szCs w:val="18"/>
          <w:i w:val="1"/>
          <w:iCs w:val="1"/>
          <w:color w:val="auto"/>
        </w:rPr>
        <w:t xml:space="preserve"> </w:t>
      </w:r>
      <w:r>
        <w:rPr>
          <w:rFonts w:ascii="Arial" w:cs="Arial" w:eastAsia="Arial" w:hAnsi="Arial"/>
          <w:sz w:val="18"/>
          <w:szCs w:val="18"/>
          <w:color w:val="auto"/>
        </w:rPr>
        <w:t>2021, from sales of $132.7 million in the same period a year ago. Sales of bulk commodity products in the Industrial segment were approximately 15% of sales dollars in the six months ended September 26, 2021 and 14% in the same period of the prior year. The increase in sales was driven by increased sales of both our bulk products as well as our manufactured, blended and repackaged products, in particular certain of our agricultural and food ingredient products.</w:t>
      </w:r>
    </w:p>
    <w:p>
      <w:pPr>
        <w:spacing w:after="0" w:line="212"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$29.0 million, or 33%, to $118.3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26, 2021, from sales of $89.3 million in the same period a year ago. Sales of bulk commodity products in the Water Treatment segment were approximately 9% of sales dollars in both the six months ended September 26, 2021 and the six months ended September 27, 2020. Sales increased as a result of increased demand for many of our products, as well as $11.7 million in added sales from the acquisitions of ADC and C&amp;L Aqua in fiscal 2021.</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Health and Nutrition segment sales increased $8.2 million, or 12%, to $77.2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26, 2021, from sales of $69.0 million in the same period a year ago. The increase in sales was primarily driven by increased sales of our specialty distributed products largely as a result of continued increased demand for ingredients used in health and immunity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Gross profit increased $ 12.5 million, or 20%, to $76.3 million, or 21% of sales, for the six months ended September 26, 2021, from $63.8 million, or 22% of sales, in the same period a year ago. During the six months ended September 26, 2021, the LIFO reserve increased, and gross profit decreased, by $ 4.8 million, primarily due to rising raw material costs. In the same quarter a year ago, the LIFO reserve decreased, and gross profit increased, by $0.1 million.</w:t>
      </w:r>
    </w:p>
    <w:p>
      <w:pPr>
        <w:spacing w:after="0" w:line="21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$3.9 million, or 17%, to $26.8 million, or 16% of sales,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26, 2021, from $22.9 million, or 17% of sales, in the same period a year ago. During the six months ended September 26, 2021, the LIFO reserve increased, and gross profit decreased, by $3.7 million, primarily due to rising raw material costs. In the same period a year ago, the LIFO reserve decreased, and gross profit increased, by $0.1 million. Gross profit increased as a result of the increase in sales, partially offset by the negative impact of the increase in the LIFO reserve.</w:t>
      </w:r>
    </w:p>
    <w:p>
      <w:pPr>
        <w:spacing w:after="0" w:line="212" w:lineRule="exact"/>
        <w:rPr>
          <w:sz w:val="20"/>
          <w:szCs w:val="20"/>
          <w:color w:val="auto"/>
        </w:rPr>
      </w:pPr>
    </w:p>
    <w:p>
      <w:pPr>
        <w:ind w:right="260"/>
        <w:spacing w:after="0" w:line="242" w:lineRule="auto"/>
        <w:rPr>
          <w:sz w:val="20"/>
          <w:szCs w:val="20"/>
          <w:color w:val="auto"/>
        </w:rPr>
      </w:pPr>
      <w:r>
        <w:rPr>
          <w:rFonts w:ascii="Arial" w:cs="Arial" w:eastAsia="Arial" w:hAnsi="Arial"/>
          <w:sz w:val="18"/>
          <w:szCs w:val="18"/>
          <w:i w:val="1"/>
          <w:iCs w:val="1"/>
          <w:color w:val="auto"/>
        </w:rPr>
        <w:t>Water Treatment Segment</w:t>
      </w:r>
      <w:r>
        <w:rPr>
          <w:rFonts w:ascii="Arial" w:cs="Arial" w:eastAsia="Arial" w:hAnsi="Arial"/>
          <w:sz w:val="18"/>
          <w:szCs w:val="18"/>
          <w:color w:val="auto"/>
        </w:rPr>
        <w:t>. Gross profit for the Water Treatment segment increased $ 7.9 million, or 31%, to $ 33.8 million, or 29%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September 26, 2021, from $25.9 million, or 29% of sales, in the same period a year ago. During the six months ended September 26, 2021, the LIFO reserve increased, and gross profit decreased, by $1.1 million. In the same period a year ago, the change in the LIFO reserve had a nominal impact on gross profit. Gross profit increased as a result of the increased sales, including the added sales in the acquired businesses of ADC and C&amp;L Aqua.</w:t>
      </w:r>
    </w:p>
    <w:p>
      <w:pPr>
        <w:spacing w:after="0" w:line="212" w:lineRule="exact"/>
        <w:rPr>
          <w:sz w:val="20"/>
          <w:szCs w:val="20"/>
          <w:color w:val="auto"/>
        </w:rPr>
      </w:pPr>
    </w:p>
    <w:p>
      <w:pPr>
        <w:jc w:val="both"/>
        <w:ind w:right="360"/>
        <w:spacing w:after="0" w:line="250"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$ 0.7 million, or 4%, to $15.7 million, or 20%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the six months ended September 26, 2021, from $15.0 million, or 22% of sales, in the same period a year ago. The increase in gross profit was a result of higher sales compared to the prior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SG&amp;A expenses increased $3.2 million to $34.5 million, or 9% of sales, for the six months ended September 26, 2021, from $31.3 million, or 11% of sales, in the same period a year ago. Expenses increased primarily due to the added costs from the acquired businesses of ADC and C&amp;L Aqua, including $0.7 million of expense for amortization of intangibles, as well as increased variable pay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7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Operating income increased $ 9.2 million, or 28%, to $41.7 million, or 11% of sales, for the six months ended September 26, 2021, from $32.5 million, or 11% of sales, in the same period a year ago due to the combined impact of the factors discussed above.</w:t>
      </w:r>
    </w:p>
    <w:p>
      <w:pPr>
        <w:sectPr>
          <w:pgSz w:w="11900" w:h="16838" w:orient="portrait"/>
          <w:cols w:equalWidth="0" w:num="1">
            <w:col w:w="11240"/>
          </w:cols>
          <w:pgMar w:left="320" w:top="5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Interest Expense, Net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$0.7 million for both the six months ended September 26, 2021 and the six months ended September 27, 2020.</w:t>
      </w:r>
    </w:p>
    <w:p>
      <w:pPr>
        <w:spacing w:after="0"/>
        <w:rPr>
          <w:sz w:val="20"/>
          <w:szCs w:val="20"/>
          <w:color w:val="auto"/>
        </w:rPr>
      </w:pPr>
      <w:r>
        <w:rPr>
          <w:rFonts w:ascii="Arial" w:cs="Arial" w:eastAsia="Arial" w:hAnsi="Arial"/>
          <w:sz w:val="18"/>
          <w:szCs w:val="18"/>
          <w:color w:val="auto"/>
        </w:rPr>
        <w:t>Additional interest cost as a result of the increase in outstanding borrowings was offset by lower borrowing rates compared to the prior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43"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Other income of $0.4 million for the six months ended September 26, 2021 was $0.4million lower than other income of $0.8 million in the same period a year ago. This represents gains recorded on investments held for our non-qualified deferred compensation plan. The amount recorded as a gain was offset by a similar amount recorded as an increase to compensation expense within SG&amp;A expenses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5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effective income tax rate was 26% for the six months ended September 26, 2021 and in the same period a year ago. The effective tax rate is impacted by projected levels of annual taxable income, permanent items, and state taxes. Our effective tax rate for the full year is currently expected to be approximately 26-27%.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Cash was $6.8 million at September 26, 2021, an increase of $3.8 million as compared with the $3.0 million available as of March 28, 2021.</w:t>
      </w:r>
    </w:p>
    <w:p>
      <w:pPr>
        <w:spacing w:after="0" w:line="2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Cash provided by operating activities was $40.1 million for the six months ended September 26, 2021, compared to cash provided by operating activities of $20.1 million in the same period a year ago. The year-over-year increase in cash provided by operating activities was primarily driven by year-over-year changes in uses of working capital, including less cash expended in the first six months of the current year for inventory and accounts payable and improved collections of customer receivables, combined with an increase in net income for the six months ended September 26, 2021 compared to the same period a year ago.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because we receive the majority of barges during this period.</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used in investing activities was $7.9 million for the six months ended September 26, 2021, compared to $33.0 million in the same period a year ago. Capital expenditures were $ 6.9 million for the six months ended September 26, 2021, compared to $ 8.1 million in the same period a year ago. In the first six months of the prior year, we had larger investments in facility improvements and new and replacement equipment compared to the first six months of the current year due to the timing of capital projects. Also in the first six months of the prior year, we closed on the acquisition of ADC for $25 million in cash.</w:t>
      </w:r>
    </w:p>
    <w:p>
      <w:pPr>
        <w:spacing w:after="0" w:line="2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used in financing activities was $28.4 million for the six months ended September 26, 2021, compared to $11.8 million of cash provided by financing activities in the same period a year ago. Included in financing activities in the first six months of the current year were net debt repayments of $15.0 million, compared to net debt borrowings of $16.0 million in the first six months of the prior year. In addition, we repurchased $7.4 million of shares of our common stock in the first six months of the current fiscal year, compared to no shares repurchased in the same period a year ago.</w:t>
      </w: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Board has authorized the repurchase of up to 1.6 million shares of our outstanding common stock.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six months ended September 26, 2021, we repurchased 209,963 shares of common stock with an aggregate purchase price of $7.4 million. During the six months ended September 27, 2020, no shares were repurchased. As of September 26, 2021, 341,543 shares remained available to be repurchased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6" w:right="339" w:bottom="1440" w:gutter="0" w:footer="0" w:header="0"/>
        </w:sectPr>
      </w:pPr>
    </w:p>
    <w:bookmarkStart w:id="19" w:name="page20"/>
    <w:bookmarkEnd w:id="19"/>
    <w:p>
      <w:pPr>
        <w:ind w:right="40"/>
        <w:spacing w:after="0" w:line="252" w:lineRule="auto"/>
        <w:rPr>
          <w:sz w:val="20"/>
          <w:szCs w:val="20"/>
          <w:color w:val="auto"/>
        </w:rPr>
      </w:pPr>
      <w:r>
        <w:rPr>
          <w:rFonts w:ascii="Arial" w:cs="Arial" w:eastAsia="Arial" w:hAnsi="Arial"/>
          <w:sz w:val="18"/>
          <w:szCs w:val="18"/>
          <w:color w:val="auto"/>
        </w:rPr>
        <w:t>We are party 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revolving credit facilities (the “Revolving Loan Facility”) totaling $150.0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2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LIBOR for an interest period of one, two, three or nine months as selected by us, reset at the end of the selected interest period, or (b) a base rate determined by reference to the highest of (1) U. S. Bank’s prime rate, (2) the Federal Funds Effective Rate plus 0.5%, or (3) one-month LIBOR for U.S. dollars plus 1.0%. The LIBOR margin is between 0.85% - 1.35%, depending on our leverage ratio. The base rate margin is between 0.00% - 0.35%, depending on our leverage ratio. In the event that the ICE Benchmark Administration (or any person that takes over administration of such rate) determines that LIBOR is no longer available, including as a result of the intended phase out of LIBOR by the end of 2021, our Revolving Loan Facility provides for an alternative rate of interest to be jointly determined by us and U.S. Bank, as administrative agent, that gives due consideration to the then prevailing market convention for determining a rate of interest for syndicated loans in the United States. Once such successor rate has been approved by us and U.S. Bank, the Revolving Credit Loan Facility would be amended to use such successor rate without any further action or consent of any other lender, so long as the administrative agent does not receive any objection from any other lender. At September 26, 2021, the effective interest rate on our borrowings was 1.1%.</w:t>
      </w:r>
    </w:p>
    <w:p>
      <w:pPr>
        <w:spacing w:after="0" w:line="2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- 0.25%, depending on our leverage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2021, the unamortized balance of these costs was $0.2 million, and is reflected as a reduction of debt on our balance sheet.</w:t>
      </w:r>
    </w:p>
    <w:p>
      <w:pPr>
        <w:spacing w:after="0" w:line="25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September 26, 2021.</w:t>
      </w:r>
    </w:p>
    <w:p>
      <w:pPr>
        <w:spacing w:after="0" w:line="2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Revolving Loan Facility.</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3" w:lineRule="exact"/>
        <w:rPr>
          <w:sz w:val="20"/>
          <w:szCs w:val="20"/>
          <w:color w:val="auto"/>
        </w:rPr>
      </w:pPr>
    </w:p>
    <w:p>
      <w:pPr>
        <w:ind w:right="380"/>
        <w:spacing w:after="0" w:line="261" w:lineRule="auto"/>
        <w:rPr>
          <w:rFonts w:ascii="Arial" w:cs="Arial" w:eastAsia="Arial" w:hAnsi="Arial"/>
          <w:sz w:val="18"/>
          <w:szCs w:val="18"/>
          <w:color w:val="0000FF"/>
        </w:rPr>
      </w:pPr>
      <w:hyperlink r:id="rId18">
        <w:r>
          <w:rPr>
            <w:rFonts w:ascii="Arial" w:cs="Arial" w:eastAsia="Arial" w:hAnsi="Arial"/>
            <w:sz w:val="18"/>
            <w:szCs w:val="18"/>
            <w:color w:val="auto"/>
          </w:rPr>
          <w:t xml:space="preserve">There were no material changes in our critical accounting estimates since the filing of our </w:t>
        </w:r>
        <w:r>
          <w:rPr>
            <w:rFonts w:ascii="Arial" w:cs="Arial" w:eastAsia="Arial" w:hAnsi="Arial"/>
            <w:sz w:val="18"/>
            <w:szCs w:val="18"/>
            <w:u w:val="single" w:color="auto"/>
            <w:color w:val="0000FF"/>
          </w:rPr>
          <w:t>Annual Report on Form 10-K for the fiscal year</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ended March 28, 2021</w:t>
        </w:r>
        <w:r>
          <w:rPr>
            <w:rFonts w:ascii="Arial" w:cs="Arial" w:eastAsia="Arial" w:hAnsi="Arial"/>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39" w:lineRule="exact"/>
        <w:rPr>
          <w:sz w:val="20"/>
          <w:szCs w:val="20"/>
          <w:color w:val="auto"/>
        </w:rPr>
      </w:pPr>
    </w:p>
    <w:p>
      <w:pPr>
        <w:spacing w:after="0" w:line="251" w:lineRule="auto"/>
        <w:rPr>
          <w:rFonts w:ascii="Arial" w:cs="Arial" w:eastAsia="Arial" w:hAnsi="Arial"/>
          <w:sz w:val="18"/>
          <w:szCs w:val="18"/>
          <w:color w:val="0000FF"/>
        </w:rPr>
      </w:pPr>
      <w:r>
        <w:rPr>
          <w:rFonts w:ascii="Arial" w:cs="Arial" w:eastAsia="Arial" w:hAnsi="Arial"/>
          <w:sz w:val="18"/>
          <w:szCs w:val="18"/>
          <w:color w:val="auto"/>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w:t>
      </w:r>
      <w:hyperlink r:id="rId18">
        <w:r>
          <w:rPr>
            <w:rFonts w:ascii="Arial" w:cs="Arial" w:eastAsia="Arial" w:hAnsi="Arial"/>
            <w:sz w:val="18"/>
            <w:szCs w:val="18"/>
            <w:color w:val="auto"/>
          </w:rPr>
          <w:t xml:space="preserve">information concerning potential factors that could affect future financial results is included in our </w:t>
        </w:r>
        <w:r>
          <w:rPr>
            <w:rFonts w:ascii="Arial" w:cs="Arial" w:eastAsia="Arial" w:hAnsi="Arial"/>
            <w:sz w:val="18"/>
            <w:szCs w:val="18"/>
            <w:u w:val="single" w:color="auto"/>
            <w:color w:val="0000FF"/>
          </w:rPr>
          <w:t>Annual Report on Form 10-K for the fiscal</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year ended March 28, 2021</w:t>
        </w:r>
        <w:r>
          <w:rPr>
            <w:rFonts w:ascii="Arial" w:cs="Arial" w:eastAsia="Arial" w:hAnsi="Arial"/>
            <w:sz w:val="18"/>
            <w:szCs w:val="18"/>
            <w:color w:val="000000"/>
          </w:rPr>
          <w:t>. We caution you not to place undue reliance on these forward-looking statements, which reflect our</w:t>
        </w:r>
      </w:hyperlink>
      <w:r>
        <w:rPr>
          <w:rFonts w:ascii="Arial" w:cs="Arial" w:eastAsia="Arial" w:hAnsi="Arial"/>
          <w:sz w:val="18"/>
          <w:szCs w:val="18"/>
          <w:color w:val="0000FF"/>
        </w:rPr>
        <w:t xml:space="preserve"> </w:t>
      </w:r>
      <w:r>
        <w:rPr>
          <w:rFonts w:ascii="Arial" w:cs="Arial" w:eastAsia="Arial" w:hAnsi="Arial"/>
          <w:sz w:val="18"/>
          <w:szCs w:val="18"/>
          <w:color w:val="000000"/>
        </w:rPr>
        <w:t>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229"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Revolving Loan Facility. A 25-basis point change in interest rates would potentially increase or decrease our annual interest expense by approximately $0.2 million.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September 26, 2021.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2022 that has materially affected, or is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171" w:lineRule="exact"/>
        <w:rPr>
          <w:sz w:val="20"/>
          <w:szCs w:val="20"/>
          <w:color w:val="auto"/>
        </w:rPr>
      </w:pPr>
    </w:p>
    <w:p>
      <w:pPr>
        <w:ind w:right="260"/>
        <w:spacing w:after="0" w:line="261" w:lineRule="auto"/>
        <w:rPr>
          <w:rFonts w:ascii="Arial" w:cs="Arial" w:eastAsia="Arial" w:hAnsi="Arial"/>
          <w:sz w:val="18"/>
          <w:szCs w:val="18"/>
          <w:color w:val="0000FF"/>
        </w:rPr>
      </w:pPr>
      <w:hyperlink r:id="rId18">
        <w:r>
          <w:rPr>
            <w:rFonts w:ascii="Arial" w:cs="Arial" w:eastAsia="Arial" w:hAnsi="Arial"/>
            <w:sz w:val="18"/>
            <w:szCs w:val="18"/>
            <w:color w:val="auto"/>
          </w:rPr>
          <w:t xml:space="preserve">There have been no material changes to our risk factors from those disclosed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FF"/>
          </w:rPr>
          <w:t>March 28, 2021</w:t>
        </w:r>
        <w:r>
          <w:rPr>
            <w:rFonts w:ascii="Arial" w:cs="Arial" w:eastAsia="Arial" w:hAnsi="Arial"/>
            <w:sz w:val="18"/>
            <w:szCs w:val="18"/>
            <w:color w:val="000000"/>
          </w:rPr>
          <w:t>.</w:t>
        </w:r>
      </w:hyperlink>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announced, our Board has authorized the repurchase of up to 1,600,000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September 26, 2021:</w:t>
      </w:r>
    </w:p>
    <w:tbl>
      <w:tblPr>
        <w:tblLayout w:type="fixed"/>
        <w:tblInd w:w="66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9"/>
              </w:rPr>
              <w:t>Total Number of Shares</w:t>
            </w:r>
          </w:p>
        </w:tc>
        <w:tc>
          <w:tcPr>
            <w:tcW w:w="120" w:type="dxa"/>
            <w:vAlign w:val="bottom"/>
          </w:tcPr>
          <w:p>
            <w:pPr>
              <w:spacing w:after="0"/>
              <w:rPr>
                <w:sz w:val="15"/>
                <w:szCs w:val="15"/>
                <w:color w:val="auto"/>
              </w:rPr>
            </w:pPr>
          </w:p>
        </w:tc>
        <w:tc>
          <w:tcPr>
            <w:tcW w:w="208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vMerge w:val="restart"/>
          </w:tcPr>
          <w:p>
            <w:pPr>
              <w:jc w:val="right"/>
              <w:ind w:right="54"/>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4"/>
                <w:szCs w:val="14"/>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Average Price Paid</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 a</w:t>
            </w:r>
          </w:p>
        </w:tc>
        <w:tc>
          <w:tcPr>
            <w:tcW w:w="12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2460" w:type="dxa"/>
            <w:vAlign w:val="bottom"/>
            <w:vMerge w:val="restart"/>
          </w:tcPr>
          <w:p>
            <w:pPr>
              <w:spacing w:after="0"/>
              <w:rPr>
                <w:sz w:val="20"/>
                <w:szCs w:val="20"/>
                <w:color w:val="auto"/>
              </w:rPr>
            </w:pPr>
            <w:r>
              <w:rPr>
                <w:rFonts w:ascii="Arial" w:cs="Arial" w:eastAsia="Arial" w:hAnsi="Arial"/>
                <w:sz w:val="16"/>
                <w:szCs w:val="16"/>
                <w:b w:val="1"/>
                <w:bCs w:val="1"/>
                <w:color w:val="auto"/>
              </w:rPr>
              <w:t>Period</w:t>
            </w:r>
          </w:p>
        </w:tc>
        <w:tc>
          <w:tcPr>
            <w:tcW w:w="100" w:type="dxa"/>
            <w:vAlign w:val="bottom"/>
            <w:vMerge w:val="restart"/>
          </w:tcPr>
          <w:p>
            <w:pPr>
              <w:spacing w:after="0"/>
              <w:rPr>
                <w:sz w:val="14"/>
                <w:szCs w:val="14"/>
                <w:color w:val="auto"/>
              </w:rPr>
            </w:pPr>
          </w:p>
        </w:tc>
        <w:tc>
          <w:tcPr>
            <w:tcW w:w="1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20" w:type="dxa"/>
            <w:vAlign w:val="bottom"/>
          </w:tcPr>
          <w:p>
            <w:pPr>
              <w:spacing w:after="0"/>
              <w:rPr>
                <w:sz w:val="14"/>
                <w:szCs w:val="14"/>
                <w:color w:val="auto"/>
              </w:rPr>
            </w:pPr>
          </w:p>
        </w:tc>
        <w:tc>
          <w:tcPr>
            <w:tcW w:w="2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Plans or</w:t>
            </w:r>
          </w:p>
        </w:tc>
        <w:tc>
          <w:tcPr>
            <w:tcW w:w="0" w:type="dxa"/>
            <w:vAlign w:val="bottom"/>
          </w:tcPr>
          <w:p>
            <w:pPr>
              <w:spacing w:after="0"/>
              <w:rPr>
                <w:sz w:val="1"/>
                <w:szCs w:val="1"/>
                <w:color w:val="auto"/>
              </w:rPr>
            </w:pPr>
          </w:p>
        </w:tc>
      </w:tr>
      <w:tr>
        <w:trPr>
          <w:trHeight w:val="215"/>
        </w:trPr>
        <w:tc>
          <w:tcPr>
            <w:tcW w:w="2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 or Program</w:t>
            </w:r>
          </w:p>
        </w:tc>
        <w:tc>
          <w:tcPr>
            <w:tcW w:w="12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06/28/2021-07/25/2021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450,552</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07/26/2021-08/22/2021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51,811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51,811</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398,741</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08/23/2021-09/26/2021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57,198</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341,543</w:t>
            </w: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 w:type="dxa"/>
            <w:vAlign w:val="bottom"/>
          </w:tcPr>
          <w:p>
            <w:pPr>
              <w:spacing w:after="0"/>
              <w:rPr>
                <w:sz w:val="18"/>
                <w:szCs w:val="18"/>
                <w:color w:val="auto"/>
              </w:rPr>
            </w:pPr>
          </w:p>
        </w:tc>
        <w:tc>
          <w:tcPr>
            <w:tcW w:w="1900" w:type="dxa"/>
            <w:vAlign w:val="bottom"/>
          </w:tcPr>
          <w:p>
            <w:pPr>
              <w:ind w:left="280"/>
              <w:spacing w:after="0"/>
              <w:rPr>
                <w:sz w:val="20"/>
                <w:szCs w:val="20"/>
                <w:color w:val="auto"/>
              </w:rPr>
            </w:pPr>
            <w:r>
              <w:rPr>
                <w:rFonts w:ascii="Arial" w:cs="Arial" w:eastAsia="Arial" w:hAnsi="Arial"/>
                <w:sz w:val="18"/>
                <w:szCs w:val="18"/>
                <w:color w:val="auto"/>
              </w:rPr>
              <w:t>Total</w:t>
            </w:r>
          </w:p>
        </w:tc>
        <w:tc>
          <w:tcPr>
            <w:tcW w:w="3420" w:type="dxa"/>
            <w:vAlign w:val="bottom"/>
          </w:tcPr>
          <w:p>
            <w:pPr>
              <w:jc w:val="right"/>
              <w:ind w:right="1430"/>
              <w:spacing w:after="0"/>
              <w:rPr>
                <w:sz w:val="20"/>
                <w:szCs w:val="20"/>
                <w:color w:val="auto"/>
              </w:rPr>
            </w:pPr>
            <w:r>
              <w:rPr>
                <w:rFonts w:ascii="Arial" w:cs="Arial" w:eastAsia="Arial" w:hAnsi="Arial"/>
                <w:sz w:val="18"/>
                <w:szCs w:val="18"/>
                <w:color w:val="auto"/>
              </w:rPr>
              <w:t>109,009</w:t>
            </w:r>
          </w:p>
        </w:tc>
        <w:tc>
          <w:tcPr>
            <w:tcW w:w="2160" w:type="dxa"/>
            <w:vAlign w:val="bottom"/>
          </w:tcPr>
          <w:p>
            <w:pPr>
              <w:jc w:val="right"/>
              <w:spacing w:after="0"/>
              <w:rPr>
                <w:sz w:val="20"/>
                <w:szCs w:val="20"/>
                <w:color w:val="auto"/>
              </w:rPr>
            </w:pPr>
            <w:r>
              <w:rPr>
                <w:rFonts w:ascii="Arial" w:cs="Arial" w:eastAsia="Arial" w:hAnsi="Arial"/>
                <w:sz w:val="18"/>
                <w:szCs w:val="18"/>
                <w:color w:val="auto"/>
              </w:rPr>
              <w:t>109,009</w:t>
            </w:r>
          </w:p>
        </w:tc>
      </w:tr>
      <w:tr>
        <w:trPr>
          <w:trHeight w:val="796"/>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5320" w:type="dxa"/>
            <w:vAlign w:val="bottom"/>
            <w:gridSpan w:val="2"/>
          </w:tcPr>
          <w:p>
            <w:pPr>
              <w:jc w:val="right"/>
              <w:ind w:right="1670"/>
              <w:spacing w:after="0"/>
              <w:rPr>
                <w:sz w:val="20"/>
                <w:szCs w:val="20"/>
                <w:color w:val="auto"/>
              </w:rPr>
            </w:pPr>
            <w:r>
              <w:rPr>
                <w:rFonts w:ascii="Arial" w:cs="Arial" w:eastAsia="Arial" w:hAnsi="Arial"/>
                <w:sz w:val="18"/>
                <w:szCs w:val="18"/>
                <w:color w:val="auto"/>
              </w:rPr>
              <w:t>DEFAULTS UPON SENIOR SECURITIES</w:t>
            </w:r>
          </w:p>
        </w:tc>
        <w:tc>
          <w:tcPr>
            <w:tcW w:w="2160" w:type="dxa"/>
            <w:vAlign w:val="bottom"/>
          </w:tcPr>
          <w:p>
            <w:pPr>
              <w:spacing w:after="0"/>
              <w:rPr>
                <w:sz w:val="24"/>
                <w:szCs w:val="24"/>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None.</w:t>
            </w:r>
          </w:p>
        </w:tc>
        <w:tc>
          <w:tcPr>
            <w:tcW w:w="1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7"/>
        </w:trPr>
        <w:tc>
          <w:tcPr>
            <w:tcW w:w="840" w:type="dxa"/>
            <w:vAlign w:val="bottom"/>
          </w:tcPr>
          <w:p>
            <w:pPr>
              <w:jc w:val="right"/>
              <w:ind w:right="112"/>
              <w:spacing w:after="0"/>
              <w:rPr>
                <w:sz w:val="20"/>
                <w:szCs w:val="20"/>
                <w:color w:val="auto"/>
              </w:rPr>
            </w:pPr>
            <w:r>
              <w:rPr>
                <w:rFonts w:ascii="Arial" w:cs="Arial" w:eastAsia="Arial" w:hAnsi="Arial"/>
                <w:sz w:val="18"/>
                <w:szCs w:val="18"/>
                <w:color w:val="auto"/>
                <w:w w:val="98"/>
              </w:rPr>
              <w:t>ITEM 6.</w:t>
            </w:r>
          </w:p>
        </w:tc>
        <w:tc>
          <w:tcPr>
            <w:tcW w:w="7920" w:type="dxa"/>
            <w:vAlign w:val="bottom"/>
            <w:gridSpan w:val="7"/>
          </w:tcPr>
          <w:p>
            <w:pPr>
              <w:ind w:left="200"/>
              <w:spacing w:after="0"/>
              <w:rPr>
                <w:sz w:val="20"/>
                <w:szCs w:val="20"/>
                <w:color w:val="auto"/>
              </w:rPr>
            </w:pPr>
            <w:r>
              <w:rPr>
                <w:rFonts w:ascii="Arial" w:cs="Arial" w:eastAsia="Arial" w:hAnsi="Arial"/>
                <w:sz w:val="18"/>
                <w:szCs w:val="18"/>
                <w:color w:val="auto"/>
              </w:rPr>
              <w:t>EXHIBITS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89"/>
        </w:trPr>
        <w:tc>
          <w:tcPr>
            <w:tcW w:w="840" w:type="dxa"/>
            <w:vAlign w:val="bottom"/>
          </w:tcPr>
          <w:p>
            <w:pPr>
              <w:jc w:val="right"/>
              <w:ind w:right="52"/>
              <w:spacing w:after="0"/>
              <w:rPr>
                <w:sz w:val="20"/>
                <w:szCs w:val="20"/>
                <w:color w:val="auto"/>
              </w:rPr>
            </w:pPr>
            <w:r>
              <w:rPr>
                <w:rFonts w:ascii="Arial" w:cs="Arial" w:eastAsia="Arial" w:hAnsi="Arial"/>
                <w:sz w:val="14"/>
                <w:szCs w:val="14"/>
                <w:color w:val="auto"/>
              </w:rPr>
              <w:t>Exhibit</w:t>
            </w:r>
          </w:p>
        </w:tc>
        <w:tc>
          <w:tcPr>
            <w:tcW w:w="2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w w:val="97"/>
              </w:rPr>
              <w:t>Description</w:t>
            </w:r>
          </w:p>
        </w:tc>
        <w:tc>
          <w:tcPr>
            <w:tcW w:w="3660" w:type="dxa"/>
            <w:vAlign w:val="bottom"/>
            <w:gridSpan w:val="3"/>
          </w:tcPr>
          <w:p>
            <w:pPr>
              <w:spacing w:after="0"/>
              <w:rPr>
                <w:sz w:val="16"/>
                <w:szCs w:val="16"/>
                <w:color w:val="auto"/>
              </w:rPr>
            </w:pPr>
          </w:p>
        </w:tc>
        <w:tc>
          <w:tcPr>
            <w:tcW w:w="2280" w:type="dxa"/>
            <w:vAlign w:val="bottom"/>
            <w:gridSpan w:val="3"/>
          </w:tcPr>
          <w:p>
            <w:pPr>
              <w:jc w:val="center"/>
              <w:ind w:left="52"/>
              <w:spacing w:after="0"/>
              <w:rPr>
                <w:sz w:val="20"/>
                <w:szCs w:val="20"/>
                <w:color w:val="auto"/>
              </w:rPr>
            </w:pPr>
            <w:r>
              <w:rPr>
                <w:rFonts w:ascii="Arial" w:cs="Arial" w:eastAsia="Arial" w:hAnsi="Arial"/>
                <w:sz w:val="14"/>
                <w:szCs w:val="14"/>
                <w:color w:val="auto"/>
              </w:rPr>
              <w:t>Method of Filing</w:t>
            </w:r>
          </w:p>
        </w:tc>
      </w:tr>
      <w:tr>
        <w:trPr>
          <w:trHeight w:val="20"/>
        </w:trPr>
        <w:tc>
          <w:tcPr>
            <w:tcW w:w="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tcPr>
          <w:p>
            <w:pPr>
              <w:jc w:val="right"/>
              <w:ind w:right="112"/>
              <w:spacing w:after="0" w:line="196" w:lineRule="exact"/>
              <w:rPr>
                <w:sz w:val="20"/>
                <w:szCs w:val="20"/>
                <w:color w:val="auto"/>
              </w:rPr>
            </w:pPr>
            <w:r>
              <w:rPr>
                <w:rFonts w:ascii="Arial" w:cs="Arial" w:eastAsia="Arial" w:hAnsi="Arial"/>
                <w:sz w:val="18"/>
                <w:szCs w:val="18"/>
                <w:color w:val="auto"/>
              </w:rPr>
              <w:t>3.1</w:t>
            </w:r>
          </w:p>
        </w:tc>
        <w:tc>
          <w:tcPr>
            <w:tcW w:w="3540" w:type="dxa"/>
            <w:vAlign w:val="bottom"/>
            <w:gridSpan w:val="2"/>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 xml:space="preserve">Restated Articles of Incorporation. </w:t>
              </w:r>
            </w:hyperlink>
            <w:r>
              <w:rPr>
                <w:rFonts w:ascii="Arial" w:cs="Arial" w:eastAsia="Arial" w:hAnsi="Arial"/>
                <w:sz w:val="18"/>
                <w:szCs w:val="18"/>
                <w:color w:val="000000"/>
              </w:rPr>
              <w:t>(1)</w:t>
            </w:r>
          </w:p>
        </w:tc>
        <w:tc>
          <w:tcPr>
            <w:tcW w:w="720" w:type="dxa"/>
            <w:vAlign w:val="bottom"/>
            <w:gridSpan w:val="2"/>
          </w:tcPr>
          <w:p>
            <w:pPr>
              <w:spacing w:after="0"/>
              <w:rPr>
                <w:sz w:val="17"/>
                <w:szCs w:val="17"/>
                <w:color w:val="auto"/>
              </w:rPr>
            </w:pPr>
          </w:p>
        </w:tc>
        <w:tc>
          <w:tcPr>
            <w:tcW w:w="3660" w:type="dxa"/>
            <w:vAlign w:val="bottom"/>
            <w:gridSpan w:val="3"/>
          </w:tcPr>
          <w:p>
            <w:pPr>
              <w:spacing w:after="0"/>
              <w:rPr>
                <w:sz w:val="17"/>
                <w:szCs w:val="17"/>
                <w:color w:val="auto"/>
              </w:rPr>
            </w:pPr>
          </w:p>
        </w:tc>
        <w:tc>
          <w:tcPr>
            <w:tcW w:w="2280" w:type="dxa"/>
            <w:vAlign w:val="bottom"/>
            <w:gridSpan w:val="3"/>
          </w:tcPr>
          <w:p>
            <w:pPr>
              <w:jc w:val="center"/>
              <w:ind w:left="52"/>
              <w:spacing w:after="0" w:line="196" w:lineRule="exact"/>
              <w:rPr>
                <w:sz w:val="20"/>
                <w:szCs w:val="20"/>
                <w:color w:val="auto"/>
              </w:rPr>
            </w:pPr>
            <w:r>
              <w:rPr>
                <w:rFonts w:ascii="Arial" w:cs="Arial" w:eastAsia="Arial" w:hAnsi="Arial"/>
                <w:sz w:val="18"/>
                <w:szCs w:val="18"/>
                <w:color w:val="auto"/>
              </w:rPr>
              <w:t>Incorporated by Reference</w:t>
            </w:r>
          </w:p>
        </w:tc>
      </w:tr>
      <w:tr>
        <w:trPr>
          <w:trHeight w:val="20"/>
        </w:trPr>
        <w:tc>
          <w:tcPr>
            <w:tcW w:w="84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r>
      <w:tr>
        <w:trPr>
          <w:trHeight w:val="210"/>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7920" w:type="dxa"/>
            <w:vAlign w:val="bottom"/>
            <w:gridSpan w:val="7"/>
          </w:tcPr>
          <w:p>
            <w:pPr>
              <w:spacing w:after="0"/>
              <w:rPr>
                <w:rFonts w:ascii="Arial" w:cs="Arial" w:eastAsia="Arial" w:hAnsi="Arial"/>
                <w:sz w:val="18"/>
                <w:szCs w:val="18"/>
                <w:color w:val="0000FF"/>
              </w:rPr>
            </w:pPr>
            <w:hyperlink r:id="rId44">
              <w:r>
                <w:rPr>
                  <w:rFonts w:ascii="Arial" w:cs="Arial" w:eastAsia="Arial" w:hAnsi="Arial"/>
                  <w:sz w:val="18"/>
                  <w:szCs w:val="18"/>
                  <w:color w:val="0000FF"/>
                </w:rPr>
                <w:t xml:space="preserve">Amended and Restated By-Laws. </w:t>
              </w:r>
            </w:hyperlink>
            <w:r>
              <w:rPr>
                <w:rFonts w:ascii="Arial" w:cs="Arial" w:eastAsia="Arial" w:hAnsi="Arial"/>
                <w:sz w:val="18"/>
                <w:szCs w:val="18"/>
                <w:color w:val="000000"/>
              </w:rPr>
              <w:t>(2)</w:t>
            </w: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rPr>
              <w:t>Incorporated by Reference</w:t>
            </w:r>
          </w:p>
        </w:tc>
      </w:tr>
      <w:tr>
        <w:trPr>
          <w:trHeight w:val="20"/>
        </w:trPr>
        <w:tc>
          <w:tcPr>
            <w:tcW w:w="84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31.1</w:t>
            </w:r>
          </w:p>
        </w:tc>
        <w:tc>
          <w:tcPr>
            <w:tcW w:w="7920" w:type="dxa"/>
            <w:vAlign w:val="bottom"/>
            <w:gridSpan w:val="7"/>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Certification by Chief Executive Officer pursuant to Rule 13a-14(a) of the Exchange Act.</w:t>
              </w:r>
            </w:hyperlink>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31.2</w:t>
            </w:r>
          </w:p>
        </w:tc>
        <w:tc>
          <w:tcPr>
            <w:tcW w:w="6980" w:type="dxa"/>
            <w:vAlign w:val="bottom"/>
            <w:tcBorders>
              <w:top w:val="single" w:sz="8" w:color="0000FF"/>
            </w:tcBorders>
            <w:gridSpan w:val="6"/>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Certification by Chief Financial Officer pursuant to Rule 13a-14(a) of the Exchange Act.</w:t>
              </w:r>
            </w:hyperlink>
          </w:p>
        </w:tc>
        <w:tc>
          <w:tcPr>
            <w:tcW w:w="940" w:type="dxa"/>
            <w:vAlign w:val="bottom"/>
          </w:tcPr>
          <w:p>
            <w:pPr>
              <w:spacing w:after="0"/>
              <w:rPr>
                <w:sz w:val="18"/>
                <w:szCs w:val="18"/>
                <w:color w:val="auto"/>
              </w:rPr>
            </w:pP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426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9"/>
              </w:rPr>
            </w:pPr>
            <w:hyperlink w:anchor="page28">
              <w:r>
                <w:rPr>
                  <w:rFonts w:ascii="Arial" w:cs="Arial" w:eastAsia="Arial" w:hAnsi="Arial"/>
                  <w:sz w:val="18"/>
                  <w:szCs w:val="18"/>
                  <w:color w:val="0000FF"/>
                  <w:w w:val="99"/>
                </w:rPr>
                <w:t>Section 1350 Certification by Chief Executive Officer.</w:t>
              </w:r>
            </w:hyperlink>
          </w:p>
        </w:tc>
        <w:tc>
          <w:tcPr>
            <w:tcW w:w="2660" w:type="dxa"/>
            <w:vAlign w:val="bottom"/>
            <w:tcBorders>
              <w:top w:val="single" w:sz="8" w:color="0000FF"/>
            </w:tcBorders>
          </w:tcPr>
          <w:p>
            <w:pPr>
              <w:spacing w:after="0"/>
              <w:rPr>
                <w:sz w:val="18"/>
                <w:szCs w:val="18"/>
                <w:color w:val="auto"/>
              </w:rPr>
            </w:pPr>
          </w:p>
        </w:tc>
        <w:tc>
          <w:tcPr>
            <w:tcW w:w="1000" w:type="dxa"/>
            <w:vAlign w:val="bottom"/>
            <w:gridSpan w:val="2"/>
          </w:tcPr>
          <w:p>
            <w:pPr>
              <w:spacing w:after="0"/>
              <w:rPr>
                <w:sz w:val="18"/>
                <w:szCs w:val="18"/>
                <w:color w:val="auto"/>
              </w:rPr>
            </w:pP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416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29">
              <w:r>
                <w:rPr>
                  <w:rFonts w:ascii="Arial" w:cs="Arial" w:eastAsia="Arial" w:hAnsi="Arial"/>
                  <w:sz w:val="18"/>
                  <w:szCs w:val="18"/>
                  <w:color w:val="0000FF"/>
                  <w:w w:val="99"/>
                </w:rPr>
                <w:t>Section 1350 Certification by Chief Financial Officer.</w:t>
              </w:r>
            </w:hyperlink>
          </w:p>
        </w:tc>
        <w:tc>
          <w:tcPr>
            <w:tcW w:w="3760" w:type="dxa"/>
            <w:vAlign w:val="bottom"/>
            <w:gridSpan w:val="4"/>
          </w:tcPr>
          <w:p>
            <w:pPr>
              <w:spacing w:after="0"/>
              <w:rPr>
                <w:sz w:val="18"/>
                <w:szCs w:val="18"/>
                <w:color w:val="auto"/>
              </w:rPr>
            </w:pP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209"/>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7920" w:type="dxa"/>
            <w:vAlign w:val="bottom"/>
            <w:gridSpan w:val="7"/>
          </w:tcPr>
          <w:p>
            <w:pPr>
              <w:spacing w:after="0"/>
              <w:rPr>
                <w:sz w:val="20"/>
                <w:szCs w:val="20"/>
                <w:color w:val="auto"/>
              </w:rPr>
            </w:pPr>
            <w:r>
              <w:rPr>
                <w:rFonts w:ascii="Arial" w:cs="Arial" w:eastAsia="Arial" w:hAnsi="Arial"/>
                <w:sz w:val="18"/>
                <w:szCs w:val="18"/>
                <w:color w:val="auto"/>
              </w:rPr>
              <w:t>Financial statements from the Quarterly Report on Form 10-Q of Hawkins, Inc. for the period</w:t>
            </w: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r>
        <w:trPr>
          <w:trHeight w:val="175"/>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ended September 26, 2021 filed with the SEC on October 27, 2021 formatted in Inline Extensible</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Business Reporting Language (iXBRL); (i) the Condensed Consolidated Balance Sheets at</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September 26, 2021 and March 28, 2021, (ii) the Condensed Consolidated Statements of Income</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for the three and six months ended September 26, 2021 and September 27, 2020, (iii) the</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Condensed Consolidated Statements of Comprehensive Income for the three and six months</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ended September 26, 2021 and September 27, 2020, (iv) the Condensed Consolidated</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Statements of Shareholder's Equity for the three and six months ended September 26, 2021 and</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5"/>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September 27, 2020, (v) the Condensed Consolidated Statements of Cash Flows for the six</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7920" w:type="dxa"/>
            <w:vAlign w:val="bottom"/>
            <w:gridSpan w:val="7"/>
          </w:tcPr>
          <w:p>
            <w:pPr>
              <w:spacing w:after="0" w:line="176" w:lineRule="exact"/>
              <w:rPr>
                <w:sz w:val="20"/>
                <w:szCs w:val="20"/>
                <w:color w:val="auto"/>
              </w:rPr>
            </w:pPr>
            <w:r>
              <w:rPr>
                <w:rFonts w:ascii="Arial" w:cs="Arial" w:eastAsia="Arial" w:hAnsi="Arial"/>
                <w:sz w:val="18"/>
                <w:szCs w:val="18"/>
                <w:color w:val="auto"/>
              </w:rPr>
              <w:t>months ended September 26, 2021 and September 27, 2020, and (vi) Notes to Condensed</w:t>
            </w:r>
          </w:p>
        </w:tc>
        <w:tc>
          <w:tcPr>
            <w:tcW w:w="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17"/>
        </w:trPr>
        <w:tc>
          <w:tcPr>
            <w:tcW w:w="840" w:type="dxa"/>
            <w:vAlign w:val="bottom"/>
          </w:tcPr>
          <w:p>
            <w:pPr>
              <w:spacing w:after="0"/>
              <w:rPr>
                <w:sz w:val="18"/>
                <w:szCs w:val="18"/>
                <w:color w:val="auto"/>
              </w:rPr>
            </w:pPr>
          </w:p>
        </w:tc>
        <w:tc>
          <w:tcPr>
            <w:tcW w:w="7920" w:type="dxa"/>
            <w:vAlign w:val="bottom"/>
            <w:gridSpan w:val="7"/>
          </w:tcPr>
          <w:p>
            <w:pPr>
              <w:spacing w:after="0"/>
              <w:rPr>
                <w:sz w:val="20"/>
                <w:szCs w:val="20"/>
                <w:color w:val="auto"/>
              </w:rPr>
            </w:pPr>
            <w:r>
              <w:rPr>
                <w:rFonts w:ascii="Arial" w:cs="Arial" w:eastAsia="Arial" w:hAnsi="Arial"/>
                <w:sz w:val="18"/>
                <w:szCs w:val="18"/>
                <w:color w:val="auto"/>
              </w:rPr>
              <w:t>Consolidated Financial Statements.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840" w:type="dxa"/>
            <w:vAlign w:val="bottom"/>
          </w:tcPr>
          <w:p>
            <w:pPr>
              <w:jc w:val="right"/>
              <w:ind w:right="112"/>
              <w:spacing w:after="0"/>
              <w:rPr>
                <w:sz w:val="20"/>
                <w:szCs w:val="20"/>
                <w:color w:val="auto"/>
              </w:rPr>
            </w:pPr>
            <w:r>
              <w:rPr>
                <w:rFonts w:ascii="Arial" w:cs="Arial" w:eastAsia="Arial" w:hAnsi="Arial"/>
                <w:sz w:val="18"/>
                <w:szCs w:val="18"/>
                <w:color w:val="auto"/>
              </w:rPr>
              <w:t>104</w:t>
            </w:r>
          </w:p>
        </w:tc>
        <w:tc>
          <w:tcPr>
            <w:tcW w:w="792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280" w:type="dxa"/>
            <w:vAlign w:val="bottom"/>
            <w:gridSpan w:val="3"/>
          </w:tcPr>
          <w:p>
            <w:pPr>
              <w:jc w:val="center"/>
              <w:ind w:left="52"/>
              <w:spacing w:after="0"/>
              <w:rPr>
                <w:sz w:val="20"/>
                <w:szCs w:val="20"/>
                <w:color w:val="auto"/>
              </w:rPr>
            </w:pPr>
            <w:r>
              <w:rPr>
                <w:rFonts w:ascii="Arial" w:cs="Arial" w:eastAsia="Arial" w:hAnsi="Arial"/>
                <w:sz w:val="18"/>
                <w:szCs w:val="18"/>
                <w:color w:val="auto"/>
                <w:w w:val="99"/>
              </w:rPr>
              <w:t>Filed Electronically</w:t>
            </w:r>
          </w:p>
        </w:tc>
      </w:tr>
    </w:tbl>
    <w:p>
      <w:pPr>
        <w:spacing w:after="0" w:line="200" w:lineRule="exact"/>
        <w:rPr>
          <w:sz w:val="20"/>
          <w:szCs w:val="20"/>
          <w:color w:val="auto"/>
        </w:rPr>
      </w:pPr>
    </w:p>
    <w:p>
      <w:pPr>
        <w:spacing w:after="0" w:line="380" w:lineRule="exact"/>
        <w:rPr>
          <w:sz w:val="20"/>
          <w:szCs w:val="20"/>
          <w:color w:val="auto"/>
        </w:rPr>
      </w:pPr>
    </w:p>
    <w:p>
      <w:pPr>
        <w:ind w:left="580" w:right="260" w:hanging="329"/>
        <w:spacing w:after="0" w:line="250"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Current Report on Form 8-K dated February 26, 2021 and filed March 2, 2021.</w:t>
      </w:r>
    </w:p>
    <w:p>
      <w:pPr>
        <w:ind w:left="580" w:hanging="329"/>
        <w:spacing w:after="0" w:line="261" w:lineRule="auto"/>
        <w:tabs>
          <w:tab w:leader="none" w:pos="597"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8"/>
          <w:szCs w:val="18"/>
          <w:color w:val="auto"/>
        </w:rPr>
        <w:t>HAWKINS, INC.</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Jeffrey P. Oldenkamp</w:t>
            </w:r>
          </w:p>
        </w:tc>
      </w:tr>
      <w:tr>
        <w:trPr>
          <w:trHeight w:val="223"/>
        </w:trPr>
        <w:tc>
          <w:tcPr>
            <w:tcW w:w="8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8"/>
              </w:rPr>
              <w:t>Jeffrey P. Oldenkamp</w:t>
            </w:r>
          </w:p>
        </w:tc>
      </w:tr>
      <w:tr>
        <w:trPr>
          <w:trHeight w:val="229"/>
        </w:trPr>
        <w:tc>
          <w:tcPr>
            <w:tcW w:w="80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Executive Vice President and Chief Financial Officer</w:t>
            </w:r>
          </w:p>
        </w:tc>
      </w:tr>
      <w:tr>
        <w:trPr>
          <w:trHeight w:val="188"/>
        </w:trPr>
        <w:tc>
          <w:tcPr>
            <w:tcW w:w="800" w:type="dxa"/>
            <w:vAlign w:val="bottom"/>
          </w:tcPr>
          <w:p>
            <w:pPr>
              <w:spacing w:after="0"/>
              <w:rPr>
                <w:sz w:val="16"/>
                <w:szCs w:val="16"/>
                <w:color w:val="auto"/>
              </w:rPr>
            </w:pPr>
          </w:p>
        </w:tc>
        <w:tc>
          <w:tcPr>
            <w:tcW w:w="5140" w:type="dxa"/>
            <w:vAlign w:val="bottom"/>
          </w:tcPr>
          <w:p>
            <w:pPr>
              <w:jc w:val="center"/>
              <w:spacing w:after="0" w:line="189" w:lineRule="exact"/>
              <w:rPr>
                <w:sz w:val="20"/>
                <w:szCs w:val="20"/>
                <w:color w:val="auto"/>
              </w:rPr>
            </w:pPr>
            <w:r>
              <w:rPr>
                <w:rFonts w:ascii="Arial" w:cs="Arial" w:eastAsia="Arial" w:hAnsi="Arial"/>
                <w:sz w:val="18"/>
                <w:szCs w:val="18"/>
                <w:color w:val="auto"/>
              </w:rPr>
              <w:t>(On behalf of the registrant and as principal financial and</w:t>
            </w:r>
          </w:p>
        </w:tc>
      </w:tr>
      <w:tr>
        <w:trPr>
          <w:trHeight w:val="217"/>
        </w:trPr>
        <w:tc>
          <w:tcPr>
            <w:tcW w:w="8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rPr>
              <w:t>accounting officer)</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2021</w:t>
      </w:r>
    </w:p>
    <w:p>
      <w:pPr>
        <w:sectPr>
          <w:pgSz w:w="11900" w:h="16838" w:orient="portrait"/>
          <w:cols w:equalWidth="0" w:num="1">
            <w:col w:w="11120"/>
          </w:cols>
          <w:pgMar w:left="320" w:top="886" w:right="45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3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311"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300" w:right="300" w:hanging="320"/>
        <w:spacing w:after="0" w:line="256" w:lineRule="auto"/>
        <w:tabs>
          <w:tab w:leader="none" w:pos="1315"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40" w:hanging="320"/>
        <w:spacing w:after="0" w:line="256" w:lineRule="auto"/>
        <w:tabs>
          <w:tab w:leader="none" w:pos="1311"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1300" w:right="800" w:hanging="320"/>
        <w:spacing w:after="0" w:line="261" w:lineRule="auto"/>
        <w:tabs>
          <w:tab w:leader="none" w:pos="1298"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3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6350</wp:posOffset>
            </wp:positionV>
            <wp:extent cx="3420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342074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86"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311"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1300" w:right="300" w:hanging="644"/>
        <w:spacing w:after="0" w:line="256" w:lineRule="auto"/>
        <w:tabs>
          <w:tab w:leader="none" w:pos="1315"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1300" w:right="60" w:hanging="644"/>
        <w:spacing w:after="0" w:line="256"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jc w:val="both"/>
        <w:ind w:left="1300" w:right="440" w:hanging="644"/>
        <w:spacing w:after="0" w:line="256" w:lineRule="auto"/>
        <w:tabs>
          <w:tab w:leader="none" w:pos="1311"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8"/>
          <w:szCs w:val="18"/>
          <w:color w:val="auto"/>
        </w:rPr>
      </w:pPr>
    </w:p>
    <w:p>
      <w:pPr>
        <w:ind w:left="1300" w:right="800" w:hanging="644"/>
        <w:spacing w:after="0" w:line="261" w:lineRule="auto"/>
        <w:tabs>
          <w:tab w:leader="none" w:pos="1298"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39"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6350</wp:posOffset>
            </wp:positionV>
            <wp:extent cx="33261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26, 2021,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/s/ Patrick H. Hawkins</w:t>
      </w:r>
    </w:p>
    <w:p>
      <w:pPr>
        <w:spacing w:after="0" w:line="36"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Patrick H. Hawkins</w:t>
      </w:r>
    </w:p>
    <w:p>
      <w:pPr>
        <w:spacing w:after="0" w:line="22" w:lineRule="exact"/>
        <w:rPr>
          <w:rFonts w:ascii="Arial" w:cs="Arial" w:eastAsia="Arial" w:hAnsi="Arial"/>
          <w:sz w:val="18"/>
          <w:szCs w:val="18"/>
          <w:color w:val="auto"/>
        </w:rPr>
      </w:pPr>
    </w:p>
    <w:p>
      <w:pPr>
        <w:ind w:left="80" w:right="8180"/>
        <w:spacing w:after="0" w:line="277" w:lineRule="auto"/>
        <w:rPr>
          <w:rFonts w:ascii="Arial" w:cs="Arial" w:eastAsia="Arial" w:hAnsi="Arial"/>
          <w:sz w:val="18"/>
          <w:szCs w:val="18"/>
          <w:color w:val="auto"/>
        </w:rPr>
      </w:pPr>
      <w:r>
        <w:rPr>
          <w:rFonts w:ascii="Arial" w:cs="Arial" w:eastAsia="Arial" w:hAnsi="Arial"/>
          <w:sz w:val="18"/>
          <w:szCs w:val="18"/>
          <w:color w:val="auto"/>
        </w:rPr>
        <w:t>Chief Executive Officer and President October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-464820</wp:posOffset>
            </wp:positionV>
            <wp:extent cx="25888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26, 2021,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/s/ Jeffrey P. Oldenkamp</w:t>
      </w:r>
    </w:p>
    <w:p>
      <w:pPr>
        <w:spacing w:after="0" w:line="36" w:lineRule="exact"/>
        <w:rPr>
          <w:rFonts w:ascii="Arial" w:cs="Arial" w:eastAsia="Arial" w:hAnsi="Arial"/>
          <w:sz w:val="18"/>
          <w:szCs w:val="18"/>
          <w:color w:val="auto"/>
        </w:rPr>
      </w:pPr>
    </w:p>
    <w:p>
      <w:pPr>
        <w:ind w:left="80"/>
        <w:spacing w:after="0"/>
        <w:rPr>
          <w:rFonts w:ascii="Arial" w:cs="Arial" w:eastAsia="Arial" w:hAnsi="Arial"/>
          <w:sz w:val="18"/>
          <w:szCs w:val="18"/>
          <w:color w:val="auto"/>
        </w:rPr>
      </w:pPr>
      <w:r>
        <w:rPr>
          <w:rFonts w:ascii="Arial" w:cs="Arial" w:eastAsia="Arial" w:hAnsi="Arial"/>
          <w:sz w:val="18"/>
          <w:szCs w:val="18"/>
          <w:color w:val="auto"/>
        </w:rPr>
        <w:t>Jeffrey P. Oldenkamp</w:t>
      </w:r>
    </w:p>
    <w:p>
      <w:pPr>
        <w:spacing w:after="0" w:line="22" w:lineRule="exact"/>
        <w:rPr>
          <w:rFonts w:ascii="Arial" w:cs="Arial" w:eastAsia="Arial" w:hAnsi="Arial"/>
          <w:sz w:val="18"/>
          <w:szCs w:val="18"/>
          <w:color w:val="auto"/>
        </w:rPr>
      </w:pPr>
    </w:p>
    <w:p>
      <w:pPr>
        <w:ind w:left="80" w:right="7020"/>
        <w:spacing w:after="0" w:line="277" w:lineRule="auto"/>
        <w:rPr>
          <w:rFonts w:ascii="Arial" w:cs="Arial" w:eastAsia="Arial" w:hAnsi="Arial"/>
          <w:sz w:val="18"/>
          <w:szCs w:val="18"/>
          <w:color w:val="auto"/>
        </w:rPr>
      </w:pPr>
      <w:r>
        <w:rPr>
          <w:rFonts w:ascii="Arial" w:cs="Arial" w:eastAsia="Arial" w:hAnsi="Arial"/>
          <w:sz w:val="18"/>
          <w:szCs w:val="18"/>
          <w:color w:val="auto"/>
        </w:rPr>
        <w:t>Executive Vice President and Chief Financial Officer October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-464820</wp:posOffset>
            </wp:positionV>
            <wp:extent cx="32575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18" Type="http://schemas.openxmlformats.org/officeDocument/2006/relationships/hyperlink" Target="http://www.sec.gov/ix?doc=/Archives/edgar/data/46250/000004625021000019/hwkn-20210328.htm" TargetMode="External"/><Relationship Id="rId43" Type="http://schemas.openxmlformats.org/officeDocument/2006/relationships/hyperlink" Target="http://www.sec.gov/Archives/edgar/data/46250/000004625021000012/exhibit32.htm" TargetMode="External"/><Relationship Id="rId44"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2021-10-27T15:25:39Z</dcterms:created>
  <dcterms:modified xsi:type="dcterms:W3CDTF">2021-10-27T15:25:39Z</dcterms:modified>
</cp:coreProperties>
</file>