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224155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80" w:type="dxa"/>
        <w:tblCellMar>
          <w:top w:w="0" w:type="dxa"/>
          <w:left w:w="0" w:type="dxa"/>
          <w:bottom w:w="0" w:type="dxa"/>
          <w:right w:w="0" w:type="dxa"/>
        </w:tblCellMar>
      </w:tblPr>
      <w:tr>
        <w:trPr>
          <w:trHeight w:val="262"/>
        </w:trPr>
        <w:tc>
          <w:tcPr>
            <w:tcW w:w="3560" w:type="dxa"/>
            <w:vAlign w:val="bottom"/>
          </w:tcPr>
          <w:p>
            <w:pPr>
              <w:jc w:val="center"/>
              <w:ind w:right="599"/>
              <w:spacing w:after="0"/>
              <w:rPr>
                <w:sz w:val="20"/>
                <w:szCs w:val="20"/>
                <w:color w:val="auto"/>
              </w:rPr>
            </w:pPr>
            <w:r>
              <w:rPr>
                <w:rFonts w:ascii="Arial" w:cs="Arial" w:eastAsia="Arial" w:hAnsi="Arial"/>
                <w:sz w:val="22"/>
                <w:szCs w:val="22"/>
                <w:b w:val="1"/>
                <w:bCs w:val="1"/>
                <w:color w:val="auto"/>
                <w:w w:val="90"/>
              </w:rPr>
              <w:t>Minnesota</w:t>
            </w:r>
          </w:p>
        </w:tc>
        <w:tc>
          <w:tcPr>
            <w:tcW w:w="3320" w:type="dxa"/>
            <w:vAlign w:val="bottom"/>
          </w:tcPr>
          <w:p>
            <w:pPr>
              <w:jc w:val="right"/>
              <w:ind w:right="1242"/>
              <w:spacing w:after="0"/>
              <w:rPr>
                <w:sz w:val="20"/>
                <w:szCs w:val="20"/>
                <w:color w:val="auto"/>
              </w:rPr>
            </w:pPr>
            <w:r>
              <w:rPr>
                <w:rFonts w:ascii="Arial" w:cs="Arial" w:eastAsia="Arial" w:hAnsi="Arial"/>
                <w:sz w:val="22"/>
                <w:szCs w:val="22"/>
                <w:b w:val="1"/>
                <w:bCs w:val="1"/>
                <w:color w:val="auto"/>
              </w:rPr>
              <w:t>0-7647</w:t>
            </w:r>
          </w:p>
        </w:tc>
        <w:tc>
          <w:tcPr>
            <w:tcW w:w="280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560" w:type="dxa"/>
            <w:vAlign w:val="bottom"/>
          </w:tcPr>
          <w:p>
            <w:pPr>
              <w:jc w:val="center"/>
              <w:ind w:right="599"/>
              <w:spacing w:after="0"/>
              <w:rPr>
                <w:sz w:val="20"/>
                <w:szCs w:val="20"/>
                <w:color w:val="auto"/>
              </w:rPr>
            </w:pPr>
            <w:r>
              <w:rPr>
                <w:rFonts w:ascii="Arial" w:cs="Arial" w:eastAsia="Arial" w:hAnsi="Arial"/>
                <w:sz w:val="18"/>
                <w:szCs w:val="18"/>
                <w:color w:val="auto"/>
                <w:w w:val="90"/>
              </w:rPr>
              <w:t>(State of Incorporation)</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0"/>
              </w:rPr>
              <w:t>(IRS Employer</w:t>
            </w:r>
          </w:p>
        </w:tc>
      </w:tr>
      <w:tr>
        <w:trPr>
          <w:trHeight w:val="222"/>
        </w:trPr>
        <w:tc>
          <w:tcPr>
            <w:tcW w:w="3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2"/>
              </w:rPr>
              <w:t>Identification No.)</w:t>
            </w:r>
          </w:p>
        </w:tc>
      </w:tr>
      <w:tr>
        <w:trPr>
          <w:trHeight w:val="366"/>
        </w:trPr>
        <w:tc>
          <w:tcPr>
            <w:tcW w:w="3560" w:type="dxa"/>
            <w:vAlign w:val="bottom"/>
          </w:tcPr>
          <w:p>
            <w:pPr>
              <w:jc w:val="center"/>
              <w:ind w:right="599"/>
              <w:spacing w:after="0"/>
              <w:rPr>
                <w:sz w:val="20"/>
                <w:szCs w:val="20"/>
                <w:color w:val="auto"/>
              </w:rPr>
            </w:pPr>
            <w:r>
              <w:rPr>
                <w:rFonts w:ascii="Arial" w:cs="Arial" w:eastAsia="Arial" w:hAnsi="Arial"/>
                <w:sz w:val="22"/>
                <w:szCs w:val="22"/>
                <w:b w:val="1"/>
                <w:bCs w:val="1"/>
                <w:color w:val="auto"/>
                <w:w w:val="87"/>
              </w:rPr>
              <w:t>3100 East Hennepin Avenue</w:t>
            </w:r>
          </w:p>
        </w:tc>
        <w:tc>
          <w:tcPr>
            <w:tcW w:w="3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62"/>
        </w:trPr>
        <w:tc>
          <w:tcPr>
            <w:tcW w:w="3560" w:type="dxa"/>
            <w:vAlign w:val="bottom"/>
          </w:tcPr>
          <w:p>
            <w:pPr>
              <w:jc w:val="center"/>
              <w:ind w:right="619"/>
              <w:spacing w:after="0"/>
              <w:rPr>
                <w:sz w:val="20"/>
                <w:szCs w:val="20"/>
                <w:color w:val="auto"/>
              </w:rPr>
            </w:pPr>
            <w:r>
              <w:rPr>
                <w:rFonts w:ascii="Arial" w:cs="Arial" w:eastAsia="Arial" w:hAnsi="Arial"/>
                <w:sz w:val="22"/>
                <w:szCs w:val="22"/>
                <w:b w:val="1"/>
                <w:bCs w:val="1"/>
                <w:color w:val="auto"/>
                <w:w w:val="92"/>
              </w:rPr>
              <w:t>Minneapolis, MN</w:t>
            </w:r>
          </w:p>
        </w:tc>
        <w:tc>
          <w:tcPr>
            <w:tcW w:w="3320" w:type="dxa"/>
            <w:vAlign w:val="bottom"/>
          </w:tcPr>
          <w:p>
            <w:pPr>
              <w:spacing w:after="0"/>
              <w:rPr>
                <w:sz w:val="22"/>
                <w:szCs w:val="22"/>
                <w:color w:val="auto"/>
              </w:rPr>
            </w:pPr>
          </w:p>
        </w:tc>
        <w:tc>
          <w:tcPr>
            <w:tcW w:w="280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22"/>
        </w:trPr>
        <w:tc>
          <w:tcPr>
            <w:tcW w:w="3560" w:type="dxa"/>
            <w:vAlign w:val="bottom"/>
          </w:tcPr>
          <w:p>
            <w:pPr>
              <w:jc w:val="center"/>
              <w:ind w:right="599"/>
              <w:spacing w:after="0"/>
              <w:rPr>
                <w:sz w:val="20"/>
                <w:szCs w:val="20"/>
                <w:color w:val="auto"/>
              </w:rPr>
            </w:pPr>
            <w:r>
              <w:rPr>
                <w:rFonts w:ascii="Arial" w:cs="Arial" w:eastAsia="Arial" w:hAnsi="Arial"/>
                <w:sz w:val="18"/>
                <w:szCs w:val="18"/>
                <w:color w:val="auto"/>
                <w:w w:val="90"/>
              </w:rPr>
              <w:t>(Address of Principal Executive Offices)</w:t>
            </w:r>
          </w:p>
        </w:tc>
        <w:tc>
          <w:tcPr>
            <w:tcW w:w="332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1"/>
              </w:rPr>
              <w:t>(Zip Code)</w:t>
            </w:r>
          </w:p>
        </w:tc>
      </w:tr>
      <w:tr>
        <w:trPr>
          <w:trHeight w:val="498"/>
        </w:trPr>
        <w:tc>
          <w:tcPr>
            <w:tcW w:w="6880" w:type="dxa"/>
            <w:vAlign w:val="bottom"/>
            <w:gridSpan w:val="2"/>
          </w:tcPr>
          <w:p>
            <w:pPr>
              <w:ind w:left="2140"/>
              <w:spacing w:after="0"/>
              <w:rPr>
                <w:sz w:val="20"/>
                <w:szCs w:val="20"/>
                <w:color w:val="auto"/>
              </w:rPr>
            </w:pPr>
            <w:r>
              <w:rPr>
                <w:rFonts w:ascii="Arial" w:cs="Arial" w:eastAsia="Arial" w:hAnsi="Arial"/>
                <w:sz w:val="22"/>
                <w:szCs w:val="22"/>
                <w:color w:val="auto"/>
                <w:w w:val="90"/>
              </w:rPr>
              <w:t>Registrant’s Telephone Number, Including Area Code</w:t>
            </w:r>
          </w:p>
        </w:tc>
        <w:tc>
          <w:tcPr>
            <w:tcW w:w="2800" w:type="dxa"/>
            <w:vAlign w:val="bottom"/>
          </w:tcPr>
          <w:p>
            <w:pPr>
              <w:jc w:val="right"/>
              <w:ind w:right="1262"/>
              <w:spacing w:after="0"/>
              <w:rPr>
                <w:sz w:val="20"/>
                <w:szCs w:val="20"/>
                <w:color w:val="auto"/>
              </w:rPr>
            </w:pPr>
            <w:r>
              <w:rPr>
                <w:rFonts w:ascii="Arial" w:cs="Arial" w:eastAsia="Arial" w:hAnsi="Arial"/>
                <w:sz w:val="22"/>
                <w:szCs w:val="22"/>
                <w:b w:val="1"/>
                <w:bCs w:val="1"/>
                <w:color w:val="auto"/>
                <w:w w:val="94"/>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firstLine="43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720" w:hanging="273"/>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720" w:hanging="273"/>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720" w:hanging="273"/>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720" w:hanging="273"/>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2" w:lineRule="exact"/>
        <w:rPr>
          <w:sz w:val="24"/>
          <w:szCs w:val="24"/>
          <w:color w:val="auto"/>
        </w:rPr>
      </w:pPr>
    </w:p>
    <w:p>
      <w:pPr>
        <w:ind w:right="140" w:firstLine="439"/>
        <w:spacing w:after="0" w:line="268" w:lineRule="auto"/>
        <w:rPr>
          <w:sz w:val="20"/>
          <w:szCs w:val="20"/>
          <w:color w:val="auto"/>
        </w:rPr>
      </w:pPr>
      <w:r>
        <w:rPr>
          <w:rFonts w:ascii="Arial" w:cs="Arial" w:eastAsia="Arial" w:hAnsi="Arial"/>
          <w:sz w:val="18"/>
          <w:szCs w:val="18"/>
          <w:color w:val="auto"/>
        </w:rPr>
        <w:t>On February 5, 2009, Hawkins, Inc. issued a press release announcing financial results for its fiscal third quarter ended December 31, 2008. A copy of the press release issued by the Registrant is furnished herewith as Exhibit 99 hereto and is incorporated herein by reference.</w:t>
      </w:r>
    </w:p>
    <w:p>
      <w:pPr>
        <w:spacing w:after="0" w:line="19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520" w:hanging="415"/>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6"/>
          <w:szCs w:val="16"/>
          <w:color w:val="auto"/>
        </w:rPr>
        <w:t>Exhibit 99 – Press Release, dated February 5, 2009, announcing financial results of Hawkins, Inc. for its fiscal third quarter ended 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1310005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ectPr>
          <w:pgSz w:w="11900" w:h="16838" w:orient="portrait"/>
          <w:cols w:equalWidth="0" w:num="1">
            <w:col w:w="11420"/>
          </w:cols>
          <w:pgMar w:left="240" w:top="786" w:right="239" w:bottom="0" w:gutter="0" w:footer="0" w:header="0"/>
        </w:sectPr>
      </w:pPr>
    </w:p>
    <w:bookmarkStart w:id="1" w:name="page2"/>
    <w:bookmarkEnd w:id="1"/>
    <w:p>
      <w:pPr>
        <w:ind w:right="2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6680" w:val="left"/>
          <w:tab w:leader="none" w:pos="7860" w:val="left"/>
        </w:tabs>
        <w:rPr>
          <w:sz w:val="20"/>
          <w:szCs w:val="20"/>
          <w:color w:val="auto"/>
        </w:rPr>
      </w:pPr>
      <w:r>
        <w:rPr>
          <w:rFonts w:ascii="Arial" w:cs="Arial" w:eastAsia="Arial" w:hAnsi="Arial"/>
          <w:sz w:val="18"/>
          <w:szCs w:val="18"/>
          <w:color w:val="auto"/>
        </w:rPr>
        <w:t>Date: February 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19685</wp:posOffset>
            </wp:positionV>
            <wp:extent cx="2084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6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1385570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80" w:type="dxa"/>
            <w:vAlign w:val="bottom"/>
            <w:gridSpan w:val="2"/>
          </w:tcPr>
          <w:p>
            <w:pPr>
              <w:spacing w:after="0"/>
              <w:rPr>
                <w:sz w:val="20"/>
                <w:szCs w:val="20"/>
                <w:color w:val="auto"/>
              </w:rPr>
            </w:pPr>
            <w:r>
              <w:rPr>
                <w:rFonts w:ascii="Arial" w:cs="Arial" w:eastAsia="Arial" w:hAnsi="Arial"/>
                <w:sz w:val="18"/>
                <w:szCs w:val="18"/>
                <w:color w:val="auto"/>
                <w:w w:val="95"/>
              </w:rPr>
              <w:t>Index to Exhibits</w:t>
            </w:r>
          </w:p>
        </w:tc>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6"/>
        </w:trPr>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Exhibit</w:t>
            </w: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3"/>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220" w:type="dxa"/>
            <w:vAlign w:val="bottom"/>
          </w:tcPr>
          <w:p>
            <w:pPr>
              <w:spacing w:after="0"/>
              <w:rPr>
                <w:sz w:val="19"/>
                <w:szCs w:val="19"/>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220" w:type="dxa"/>
            <w:vAlign w:val="bottom"/>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Method of Filing</w:t>
            </w:r>
          </w:p>
        </w:tc>
      </w:tr>
      <w:tr>
        <w:trPr>
          <w:trHeight w:val="351"/>
        </w:trPr>
        <w:tc>
          <w:tcPr>
            <w:tcW w:w="106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22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w w:val="96"/>
              </w:rPr>
              <w:t>Press Release, dated February 5, 2009, announcing financial results of Hawkins, Inc. for its fiscal third</w:t>
            </w:r>
          </w:p>
        </w:tc>
        <w:tc>
          <w:tcPr>
            <w:tcW w:w="2260" w:type="dxa"/>
            <w:vAlign w:val="bottom"/>
          </w:tcPr>
          <w:p>
            <w:pPr>
              <w:ind w:left="740"/>
              <w:spacing w:after="0"/>
              <w:rPr>
                <w:sz w:val="20"/>
                <w:szCs w:val="20"/>
                <w:color w:val="auto"/>
              </w:rPr>
            </w:pPr>
            <w:r>
              <w:rPr>
                <w:rFonts w:ascii="Arial" w:cs="Arial" w:eastAsia="Arial" w:hAnsi="Arial"/>
                <w:sz w:val="18"/>
                <w:szCs w:val="18"/>
                <w:color w:val="auto"/>
              </w:rPr>
              <w:t>Electronic</w:t>
            </w:r>
          </w:p>
        </w:tc>
      </w:tr>
      <w:tr>
        <w:trPr>
          <w:trHeight w:val="222"/>
        </w:trPr>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quarter ended December 31, 2008.</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Transmission</w:t>
            </w:r>
          </w:p>
        </w:tc>
      </w:tr>
      <w:tr>
        <w:trPr>
          <w:trHeight w:val="2268"/>
        </w:trPr>
        <w:tc>
          <w:tcPr>
            <w:tcW w:w="10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John.Hawkins@HawkinsInc.com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Kathleen.Pepski@HawkinsInc.com</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FIRST NINE MONTHS FISCAL 2009 RESULTS</w:t>
      </w:r>
    </w:p>
    <w:p>
      <w:pPr>
        <w:spacing w:after="0" w:line="188" w:lineRule="exact"/>
        <w:rPr>
          <w:sz w:val="20"/>
          <w:szCs w:val="20"/>
          <w:color w:val="auto"/>
        </w:rPr>
      </w:pPr>
    </w:p>
    <w:p>
      <w:pPr>
        <w:ind w:left="4100" w:hanging="94"/>
        <w:spacing w:after="0"/>
        <w:tabs>
          <w:tab w:leader="none" w:pos="4100" w:val="left"/>
        </w:tabs>
        <w:numPr>
          <w:ilvl w:val="0"/>
          <w:numId w:val="3"/>
        </w:numPr>
        <w:rPr>
          <w:rFonts w:ascii="Arial" w:cs="Arial" w:eastAsia="Arial" w:hAnsi="Arial"/>
          <w:sz w:val="24"/>
          <w:szCs w:val="24"/>
          <w:b w:val="1"/>
          <w:bCs w:val="1"/>
          <w:color w:val="auto"/>
        </w:rPr>
      </w:pPr>
      <w:r>
        <w:rPr>
          <w:rFonts w:ascii="Arial" w:cs="Arial" w:eastAsia="Arial" w:hAnsi="Arial"/>
          <w:sz w:val="18"/>
          <w:szCs w:val="18"/>
          <w:color w:val="auto"/>
        </w:rPr>
        <w:t>Sales increase 59.7% for the quarter</w:t>
      </w:r>
    </w:p>
    <w:p>
      <w:pPr>
        <w:spacing w:after="0" w:line="33" w:lineRule="exact"/>
        <w:rPr>
          <w:rFonts w:ascii="Arial" w:cs="Arial" w:eastAsia="Arial" w:hAnsi="Arial"/>
          <w:sz w:val="24"/>
          <w:szCs w:val="24"/>
          <w:b w:val="1"/>
          <w:bCs w:val="1"/>
          <w:color w:val="auto"/>
        </w:rPr>
      </w:pPr>
    </w:p>
    <w:p>
      <w:pPr>
        <w:ind w:left="4100" w:hanging="94"/>
        <w:spacing w:after="0" w:line="217" w:lineRule="auto"/>
        <w:tabs>
          <w:tab w:leader="none" w:pos="4100" w:val="left"/>
        </w:tabs>
        <w:numPr>
          <w:ilvl w:val="0"/>
          <w:numId w:val="3"/>
        </w:numPr>
        <w:rPr>
          <w:rFonts w:ascii="Arial" w:cs="Arial" w:eastAsia="Arial" w:hAnsi="Arial"/>
          <w:sz w:val="24"/>
          <w:szCs w:val="24"/>
          <w:b w:val="1"/>
          <w:bCs w:val="1"/>
          <w:color w:val="auto"/>
        </w:rPr>
      </w:pPr>
      <w:r>
        <w:rPr>
          <w:rFonts w:ascii="Arial" w:cs="Arial" w:eastAsia="Arial" w:hAnsi="Arial"/>
          <w:sz w:val="18"/>
          <w:szCs w:val="18"/>
          <w:color w:val="auto"/>
        </w:rPr>
        <w:t>Net income of $7.0 million for the quarter</w:t>
      </w:r>
    </w:p>
    <w:p>
      <w:pPr>
        <w:spacing w:after="0" w:line="61" w:lineRule="exact"/>
        <w:rPr>
          <w:rFonts w:ascii="Arial" w:cs="Arial" w:eastAsia="Arial" w:hAnsi="Arial"/>
          <w:sz w:val="24"/>
          <w:szCs w:val="24"/>
          <w:b w:val="1"/>
          <w:bCs w:val="1"/>
          <w:color w:val="auto"/>
        </w:rPr>
      </w:pPr>
    </w:p>
    <w:p>
      <w:pPr>
        <w:ind w:left="4100" w:right="4000" w:hanging="94"/>
        <w:spacing w:after="0" w:line="290" w:lineRule="auto"/>
        <w:tabs>
          <w:tab w:leader="none" w:pos="4100" w:val="left"/>
        </w:tabs>
        <w:numPr>
          <w:ilvl w:val="0"/>
          <w:numId w:val="3"/>
        </w:numPr>
        <w:rPr>
          <w:rFonts w:ascii="Arial" w:cs="Arial" w:eastAsia="Arial" w:hAnsi="Arial"/>
          <w:sz w:val="20"/>
          <w:szCs w:val="20"/>
          <w:b w:val="1"/>
          <w:bCs w:val="1"/>
          <w:color w:val="auto"/>
        </w:rPr>
      </w:pPr>
      <w:r>
        <w:rPr>
          <w:rFonts w:ascii="Arial" w:cs="Arial" w:eastAsia="Arial" w:hAnsi="Arial"/>
          <w:sz w:val="15"/>
          <w:szCs w:val="15"/>
          <w:color w:val="auto"/>
        </w:rPr>
        <w:t>Third quarter earnings per share of $0.68 compared to $0.15 in same period of prior year</w:t>
      </w:r>
    </w:p>
    <w:p>
      <w:pPr>
        <w:spacing w:after="0" w:line="16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Minneapolis, MN, February 5, 2009 – Hawkins, Inc. (Nasdaq: HWKN) today announced third quarter and nine months results for fiscal 2009. Sales of $77.4 million for the quarter ended December 31, 2008 represent an increase of 59.7% over $48.5 million in sales for the same period in the prior fiscal year. Net income for the third quarter of fiscal 2009 was $7.0 million, or $0.68 per share, fully diluted, compared to net income for the same period of fiscal 2008 of $1.5 million, or $0.15 per share, fully diluted. Income from operations for the quarter was negatively impacted by a LIFO inventory charge of approximately $1.7 million (approximately $1.1 million, or $0.10 per share, after tax) resulting from increased inventory costs and, to a lesser extent, higher inventory levels. The LIFO charge was negligible in the third quarter of the prior fiscal year.</w:t>
      </w:r>
    </w:p>
    <w:p>
      <w:pPr>
        <w:spacing w:after="0" w:line="174"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For the nine months ended December 31, 2008, Hawkins reported sales of $222.9 million and net income of $18.7 million, or $1.82 per share, fully diluted, as compared to sales of $145.2 million and net income of $7.4 million, or $0.72 per share, fully diluted, for the same period in the prior year. Income from operations for the nine months ended December 31, 2008 was negatively impacted by a LIFO inventory charge of approximately $7.0 million (approximately $4.3 million, or $0.42 per share, after tax). The LIFO charge was negligible for the nine months ended December 31, 2007.</w:t>
      </w:r>
    </w:p>
    <w:p>
      <w:pPr>
        <w:spacing w:after="0" w:line="167" w:lineRule="exact"/>
        <w:rPr>
          <w:sz w:val="20"/>
          <w:szCs w:val="20"/>
          <w:color w:val="auto"/>
        </w:rPr>
      </w:pPr>
    </w:p>
    <w:p>
      <w:pPr>
        <w:jc w:val="both"/>
        <w:ind w:right="300"/>
        <w:spacing w:after="0" w:line="323" w:lineRule="auto"/>
        <w:rPr>
          <w:sz w:val="20"/>
          <w:szCs w:val="20"/>
          <w:color w:val="auto"/>
        </w:rPr>
      </w:pPr>
      <w:r>
        <w:rPr>
          <w:rFonts w:ascii="Arial" w:cs="Arial" w:eastAsia="Arial" w:hAnsi="Arial"/>
          <w:sz w:val="15"/>
          <w:szCs w:val="15"/>
          <w:color w:val="auto"/>
        </w:rPr>
        <w:t>For the quarter ended December 31, 2008, Industrial segment sales were $56.2 million, an increase of 73.9% over last year’s fiscal third quarter sales of $32.3 million. Water Treatment segment sales for the quarter ended December 31, 2008 were $19.3 million, an increase of 42.2% over last year’s fiscal third quarter sales of $13.6 million. The changes to both of these segments were driven largely by increases in selling prices related to escalating material costs along most product lines. Pharmaceutical sales decreased by $0.7 million for the quarter ended December 31, 2008 as compared to the same period in the prior year.</w:t>
      </w:r>
    </w:p>
    <w:p>
      <w:pPr>
        <w:spacing w:after="0" w:line="15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Gross profit margin as a percentage of sales for the quarter and nine months ended December 31, 2008 was 24.0% and 22.7%, respectively, as compared to 18.8% and 22.6%, respectively, for the same periods a year ago. The increase in gross profit and the higher margin as a percentage of sales were primarily due to the sale of lower-cost inventory on hand and, to a lesser extent, higher margins from the sale of certain high-demand and supply-constrained products. The margin rate reported in the current year was negatively impacted by the fiscal 2009 classification of certain expenses as cost of sales instead of selling, general, and administrative (SG&amp;A) expenses and the LIFO charge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334010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SG&amp;A expenses increased by $0.3 million for the quarter ended December 31, 2008 and decreased by $1.4 million for the nine months ended December 31, 2008 as compared to the same periods a year ago. The increase for the quarter was due to higher employee compensation expenses including variable pay plans and additional sales staff, as well as a $0.7 million increase in bad debt expense. The fiscal 2009 classification of certain expenses as cost of sales instead of SG&amp;A expenses partially offset other increases for the quarter and was the primary factor in the decrease in expenses reported for the nine months ended December 31, 2008. Additionally, SG&amp;A expenses were reduced by the elimination of contractor and consulting fees in the current fiscal year that were incurred in the prior year related to the Company’s implementation of its Enterprise Resource Planning system.</w:t>
      </w:r>
    </w:p>
    <w:p>
      <w:pPr>
        <w:spacing w:after="0" w:line="17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Chief Executive Officer, John R. Hawkins, commented, “The increased raw material costs that we experienced in the first half of our fiscal year continued into the third quarter, driving the higher sales reported within our Industrial and Water Treatment segments this quarter. In addition, our Industrial segment gained market share as it was able to expand its sales of certain products to new and existing customers because of our ability to obtain key raw material ingredients at a time when some of our competitors could not. As we stated last quarter, we expect to retain a share of this new business as these customers have benefitted from the Company’s infrastructure and our ability to supply product during difficult market conditions.” Hawkins continued, “We also benefitted in the quarter from selling lower cost inventory that we had on hand as a result of our strategic investments made in storage capacity over the last several years. However, the raw material supply constraints experienced in the last six months have started to ease and we are seeing commodity prices level off or, in some cases, begin to decline with the slowing economy. We also saw lower demand in the agricultural sector this quarter, particularly as compared to the unusually high volumes we had seen over the last several quarters. With the changes in commodity pricing and demand that we see today, we expect our business and the gross profit realized to return to levels more in line with historic results over the next few months. We will continue to focus on creating value for our customers through superb service and support and delivering quality products, striving always to be the chemical supplier of choice. We remain confident in our business model and are investing to grow our business as we are adding capacity with the new facility in Centralia, Illinois for the Company’s lactate and food ingredients products; we are building out additional leased space to better serve the bulk pharmaceutical market; and we expect to invest in new branches to expand the geographic coverage for the Water Treatment Group.”</w:t>
      </w:r>
    </w:p>
    <w:p>
      <w:pPr>
        <w:sectPr>
          <w:pgSz w:w="11900" w:h="16838" w:orient="portrait"/>
          <w:cols w:equalWidth="0" w:num="1">
            <w:col w:w="11420"/>
          </w:cols>
          <w:pgMar w:left="240" w:top="355" w:right="239" w:bottom="78" w:gutter="0" w:footer="0" w:header="0"/>
        </w:sectPr>
      </w:pPr>
    </w:p>
    <w:bookmarkStart w:id="3" w:name="page4"/>
    <w:bookmarkEnd w:id="3"/>
    <w:p>
      <w:pPr>
        <w:ind w:right="600"/>
        <w:spacing w:after="0" w:line="332" w:lineRule="auto"/>
        <w:rPr>
          <w:sz w:val="20"/>
          <w:szCs w:val="20"/>
          <w:color w:val="auto"/>
        </w:rPr>
      </w:pPr>
      <w:r>
        <w:rPr>
          <w:rFonts w:ascii="Arial" w:cs="Arial" w:eastAsia="Arial" w:hAnsi="Arial"/>
          <w:sz w:val="16"/>
          <w:szCs w:val="16"/>
          <w:color w:val="auto"/>
        </w:rPr>
        <w:t>Hawkins, Inc. provides a full range of bulk industrial products complemented with the technical expertise and innovation to formulate and blend specialty chemicals. The Company sells and services related products and equipment to safely dispense chemicals in highly controlled environments.</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Hawkins is headquartered in Minneapolis, Minnesota. The Company operates 18 facilities in Iowa, Illinois, Kansas, Minnesota, Missouri, Montana, Nebraska, New Jersey, South and North Dakota and Wisconsin and services customers in Upper Michigan and Wyoming as well.</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the inability of our suppliers to provide us with key raw materials at contracted prices and delivery dates, cyclical downturns in our customers’ industries, competition from other chemical companies, seasonality and weather conditions that may affect customer demand and river and rail transportation, the hazards of chemical manufacturing, natural disasters,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March 30, 2008,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77,396,576</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48,471,758</w:t>
            </w:r>
          </w:p>
        </w:tc>
        <w:tc>
          <w:tcPr>
            <w:tcW w:w="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222,910,325</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145,238,339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58,846,387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39,335,817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172,321,581</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112,396,348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18,550,189</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9,135,941</w:t>
            </w: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50,588,744</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32,841,991</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7,273,971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6,958,489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20,515,565</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21,952,418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11,276,218</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2,177,452</w:t>
            </w: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30,073,179</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10,889,573</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257,468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337,822</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872,036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11,357,532</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2,434,920</w:t>
            </w: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30,411,001</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11,761,609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4,384,500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927,967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11,739,000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4,382,167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6,973,032</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1,506,953</w:t>
            </w:r>
          </w:p>
        </w:tc>
        <w:tc>
          <w:tcPr>
            <w:tcW w:w="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18,672,001</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7,379,442</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10,246,458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10,216,632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10,243,174</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10,204,609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10,250,774</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10,217,997</w:t>
            </w: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10,256,540</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10,205,075</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Earnings per share – basic and diluted</w:t>
            </w:r>
          </w:p>
        </w:tc>
        <w:tc>
          <w:tcPr>
            <w:tcW w:w="3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00" w:type="dxa"/>
            <w:vAlign w:val="bottom"/>
            <w:vMerge w:val="continue"/>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5500" w:type="dxa"/>
            <w:vAlign w:val="bottom"/>
          </w:tcPr>
          <w:p>
            <w:pPr>
              <w:ind w:left="5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  #</w:t>
            </w:r>
          </w:p>
        </w:tc>
        <w:tc>
          <w:tcPr>
            <w:tcW w:w="10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9"/>
        </w:trPr>
        <w:tc>
          <w:tcPr>
            <w:tcW w:w="55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2019-12-10T00:41:39Z</dcterms:created>
  <dcterms:modified xsi:type="dcterms:W3CDTF">2019-12-10T00:41:39Z</dcterms:modified>
</cp:coreProperties>
</file>