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0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rPr>
          <w:sz w:val="20"/>
          <w:szCs w:val="20"/>
          <w:color w:val="auto"/>
        </w:rPr>
      </w:pPr>
      <w:r>
        <w:rPr>
          <w:rFonts w:ascii="Courier New" w:cs="Courier New" w:eastAsia="Courier New" w:hAnsi="Courier New"/>
          <w:sz w:val="18"/>
          <w:szCs w:val="18"/>
          <w:color w:val="auto"/>
        </w:rPr>
        <w:t>WASHINGTON, DC 20549</w:t>
      </w:r>
    </w:p>
    <w:p>
      <w:pPr>
        <w:ind w:left="3900"/>
        <w:spacing w:after="0" w:line="237" w:lineRule="auto"/>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540" w:right="1879" w:hanging="532"/>
        <w:spacing w:after="0" w:line="235" w:lineRule="auto"/>
        <w:tabs>
          <w:tab w:leader="none" w:pos="43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For the quarterly period ended March 31, 1998</w:t>
      </w:r>
    </w:p>
    <w:p>
      <w:pPr>
        <w:spacing w:after="0" w:line="201"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17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ectPr>
          <w:pgSz w:w="11900" w:h="16838" w:orient="portrait"/>
          <w:cols w:equalWidth="0" w:num="1">
            <w:col w:w="10219"/>
          </w:cols>
          <w:pgMar w:left="240" w:top="852" w:right="1440" w:bottom="144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4"/>
          <w:szCs w:val="24"/>
          <w:color w:val="auto"/>
        </w:rPr>
      </w:pPr>
    </w:p>
    <w:p>
      <w:pPr>
        <w:sectPr>
          <w:pgSz w:w="11900" w:h="16838" w:orient="portrait"/>
          <w:cols w:equalWidth="0" w:num="2">
            <w:col w:w="4880" w:space="720"/>
            <w:col w:w="4619"/>
          </w:cols>
          <w:pgMar w:left="240" w:top="852"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600" w:space="300"/>
            <w:col w:w="4319"/>
          </w:cols>
          <w:pgMar w:left="240" w:top="852" w:right="1440" w:bottom="1440" w:gutter="0" w:footer="0" w:header="0"/>
          <w:type w:val="continuous"/>
        </w:sectPr>
      </w:pPr>
    </w:p>
    <w:p>
      <w:pPr>
        <w:spacing w:after="0" w:line="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Commission file number 0-7647</w:t>
      </w:r>
    </w:p>
    <w:p>
      <w:pPr>
        <w:spacing w:after="0" w:line="201"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HAWKINS CHEMICAL, INC.</w:t>
      </w:r>
    </w:p>
    <w:p>
      <w:pPr>
        <w:jc w:val="center"/>
        <w:ind w:right="135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52" w:right="1440" w:bottom="1440" w:gutter="0" w:footer="0" w:header="0"/>
          <w:type w:val="continuous"/>
        </w:sectPr>
      </w:pPr>
    </w:p>
    <w:p>
      <w:pPr>
        <w:spacing w:after="0" w:line="2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MINNESOTA</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incorporation of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41-0771293</w:t>
      </w:r>
    </w:p>
    <w:p>
      <w:pPr>
        <w:jc w:val="center"/>
        <w:ind w:right="219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800" w:space="420"/>
            <w:col w:w="5999"/>
          </w:cols>
          <w:pgMar w:left="240" w:top="852" w:right="1440" w:bottom="1440" w:gutter="0" w:footer="0" w:header="0"/>
          <w:type w:val="continuous"/>
        </w:sectPr>
      </w:pPr>
    </w:p>
    <w:p>
      <w:pPr>
        <w:spacing w:after="0" w:line="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3100 East Hennepin Avenue, Minneapolis, Minnesota 55413</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(612) 331-6910</w:t>
      </w:r>
    </w:p>
    <w:p>
      <w:pPr>
        <w:jc w:val="center"/>
        <w:ind w:right="1359"/>
        <w:spacing w:after="0" w:line="238" w:lineRule="auto"/>
        <w:rPr>
          <w:sz w:val="20"/>
          <w:szCs w:val="20"/>
          <w:color w:val="auto"/>
        </w:rPr>
      </w:pPr>
      <w:r>
        <w:rPr>
          <w:rFonts w:ascii="Courier New" w:cs="Courier New" w:eastAsia="Courier New" w:hAnsi="Courier New"/>
          <w:sz w:val="18"/>
          <w:szCs w:val="18"/>
          <w:color w:val="auto"/>
        </w:rPr>
        <w:t>--------------</w:t>
      </w:r>
    </w:p>
    <w:p>
      <w:pPr>
        <w:jc w:val="center"/>
        <w:ind w:right="135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852" w:right="1440" w:bottom="1440" w:gutter="0" w:footer="0" w:header="0"/>
          <w:type w:val="continuous"/>
        </w:sectPr>
      </w:pPr>
    </w:p>
    <w:p>
      <w:pPr>
        <w:spacing w:after="0" w:line="209"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4"/>
          <w:szCs w:val="24"/>
          <w:color w:val="auto"/>
        </w:rPr>
      </w:pPr>
    </w:p>
    <w:p>
      <w:pPr>
        <w:sectPr>
          <w:pgSz w:w="11900" w:h="16838" w:orient="portrait"/>
          <w:cols w:equalWidth="0" w:num="3">
            <w:col w:w="3480" w:space="420"/>
            <w:col w:w="120" w:space="620"/>
            <w:col w:w="5579"/>
          </w:cols>
          <w:pgMar w:left="240" w:top="852" w:right="1440" w:bottom="1440" w:gutter="0" w:footer="0" w:header="0"/>
          <w:type w:val="continuous"/>
        </w:sect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320" w:space="640"/>
            <w:col w:w="5259"/>
          </w:cols>
          <w:pgMar w:left="240" w:top="852" w:right="1440" w:bottom="1440" w:gutter="0" w:footer="0" w:header="0"/>
          <w:type w:val="continuous"/>
        </w:sectPr>
      </w:pPr>
    </w:p>
    <w:p>
      <w:pPr>
        <w:spacing w:after="0" w:line="2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852" w:right="1440" w:bottom="1440" w:gutter="0" w:footer="0" w:header="0"/>
          <w:type w:val="continuous"/>
        </w:sectPr>
      </w:pPr>
    </w:p>
    <w:p>
      <w:pPr>
        <w:spacing w:after="0" w:line="20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Common Stock, par value $.05 per share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May 12, 1998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11,603,895</w:t>
      </w:r>
    </w:p>
    <w:p>
      <w:pPr>
        <w:sectPr>
          <w:pgSz w:w="11900" w:h="16838" w:orient="portrait"/>
          <w:cols w:equalWidth="0" w:num="2">
            <w:col w:w="4540" w:space="200"/>
            <w:col w:w="5479"/>
          </w:cols>
          <w:pgMar w:left="240" w:top="852"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6480" w:type="dxa"/>
            <w:vAlign w:val="bottom"/>
          </w:tcPr>
          <w:p>
            <w:pPr>
              <w:ind w:left="1480"/>
              <w:spacing w:after="0"/>
              <w:rPr>
                <w:sz w:val="20"/>
                <w:szCs w:val="20"/>
                <w:color w:val="auto"/>
              </w:rPr>
            </w:pPr>
            <w:r>
              <w:rPr>
                <w:rFonts w:ascii="Courier New" w:cs="Courier New" w:eastAsia="Courier New" w:hAnsi="Courier New"/>
                <w:sz w:val="18"/>
                <w:szCs w:val="18"/>
                <w:color w:val="auto"/>
              </w:rPr>
              <w:t>HAWKINS CHEMICAL, INC. AND SUBSIDIARY</w:t>
            </w:r>
          </w:p>
        </w:tc>
        <w:tc>
          <w:tcPr>
            <w:tcW w:w="90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6480" w:type="dxa"/>
            <w:vAlign w:val="bottom"/>
          </w:tcPr>
          <w:p>
            <w:pPr>
              <w:ind w:left="2520"/>
              <w:spacing w:after="0"/>
              <w:rPr>
                <w:sz w:val="20"/>
                <w:szCs w:val="20"/>
                <w:color w:val="auto"/>
              </w:rPr>
            </w:pPr>
            <w:r>
              <w:rPr>
                <w:rFonts w:ascii="Courier New" w:cs="Courier New" w:eastAsia="Courier New" w:hAnsi="Courier New"/>
                <w:sz w:val="18"/>
                <w:szCs w:val="18"/>
                <w:color w:val="auto"/>
              </w:rPr>
              <w:t>INDEX TO FORM 10-Q</w:t>
            </w:r>
          </w:p>
        </w:tc>
        <w:tc>
          <w:tcPr>
            <w:tcW w:w="900" w:type="dxa"/>
            <w:vAlign w:val="bottom"/>
          </w:tcPr>
          <w:p>
            <w:pPr>
              <w:spacing w:after="0"/>
              <w:rPr>
                <w:sz w:val="24"/>
                <w:szCs w:val="24"/>
                <w:color w:val="auto"/>
              </w:rPr>
            </w:pPr>
          </w:p>
        </w:tc>
      </w:tr>
      <w:tr>
        <w:trPr>
          <w:trHeight w:val="810"/>
        </w:trPr>
        <w:tc>
          <w:tcPr>
            <w:tcW w:w="9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203"/>
        </w:trPr>
        <w:tc>
          <w:tcPr>
            <w:tcW w:w="9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6480" w:type="dxa"/>
            <w:vAlign w:val="bottom"/>
          </w:tcPr>
          <w:p>
            <w:pPr>
              <w:ind w:left="100"/>
              <w:spacing w:after="0"/>
              <w:rPr>
                <w:sz w:val="20"/>
                <w:szCs w:val="20"/>
                <w:color w:val="auto"/>
              </w:rPr>
            </w:pPr>
            <w:r>
              <w:rPr>
                <w:rFonts w:ascii="Courier New" w:cs="Courier New" w:eastAsia="Courier New" w:hAnsi="Courier New"/>
                <w:sz w:val="18"/>
                <w:szCs w:val="18"/>
                <w:color w:val="auto"/>
              </w:rPr>
              <w:t>FINANCIAL INFORMATION</w:t>
            </w:r>
          </w:p>
        </w:tc>
        <w:tc>
          <w:tcPr>
            <w:tcW w:w="90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80" w:type="dxa"/>
            <w:vAlign w:val="bottom"/>
          </w:tcPr>
          <w:p>
            <w:pPr>
              <w:ind w:left="100"/>
              <w:spacing w:after="0"/>
              <w:rPr>
                <w:sz w:val="20"/>
                <w:szCs w:val="20"/>
                <w:color w:val="auto"/>
              </w:rPr>
            </w:pPr>
            <w:r>
              <w:rPr>
                <w:rFonts w:ascii="Courier New" w:cs="Courier New" w:eastAsia="Courier New" w:hAnsi="Courier New"/>
                <w:sz w:val="18"/>
                <w:szCs w:val="18"/>
                <w:color w:val="auto"/>
              </w:rPr>
              <w:t>Financial Statements:</w:t>
            </w:r>
          </w:p>
        </w:tc>
        <w:tc>
          <w:tcPr>
            <w:tcW w:w="90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6480" w:type="dxa"/>
            <w:vAlign w:val="bottom"/>
          </w:tcPr>
          <w:p>
            <w:pPr>
              <w:ind w:left="100"/>
              <w:spacing w:after="0"/>
              <w:rPr>
                <w:sz w:val="20"/>
                <w:szCs w:val="20"/>
                <w:color w:val="auto"/>
              </w:rPr>
            </w:pPr>
            <w:r>
              <w:rPr>
                <w:rFonts w:ascii="Courier New" w:cs="Courier New" w:eastAsia="Courier New" w:hAnsi="Courier New"/>
                <w:sz w:val="18"/>
                <w:szCs w:val="18"/>
                <w:color w:val="auto"/>
              </w:rPr>
              <w:t>Consolidated Condensed Balance Sheets - March 31, 1998</w:t>
            </w:r>
          </w:p>
        </w:tc>
        <w:tc>
          <w:tcPr>
            <w:tcW w:w="9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and September 28, 1997   . . . . . . . . . . . . . . . . .</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960" w:type="dxa"/>
            <w:vAlign w:val="bottom"/>
          </w:tcPr>
          <w:p>
            <w:pPr>
              <w:spacing w:after="0"/>
              <w:rPr>
                <w:sz w:val="17"/>
                <w:szCs w:val="17"/>
                <w:color w:val="auto"/>
              </w:rPr>
            </w:pPr>
          </w:p>
        </w:tc>
        <w:tc>
          <w:tcPr>
            <w:tcW w:w="6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Consolidated Condensed Statements of Income - Three Months</w:t>
            </w:r>
          </w:p>
        </w:tc>
        <w:tc>
          <w:tcPr>
            <w:tcW w:w="9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and Six Months Ended March 31, 1998 and 1997 . . . . . . .</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960" w:type="dxa"/>
            <w:vAlign w:val="bottom"/>
          </w:tcPr>
          <w:p>
            <w:pPr>
              <w:spacing w:after="0"/>
              <w:rPr>
                <w:sz w:val="17"/>
                <w:szCs w:val="17"/>
                <w:color w:val="auto"/>
              </w:rPr>
            </w:pPr>
          </w:p>
        </w:tc>
        <w:tc>
          <w:tcPr>
            <w:tcW w:w="6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Consolidated Condensed Statements of Cash Flows - Six</w:t>
            </w:r>
          </w:p>
        </w:tc>
        <w:tc>
          <w:tcPr>
            <w:tcW w:w="9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Months Ended March 31, 1998 and 1997 . . . . . . . . . . .</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960" w:type="dxa"/>
            <w:vAlign w:val="bottom"/>
          </w:tcPr>
          <w:p>
            <w:pPr>
              <w:spacing w:after="0"/>
              <w:rPr>
                <w:sz w:val="17"/>
                <w:szCs w:val="17"/>
                <w:color w:val="auto"/>
              </w:rPr>
            </w:pPr>
          </w:p>
        </w:tc>
        <w:tc>
          <w:tcPr>
            <w:tcW w:w="6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Notes to Consolidated Condensed Financial Statements . . . .</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80" w:type="dxa"/>
            <w:vAlign w:val="bottom"/>
          </w:tcPr>
          <w:p>
            <w:pPr>
              <w:ind w:left="100"/>
              <w:spacing w:after="0"/>
              <w:rPr>
                <w:sz w:val="20"/>
                <w:szCs w:val="20"/>
                <w:color w:val="auto"/>
              </w:rPr>
            </w:pPr>
            <w:r>
              <w:rPr>
                <w:rFonts w:ascii="Courier New" w:cs="Courier New" w:eastAsia="Courier New" w:hAnsi="Courier New"/>
                <w:sz w:val="18"/>
                <w:szCs w:val="18"/>
                <w:color w:val="auto"/>
              </w:rPr>
              <w:t>Management's Discussion and Analysis of Financial</w:t>
            </w:r>
          </w:p>
        </w:tc>
        <w:tc>
          <w:tcPr>
            <w:tcW w:w="9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Condition and Results of Operations  . . . . . . . . . . .</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48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90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80" w:type="dxa"/>
            <w:vAlign w:val="bottom"/>
          </w:tcPr>
          <w:p>
            <w:pPr>
              <w:ind w:left="100"/>
              <w:spacing w:after="0"/>
              <w:rPr>
                <w:sz w:val="20"/>
                <w:szCs w:val="20"/>
                <w:color w:val="auto"/>
              </w:rPr>
            </w:pPr>
            <w:r>
              <w:rPr>
                <w:rFonts w:ascii="Courier New" w:cs="Courier New" w:eastAsia="Courier New" w:hAnsi="Courier New"/>
                <w:sz w:val="18"/>
                <w:szCs w:val="18"/>
                <w:color w:val="auto"/>
                <w:w w:val="98"/>
              </w:rPr>
              <w:t>Legal Proceedings  . . . . . . . . . . . . . . . . . . . . .</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480" w:type="dxa"/>
            <w:vAlign w:val="bottom"/>
          </w:tcPr>
          <w:p>
            <w:pPr>
              <w:ind w:left="100"/>
              <w:spacing w:after="0"/>
              <w:rPr>
                <w:sz w:val="20"/>
                <w:szCs w:val="20"/>
                <w:color w:val="auto"/>
              </w:rPr>
            </w:pPr>
            <w:r>
              <w:rPr>
                <w:rFonts w:ascii="Courier New" w:cs="Courier New" w:eastAsia="Courier New" w:hAnsi="Courier New"/>
                <w:sz w:val="18"/>
                <w:szCs w:val="18"/>
                <w:color w:val="auto"/>
                <w:w w:val="98"/>
              </w:rPr>
              <w:t>Submission of Matters to a Vote of Securities Holders. . . .</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480" w:type="dxa"/>
            <w:vAlign w:val="bottom"/>
          </w:tcPr>
          <w:p>
            <w:pPr>
              <w:ind w:left="100"/>
              <w:spacing w:after="0"/>
              <w:rPr>
                <w:sz w:val="20"/>
                <w:szCs w:val="20"/>
                <w:color w:val="auto"/>
              </w:rPr>
            </w:pPr>
            <w:r>
              <w:rPr>
                <w:rFonts w:ascii="Courier New" w:cs="Courier New" w:eastAsia="Courier New" w:hAnsi="Courier New"/>
                <w:sz w:val="18"/>
                <w:szCs w:val="18"/>
                <w:color w:val="auto"/>
                <w:w w:val="98"/>
              </w:rPr>
              <w:t>Exhibits and Reports on Form 8-K . . . . . . . . . . . . . .</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w:t>
            </w:r>
          </w:p>
        </w:tc>
      </w:tr>
      <w:tr>
        <w:trPr>
          <w:trHeight w:val="405"/>
        </w:trPr>
        <w:tc>
          <w:tcPr>
            <w:tcW w:w="960" w:type="dxa"/>
            <w:vAlign w:val="bottom"/>
          </w:tcPr>
          <w:p>
            <w:pPr>
              <w:spacing w:after="0"/>
              <w:rPr>
                <w:sz w:val="24"/>
                <w:szCs w:val="24"/>
                <w:color w:val="auto"/>
              </w:rPr>
            </w:pPr>
          </w:p>
        </w:tc>
        <w:tc>
          <w:tcPr>
            <w:tcW w:w="6480" w:type="dxa"/>
            <w:vAlign w:val="bottom"/>
          </w:tcPr>
          <w:p>
            <w:pPr>
              <w:ind w:left="100"/>
              <w:spacing w:after="0"/>
              <w:rPr>
                <w:sz w:val="20"/>
                <w:szCs w:val="20"/>
                <w:color w:val="auto"/>
              </w:rPr>
            </w:pPr>
            <w:r>
              <w:rPr>
                <w:rFonts w:ascii="Courier New" w:cs="Courier New" w:eastAsia="Courier New" w:hAnsi="Courier New"/>
                <w:sz w:val="18"/>
                <w:szCs w:val="18"/>
                <w:color w:val="auto"/>
                <w:w w:val="98"/>
              </w:rPr>
              <w:t>Exhibit Index. . . . . . . . . . . . . . . . . . . . . . . .</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w:t>
            </w:r>
          </w:p>
        </w:tc>
      </w:tr>
      <w:tr>
        <w:trPr>
          <w:trHeight w:val="405"/>
        </w:trPr>
        <w:tc>
          <w:tcPr>
            <w:tcW w:w="960" w:type="dxa"/>
            <w:vAlign w:val="bottom"/>
          </w:tcPr>
          <w:p>
            <w:pPr>
              <w:spacing w:after="0"/>
              <w:rPr>
                <w:sz w:val="24"/>
                <w:szCs w:val="24"/>
                <w:color w:val="auto"/>
              </w:rPr>
            </w:pPr>
          </w:p>
        </w:tc>
        <w:tc>
          <w:tcPr>
            <w:tcW w:w="6480" w:type="dxa"/>
            <w:vAlign w:val="bottom"/>
          </w:tcPr>
          <w:p>
            <w:pPr>
              <w:ind w:left="100"/>
              <w:spacing w:after="0"/>
              <w:rPr>
                <w:sz w:val="20"/>
                <w:szCs w:val="20"/>
                <w:color w:val="auto"/>
              </w:rPr>
            </w:pPr>
            <w:r>
              <w:rPr>
                <w:rFonts w:ascii="Courier New" w:cs="Courier New" w:eastAsia="Courier New" w:hAnsi="Courier New"/>
                <w:sz w:val="18"/>
                <w:szCs w:val="18"/>
                <w:color w:val="auto"/>
                <w:w w:val="98"/>
              </w:rPr>
              <w:t>Financial Data Schedule. . . . . . . . . . . . . . . . . . .</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w:t>
            </w:r>
          </w:p>
        </w:tc>
      </w:tr>
      <w:tr>
        <w:trPr>
          <w:trHeight w:val="608"/>
        </w:trPr>
        <w:tc>
          <w:tcPr>
            <w:tcW w:w="960" w:type="dxa"/>
            <w:vAlign w:val="bottom"/>
          </w:tcPr>
          <w:p>
            <w:pPr>
              <w:spacing w:after="0"/>
              <w:rPr>
                <w:sz w:val="24"/>
                <w:szCs w:val="24"/>
                <w:color w:val="auto"/>
              </w:rPr>
            </w:pPr>
          </w:p>
        </w:tc>
        <w:tc>
          <w:tcPr>
            <w:tcW w:w="6480" w:type="dxa"/>
            <w:vAlign w:val="bottom"/>
          </w:tcPr>
          <w:p>
            <w:pPr>
              <w:ind w:left="3480"/>
              <w:spacing w:after="0"/>
              <w:rPr>
                <w:sz w:val="20"/>
                <w:szCs w:val="20"/>
                <w:color w:val="auto"/>
              </w:rPr>
            </w:pPr>
            <w:r>
              <w:rPr>
                <w:rFonts w:ascii="Courier New" w:cs="Courier New" w:eastAsia="Courier New" w:hAnsi="Courier New"/>
                <w:sz w:val="18"/>
                <w:szCs w:val="18"/>
                <w:color w:val="auto"/>
              </w:rPr>
              <w:t>2</w:t>
            </w:r>
          </w:p>
        </w:tc>
        <w:tc>
          <w:tcPr>
            <w:tcW w:w="9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 w:name="page3"/>
    <w:bookmarkEnd w:id="2"/>
    <w:p>
      <w:pPr>
        <w:ind w:left="2860"/>
        <w:spacing w:after="0"/>
        <w:tabs>
          <w:tab w:leader="none" w:pos="378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I.</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HAWKINS CHEMICAL, INC. AND SUBSIDIARY</w:t>
      </w:r>
    </w:p>
    <w:p>
      <w:pPr>
        <w:ind w:left="2440"/>
        <w:spacing w:after="0" w:line="238" w:lineRule="auto"/>
        <w:rPr>
          <w:sz w:val="20"/>
          <w:szCs w:val="20"/>
          <w:color w:val="auto"/>
        </w:rPr>
      </w:pPr>
      <w:r>
        <w:rPr>
          <w:rFonts w:ascii="Courier New" w:cs="Courier New" w:eastAsia="Courier New" w:hAnsi="Courier New"/>
          <w:sz w:val="18"/>
          <w:szCs w:val="18"/>
          <w:color w:val="auto"/>
        </w:rPr>
        <w:t>CONSOLIDATED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March 31, 1998   September 28, 1997</w:t>
            </w:r>
          </w:p>
        </w:tc>
      </w:tr>
      <w:tr>
        <w:trPr>
          <w:trHeight w:val="203"/>
        </w:trPr>
        <w:tc>
          <w:tcPr>
            <w:tcW w:w="6480" w:type="dxa"/>
            <w:vAlign w:val="bottom"/>
          </w:tcPr>
          <w:p>
            <w:pPr>
              <w:spacing w:after="0"/>
              <w:rPr>
                <w:sz w:val="17"/>
                <w:szCs w:val="17"/>
                <w:color w:val="auto"/>
              </w:rPr>
            </w:pPr>
          </w:p>
        </w:tc>
        <w:tc>
          <w:tcPr>
            <w:tcW w:w="1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2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(Derived from audited</w:t>
            </w:r>
          </w:p>
        </w:tc>
      </w:tr>
      <w:tr>
        <w:trPr>
          <w:trHeight w:val="203"/>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financial statements)</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and cash equivalents.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6,318,576</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$ 8,065,021</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Investments available-for-sale . .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12,248,395</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11,980,078</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Trade receivables-net. . . . . . .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10,932,935</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11,117,991</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receivable . . . . . . . . .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256,476</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222,946</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Inventories. . . . . . . . . . . .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7,187,955</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8,580,705</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current assets . . . . . . .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2,262,228</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1,912,325</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current assets . . . . . . . . . . . . . . . . .</w:t>
            </w:r>
          </w:p>
        </w:tc>
        <w:tc>
          <w:tcPr>
            <w:tcW w:w="38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39,206,565</w:t>
            </w:r>
          </w:p>
        </w:tc>
        <w:tc>
          <w:tcPr>
            <w:tcW w:w="2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41,879,066</w:t>
            </w:r>
          </w:p>
        </w:tc>
      </w:tr>
      <w:tr>
        <w:trPr>
          <w:trHeight w:val="405"/>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Property, plant and equipment-net. . . . . . . . . . . . . .</w:t>
            </w:r>
          </w:p>
        </w:tc>
        <w:tc>
          <w:tcPr>
            <w:tcW w:w="38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17,634,865</w:t>
            </w:r>
          </w:p>
        </w:tc>
        <w:tc>
          <w:tcPr>
            <w:tcW w:w="2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15,487,545</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Notes receivable-non current . . . .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3,438,809</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3,639,712</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assets . . . . . . . . . . . .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2,670,219</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2,646,293</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 .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62,950,458</w:t>
            </w:r>
          </w:p>
        </w:tc>
        <w:tc>
          <w:tcPr>
            <w:tcW w:w="2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$63,652,616</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payable-trade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5,101,676</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$ 5,729,584</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Current portion of long-term debt.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89,123</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59,928</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Dividends payable. . . . . . . . .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1,160,389</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1,044,351</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current liabilities. . . . .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3,793,930</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6,381,454</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current liabilities. . . . . . . . . . . . . . .</w:t>
            </w:r>
          </w:p>
        </w:tc>
        <w:tc>
          <w:tcPr>
            <w:tcW w:w="38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10,145,118</w:t>
            </w:r>
          </w:p>
        </w:tc>
        <w:tc>
          <w:tcPr>
            <w:tcW w:w="2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13,215,317</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Long-term debt . . . . . . . . . . . . . . . . . . . . . . .</w:t>
            </w:r>
          </w:p>
        </w:tc>
        <w:tc>
          <w:tcPr>
            <w:tcW w:w="38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423,402</w:t>
            </w:r>
          </w:p>
        </w:tc>
        <w:tc>
          <w:tcPr>
            <w:tcW w:w="2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512,525</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Deferred income taxes. . . . . . . . . . . . . . . . . . . .</w:t>
            </w:r>
          </w:p>
        </w:tc>
        <w:tc>
          <w:tcPr>
            <w:tcW w:w="38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986,000</w:t>
            </w:r>
          </w:p>
        </w:tc>
        <w:tc>
          <w:tcPr>
            <w:tcW w:w="2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983,000</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03"/>
        </w:trPr>
        <w:tc>
          <w:tcPr>
            <w:tcW w:w="648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Common stock, par value $.05 per share; issued</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and outstanding, 11,603,895 shares at both dates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580,195</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580,195</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Additional paid-in capital . . .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42,517,455</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42,517,455</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Retained earnings. . . . . . . . . . . . . . . . . . . .</w:t>
            </w:r>
          </w:p>
        </w:tc>
        <w:tc>
          <w:tcPr>
            <w:tcW w:w="38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8,298,288</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5,844,124</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shareholders' equity . . . . . . . . . . . . . .</w:t>
            </w:r>
          </w:p>
        </w:tc>
        <w:tc>
          <w:tcPr>
            <w:tcW w:w="38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51,395,938</w:t>
            </w:r>
          </w:p>
        </w:tc>
        <w:tc>
          <w:tcPr>
            <w:tcW w:w="2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48,941,774</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Total. .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62,950,458</w:t>
            </w:r>
          </w:p>
        </w:tc>
        <w:tc>
          <w:tcPr>
            <w:tcW w:w="2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$63,652,616</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rPr>
                <w:sz w:val="17"/>
                <w:szCs w:val="17"/>
                <w:color w:val="auto"/>
              </w:rPr>
            </w:pPr>
          </w:p>
        </w:tc>
        <w:tc>
          <w:tcPr>
            <w:tcW w:w="17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640"/>
          </w:cols>
          <w:pgMar w:left="240" w:top="717" w:right="1019" w:bottom="159" w:gutter="0" w:footer="0" w:header="0"/>
        </w:sectPr>
      </w:pPr>
    </w:p>
    <w:bookmarkStart w:id="3" w:name="page4"/>
    <w:bookmarkEnd w:id="3"/>
    <w:p>
      <w:pPr>
        <w:jc w:val="center"/>
        <w:ind w:right="1880"/>
        <w:spacing w:after="0"/>
        <w:rPr>
          <w:sz w:val="20"/>
          <w:szCs w:val="20"/>
          <w:color w:val="auto"/>
        </w:rPr>
      </w:pPr>
      <w:r>
        <w:rPr>
          <w:rFonts w:ascii="Courier New" w:cs="Courier New" w:eastAsia="Courier New" w:hAnsi="Courier New"/>
          <w:sz w:val="18"/>
          <w:szCs w:val="18"/>
          <w:color w:val="auto"/>
        </w:rPr>
        <w:t>HAWKINS CHEMICAL, INC. AND SUBSIDIARY</w:t>
      </w:r>
    </w:p>
    <w:p>
      <w:pPr>
        <w:jc w:val="center"/>
        <w:ind w:right="1880"/>
        <w:spacing w:after="0" w:line="238" w:lineRule="auto"/>
        <w:rPr>
          <w:sz w:val="20"/>
          <w:szCs w:val="20"/>
          <w:color w:val="auto"/>
        </w:rPr>
      </w:pPr>
      <w:r>
        <w:rPr>
          <w:rFonts w:ascii="Courier New" w:cs="Courier New" w:eastAsia="Courier New" w:hAnsi="Courier New"/>
          <w:sz w:val="18"/>
          <w:szCs w:val="18"/>
          <w:color w:val="auto"/>
        </w:rPr>
        <w:t>CONSOLIDATED CONDENSED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8"/>
                <w:szCs w:val="18"/>
                <w:color w:val="auto"/>
              </w:rPr>
              <w:t>(Unaudited)</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38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Three Months Ended March 31</w:t>
            </w:r>
          </w:p>
        </w:tc>
        <w:tc>
          <w:tcPr>
            <w:tcW w:w="3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Six Months Ended March 31</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1998</w:t>
            </w:r>
          </w:p>
        </w:tc>
        <w:tc>
          <w:tcPr>
            <w:tcW w:w="1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$22,316,507</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$20,673,498</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$44,983,377</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$40,609,556</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 of sales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17,425,745</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16,247,088</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34,976,903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32,018,170</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2,366,541</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2,237,922</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4,720,614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4,350,122</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ind w:left="860"/>
              <w:spacing w:after="0"/>
              <w:rPr>
                <w:sz w:val="20"/>
                <w:szCs w:val="20"/>
                <w:color w:val="auto"/>
              </w:rPr>
            </w:pPr>
            <w:r>
              <w:rPr>
                <w:rFonts w:ascii="Courier New" w:cs="Courier New" w:eastAsia="Courier New" w:hAnsi="Courier New"/>
                <w:sz w:val="18"/>
                <w:szCs w:val="18"/>
                <w:color w:val="auto"/>
              </w:rPr>
              <w:t>Total costs and expenses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19,792,286</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18,485,010</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39,697,517</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36,368,292</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2,524,221</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2,188,488</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5,285,860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4,241,264</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Other income (deductions):</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306,311</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260,431</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661,749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522,612</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(10,771)</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(11,819)</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(21,564)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(23,662)</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Miscellaneous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14,136</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5,374</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33,808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88,262</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ind w:left="860"/>
              <w:spacing w:after="0"/>
              <w:rPr>
                <w:sz w:val="20"/>
                <w:szCs w:val="20"/>
                <w:color w:val="auto"/>
              </w:rPr>
            </w:pPr>
            <w:r>
              <w:rPr>
                <w:rFonts w:ascii="Courier New" w:cs="Courier New" w:eastAsia="Courier New" w:hAnsi="Courier New"/>
                <w:sz w:val="18"/>
                <w:szCs w:val="18"/>
                <w:color w:val="auto"/>
              </w:rPr>
              <w:t>Total other income (deductions)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309,676</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253,986</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673,993</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587,212</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2,833,897</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2,442,474</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5,959,853</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4,828,476</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1,116,800</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964,700</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2,345,300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1,895,200</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$ 1,717,097</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$ 1,477,774</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$ 3,614,553</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$ 2,933,276</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11,603,895</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11,603,895</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11,603,895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11,603,895</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Earnings per common share -</w:t>
            </w: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and diluted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$0.15</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$0.13</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640"/>
          </w:cols>
          <w:pgMar w:left="240" w:top="717" w:right="1019" w:bottom="1440" w:gutter="0" w:footer="0" w:header="0"/>
        </w:sectPr>
      </w:pPr>
    </w:p>
    <w:bookmarkStart w:id="4" w:name="page5"/>
    <w:bookmarkEnd w:id="4"/>
    <w:p>
      <w:pPr>
        <w:jc w:val="center"/>
        <w:ind w:right="1459"/>
        <w:spacing w:after="0"/>
        <w:rPr>
          <w:sz w:val="20"/>
          <w:szCs w:val="20"/>
          <w:color w:val="auto"/>
        </w:rPr>
      </w:pPr>
      <w:r>
        <w:rPr>
          <w:rFonts w:ascii="Courier New" w:cs="Courier New" w:eastAsia="Courier New" w:hAnsi="Courier New"/>
          <w:sz w:val="18"/>
          <w:szCs w:val="18"/>
          <w:color w:val="auto"/>
        </w:rPr>
        <w:t>HAWKINS CHEMICAL, INC. AND SUBSIDIARY</w:t>
      </w:r>
    </w:p>
    <w:p>
      <w:pPr>
        <w:jc w:val="center"/>
        <w:ind w:right="1459"/>
        <w:spacing w:after="0" w:line="238" w:lineRule="auto"/>
        <w:rPr>
          <w:sz w:val="20"/>
          <w:szCs w:val="20"/>
          <w:color w:val="auto"/>
        </w:rPr>
      </w:pPr>
      <w:r>
        <w:rPr>
          <w:rFonts w:ascii="Courier New" w:cs="Courier New" w:eastAsia="Courier New" w:hAnsi="Courier New"/>
          <w:sz w:val="18"/>
          <w:szCs w:val="18"/>
          <w:color w:val="auto"/>
        </w:rPr>
        <w:t>CONSOLIDATED CONDENSED STATEMENTS OF CASH FLOWS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3220" w:type="dxa"/>
            <w:vAlign w:val="bottom"/>
            <w:gridSpan w:val="4"/>
          </w:tcPr>
          <w:p>
            <w:pPr>
              <w:ind w:left="360"/>
              <w:spacing w:after="0"/>
              <w:rPr>
                <w:sz w:val="20"/>
                <w:szCs w:val="20"/>
                <w:color w:val="auto"/>
              </w:rPr>
            </w:pPr>
            <w:r>
              <w:rPr>
                <w:rFonts w:ascii="Courier New" w:cs="Courier New" w:eastAsia="Courier New" w:hAnsi="Courier New"/>
                <w:sz w:val="18"/>
                <w:szCs w:val="18"/>
                <w:color w:val="auto"/>
              </w:rPr>
              <w:t>SIX MONTHS ENDED MARCH 31</w:t>
            </w:r>
          </w:p>
        </w:tc>
      </w:tr>
      <w:tr>
        <w:trPr>
          <w:trHeight w:val="203"/>
        </w:trPr>
        <w:tc>
          <w:tcPr>
            <w:tcW w:w="6380" w:type="dxa"/>
            <w:vAlign w:val="bottom"/>
          </w:tcPr>
          <w:p>
            <w:pPr>
              <w:spacing w:after="0"/>
              <w:rPr>
                <w:sz w:val="17"/>
                <w:szCs w:val="17"/>
                <w:color w:val="auto"/>
              </w:rPr>
            </w:pPr>
          </w:p>
        </w:tc>
        <w:tc>
          <w:tcPr>
            <w:tcW w:w="322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1998</w:t>
            </w:r>
          </w:p>
        </w:tc>
        <w:tc>
          <w:tcPr>
            <w:tcW w:w="3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jc w:val="right"/>
              <w:ind w:right="2392"/>
              <w:spacing w:after="0"/>
              <w:rPr>
                <w:sz w:val="20"/>
                <w:szCs w:val="20"/>
                <w:color w:val="auto"/>
              </w:rPr>
            </w:pPr>
            <w:r>
              <w:rPr>
                <w:rFonts w:ascii="Courier New" w:cs="Courier New" w:eastAsia="Courier New" w:hAnsi="Courier New"/>
                <w:sz w:val="18"/>
                <w:szCs w:val="18"/>
                <w:color w:val="auto"/>
                <w:w w:val="97"/>
              </w:rPr>
              <w:t>CASH FLOWS FROM OPERATING ACTIVITIES: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income . . . . . . . . . . . . . . . . . . . . . .</w:t>
            </w:r>
          </w:p>
        </w:tc>
        <w:tc>
          <w:tcPr>
            <w:tcW w:w="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3,614,553</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$ 2,933,276</w:t>
            </w: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Depreciation and amortization. . . . . . . . . . . . .</w:t>
            </w:r>
          </w:p>
        </w:tc>
        <w:tc>
          <w:tcPr>
            <w:tcW w:w="4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851,709</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770,480</w:t>
            </w: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Deferred income taxes. . . . . . . . . . . . . . . . .</w:t>
            </w:r>
          </w:p>
        </w:tc>
        <w:tc>
          <w:tcPr>
            <w:tcW w:w="4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78,000</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38,500</w:t>
            </w: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 . . . . . . . . . . . . . . . . . . . . . . .</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(55,475)</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(45,032)</w:t>
            </w: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Changes in certain current assets and liabilities. . .</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(2,062,529)</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(1,442,507)</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provided by operating activities. . . . .</w:t>
            </w:r>
          </w:p>
        </w:tc>
        <w:tc>
          <w:tcPr>
            <w:tcW w:w="4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2,426,258</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2,254,717</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jc w:val="right"/>
              <w:ind w:right="2392"/>
              <w:spacing w:after="0"/>
              <w:rPr>
                <w:sz w:val="20"/>
                <w:szCs w:val="20"/>
                <w:color w:val="auto"/>
              </w:rPr>
            </w:pPr>
            <w:r>
              <w:rPr>
                <w:rFonts w:ascii="Courier New" w:cs="Courier New" w:eastAsia="Courier New" w:hAnsi="Courier New"/>
                <w:sz w:val="18"/>
                <w:szCs w:val="18"/>
                <w:color w:val="auto"/>
                <w:w w:val="97"/>
              </w:rPr>
              <w:t>CASH FLOWS FROM INVESTING ACTIVITIES: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Additions to property, plant and equipment . . . . . .</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(2,967,480)</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(1,294,403)</w:t>
            </w: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Purchases of investments . . . . . . . . . . . . . . .</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(268,317)</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(233,952)</w:t>
            </w: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Payments received on note receivable . . . . . . . . .</w:t>
            </w:r>
          </w:p>
        </w:tc>
        <w:tc>
          <w:tcPr>
            <w:tcW w:w="48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167,373</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136,106</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used in investing activities. . . . . . .</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(3,068,424)</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(1,392,249)</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jc w:val="right"/>
              <w:ind w:right="2392"/>
              <w:spacing w:after="0"/>
              <w:rPr>
                <w:sz w:val="20"/>
                <w:szCs w:val="20"/>
                <w:color w:val="auto"/>
              </w:rPr>
            </w:pPr>
            <w:r>
              <w:rPr>
                <w:rFonts w:ascii="Courier New" w:cs="Courier New" w:eastAsia="Courier New" w:hAnsi="Courier New"/>
                <w:sz w:val="18"/>
                <w:szCs w:val="18"/>
                <w:color w:val="auto"/>
                <w:w w:val="97"/>
              </w:rPr>
              <w:t>CASH FLOWS FROM FINANCING ACTIVITIES: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Cash dividends paid. . . . . . . . . . . . . . . . . .</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(1,044,351)</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(884,135)</w:t>
            </w: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Debt repayment . . . . . . . . . . . . . . . . . . . .</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(59,928)</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(56,008)</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used in financing activities. . . . . . .</w:t>
            </w:r>
          </w:p>
        </w:tc>
        <w:tc>
          <w:tcPr>
            <w:tcW w:w="4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(1,104,279)</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(940,143)</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3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DECREASE IN CASH AND CASH EQUIVALENTS. . . . . . . . . . .</w:t>
            </w:r>
          </w:p>
        </w:tc>
        <w:tc>
          <w:tcPr>
            <w:tcW w:w="48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(1,746,445)</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(77,675)</w:t>
            </w:r>
          </w:p>
        </w:tc>
      </w:tr>
      <w:tr>
        <w:trPr>
          <w:trHeight w:val="405"/>
        </w:trPr>
        <w:tc>
          <w:tcPr>
            <w:tcW w:w="63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AND CASH EQUIVALENTS, BEGINNING OF YEAR . . . . . . .</w:t>
            </w:r>
          </w:p>
        </w:tc>
        <w:tc>
          <w:tcPr>
            <w:tcW w:w="48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8,065,021</w:t>
            </w:r>
          </w:p>
        </w:tc>
        <w:tc>
          <w:tcPr>
            <w:tcW w:w="3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8,932,125</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AND CASH EQUIVALENTS, END OF PERIOD . . . . . . . . .</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6,318,576</w:t>
            </w: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$ 8,854,450</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jc w:val="right"/>
              <w:ind w:right="2392"/>
              <w:spacing w:after="0"/>
              <w:rPr>
                <w:sz w:val="20"/>
                <w:szCs w:val="20"/>
                <w:color w:val="auto"/>
              </w:rPr>
            </w:pPr>
            <w:r>
              <w:rPr>
                <w:rFonts w:ascii="Courier New" w:cs="Courier New" w:eastAsia="Courier New" w:hAnsi="Courier New"/>
                <w:sz w:val="18"/>
                <w:szCs w:val="18"/>
                <w:color w:val="auto"/>
                <w:w w:val="97"/>
              </w:rPr>
              <w:t>SUPPLEMENTAL DISCLOSURES OF CASH FLOW</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380" w:type="dxa"/>
            <w:vAlign w:val="bottom"/>
          </w:tcPr>
          <w:p>
            <w:pPr>
              <w:jc w:val="right"/>
              <w:ind w:right="4592"/>
              <w:spacing w:after="0" w:line="203" w:lineRule="exact"/>
              <w:rPr>
                <w:sz w:val="20"/>
                <w:szCs w:val="20"/>
                <w:color w:val="auto"/>
              </w:rPr>
            </w:pPr>
            <w:r>
              <w:rPr>
                <w:rFonts w:ascii="Courier New" w:cs="Courier New" w:eastAsia="Courier New" w:hAnsi="Courier New"/>
                <w:sz w:val="18"/>
                <w:szCs w:val="18"/>
                <w:color w:val="auto"/>
              </w:rPr>
              <w:t>INFORMATION:</w:t>
            </w: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6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Cash paid for interest . . . . . . . . . . . . . . . .</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45,092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49,011</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Cash paid for income taxes . . . . . . . . . . . . . .</w:t>
            </w:r>
          </w:p>
        </w:tc>
        <w:tc>
          <w:tcPr>
            <w:tcW w:w="480" w:type="dxa"/>
            <w:vAlign w:val="bottom"/>
          </w:tcPr>
          <w:p>
            <w:pPr>
              <w:ind w:left="360"/>
              <w:spacing w:after="0"/>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3,189,000</w:t>
            </w:r>
          </w:p>
        </w:tc>
        <w:tc>
          <w:tcPr>
            <w:tcW w:w="14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$ 1,968,000</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ind w:left="2432"/>
        <w:spacing w:after="0"/>
        <w:rPr>
          <w:sz w:val="20"/>
          <w:szCs w:val="20"/>
          <w:color w:val="auto"/>
        </w:rPr>
      </w:pPr>
      <w:r>
        <w:rPr>
          <w:rFonts w:ascii="Courier New" w:cs="Courier New" w:eastAsia="Courier New" w:hAnsi="Courier New"/>
          <w:sz w:val="18"/>
          <w:szCs w:val="18"/>
          <w:color w:val="auto"/>
        </w:rPr>
        <w:t>HAWKINS CHEMICAL, INC. AND SUBSIDIARY</w:t>
      </w:r>
    </w:p>
    <w:p>
      <w:pPr>
        <w:ind w:left="1692"/>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w:t>
      </w:r>
    </w:p>
    <w:p>
      <w:pPr>
        <w:spacing w:after="0" w:line="207" w:lineRule="exact"/>
        <w:rPr>
          <w:sz w:val="20"/>
          <w:szCs w:val="20"/>
          <w:color w:val="auto"/>
        </w:rPr>
      </w:pPr>
    </w:p>
    <w:p>
      <w:pPr>
        <w:ind w:left="532" w:right="1779" w:hanging="532"/>
        <w:spacing w:after="0" w:line="238"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September 28, 1997, previously filed with the Commission. In the opinion of management, the accompanying unaudited consolidated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207" w:lineRule="exact"/>
        <w:rPr>
          <w:rFonts w:ascii="Courier New" w:cs="Courier New" w:eastAsia="Courier New" w:hAnsi="Courier New"/>
          <w:sz w:val="18"/>
          <w:szCs w:val="18"/>
          <w:color w:val="auto"/>
        </w:rPr>
      </w:pPr>
    </w:p>
    <w:p>
      <w:pPr>
        <w:ind w:left="532"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December 15, 1997, the Company adopted Statement of Financial Accounting Standards No. 128, "Earnings per Share," (SFAS No. 128). Earnings per common share presented for the three and six months ended March 31, 1997 have been restated for the adoption of SFAS No. 128. The effect of adopting SFAS No. 128 at December 15, 1997, on earnings per common share for the three and six months ended March 31, 1997 was not material.</w:t>
      </w:r>
    </w:p>
    <w:p>
      <w:pPr>
        <w:spacing w:after="0" w:line="211"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accounting policies followed by the Company are set forth in Note 1 to the Company's financial statements in the 1997 Hawkins Chemical, Inc. Annual Report which is incorporated by reference to Form 10-K filed with the Commission on December 29, 1997.</w:t>
      </w:r>
    </w:p>
    <w:p>
      <w:pPr>
        <w:spacing w:after="0" w:line="207" w:lineRule="exact"/>
        <w:rPr>
          <w:rFonts w:ascii="Courier New" w:cs="Courier New" w:eastAsia="Courier New" w:hAnsi="Courier New"/>
          <w:sz w:val="18"/>
          <w:szCs w:val="18"/>
          <w:color w:val="auto"/>
        </w:rPr>
      </w:pPr>
    </w:p>
    <w:p>
      <w:pPr>
        <w:ind w:left="532" w:right="2199" w:hanging="532"/>
        <w:spacing w:after="0" w:line="236"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operations for the period ended March 31, 1998 are not necessarily indicative of the results that may be expected for the full year.</w:t>
      </w:r>
    </w:p>
    <w:p>
      <w:pPr>
        <w:spacing w:after="0" w:line="208" w:lineRule="exact"/>
        <w:rPr>
          <w:rFonts w:ascii="Courier New" w:cs="Courier New" w:eastAsia="Courier New" w:hAnsi="Courier New"/>
          <w:sz w:val="18"/>
          <w:szCs w:val="18"/>
          <w:color w:val="auto"/>
        </w:rPr>
      </w:pPr>
    </w:p>
    <w:p>
      <w:pPr>
        <w:ind w:left="532" w:right="1999" w:hanging="532"/>
        <w:spacing w:after="0" w:line="273" w:lineRule="auto"/>
        <w:tabs>
          <w:tab w:leader="none" w:pos="5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principally valued by the LIFO method, are less than current cost by approximately $779,900 at March 31, 1998. Inventory consists principally of finished goods. Inventory quantities fluctuate during the year. No material amounts of interim liquidation of inventory quantities have occurred that are not expected to be replaced by year-end.</w:t>
      </w:r>
    </w:p>
    <w:p>
      <w:pPr>
        <w:spacing w:after="0" w:line="184" w:lineRule="exact"/>
        <w:rPr>
          <w:rFonts w:ascii="Courier New" w:cs="Courier New" w:eastAsia="Courier New" w:hAnsi="Courier New"/>
          <w:sz w:val="16"/>
          <w:szCs w:val="16"/>
          <w:color w:val="auto"/>
        </w:rPr>
      </w:pPr>
    </w:p>
    <w:p>
      <w:pPr>
        <w:ind w:left="532" w:right="1779" w:hanging="532"/>
        <w:spacing w:after="0" w:line="273" w:lineRule="auto"/>
        <w:tabs>
          <w:tab w:leader="none" w:pos="5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29, 1997, the Company sold the inventory and operations of The Lynde Company, a wholly owned subsidiary that specialized in swimming pool chemicals, effective March 1, 1997. Lynde had revenues of $260,830 and a net loss of $23,800, and revenues of $708,200 and a net loss of $36,600 for the three and six-month periods ended March 31, 1997, respectively.</w:t>
      </w:r>
    </w:p>
    <w:p>
      <w:pPr>
        <w:spacing w:after="0" w:line="184" w:lineRule="exact"/>
        <w:rPr>
          <w:rFonts w:ascii="Courier New" w:cs="Courier New" w:eastAsia="Courier New" w:hAnsi="Courier New"/>
          <w:sz w:val="16"/>
          <w:szCs w:val="16"/>
          <w:color w:val="auto"/>
        </w:rPr>
      </w:pPr>
    </w:p>
    <w:p>
      <w:pPr>
        <w:ind w:left="532" w:right="1779" w:hanging="532"/>
        <w:spacing w:after="0" w:line="238"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1995, the Company had a fire in the office/warehouse of The Lynde Company, a former wholly owned subsidiary. Through March 31, 1998, the Company has expensed approximately $2,550,000 ($20,000 in the six months ended March 31, 1998) to cover estimated costs incurred by the Company in connection with a lawsuit filed against the Company as a result of the fire, of which approximately $2,400,000 has been paid. Based upon the settlement agreement, the Company will incur additional future obligations relating to the settlement of this lawsuit pursuant to a matrix and plan of distribution which is a part of the settlement. The Company is not able to estimate the extent of this potential exposure at this time, but it believes the final disposition of this matter will not have a material adverse effect on the Company's financial position, results of operations, or cash flows. Based on two favorable lower court rulings, management believes that all or a portion of such litigation expenses may be recoverable from the Company's insurers. The Company's insurers have appealed the lower court's decisions to the U.S. Eighth Circuit Court of Appeals. It is not possible, therefore, to determine at this time what recovery, if any, may be obtained by the Company, and no amount has been recorded at March 31, 1998.</w:t>
      </w:r>
    </w:p>
    <w:p>
      <w:pPr>
        <w:spacing w:after="0" w:line="209" w:lineRule="exact"/>
        <w:rPr>
          <w:rFonts w:ascii="Courier New" w:cs="Courier New" w:eastAsia="Courier New" w:hAnsi="Courier New"/>
          <w:sz w:val="18"/>
          <w:szCs w:val="18"/>
          <w:color w:val="auto"/>
        </w:rPr>
      </w:pPr>
    </w:p>
    <w:p>
      <w:pPr>
        <w:ind w:left="532" w:right="1779" w:hanging="532"/>
        <w:spacing w:after="0" w:line="236"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February 11, 1998, the Board of Directors declared a semi-annual cash dividend of $.10 per share, payable April 3, 1998 to shareholders of record at the close of business March 20, 1998.</w:t>
      </w:r>
    </w:p>
    <w:p>
      <w:pPr>
        <w:spacing w:after="0" w:line="200" w:lineRule="exact"/>
        <w:rPr>
          <w:sz w:val="20"/>
          <w:szCs w:val="20"/>
          <w:color w:val="auto"/>
        </w:rPr>
      </w:pPr>
    </w:p>
    <w:p>
      <w:pPr>
        <w:spacing w:after="0" w:line="206" w:lineRule="exact"/>
        <w:rPr>
          <w:sz w:val="20"/>
          <w:szCs w:val="20"/>
          <w:color w:val="auto"/>
        </w:rPr>
      </w:pPr>
    </w:p>
    <w:p>
      <w:pPr>
        <w:ind w:left="443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717" w:right="1440" w:bottom="970" w:gutter="0" w:footer="0" w:header="0"/>
        </w:sectPr>
      </w:pPr>
    </w:p>
    <w:bookmarkStart w:id="6" w:name="page7"/>
    <w:bookmarkEnd w:id="6"/>
    <w:p>
      <w:pPr>
        <w:ind w:left="2000" w:right="3479" w:hanging="2001"/>
        <w:spacing w:after="0" w:line="290" w:lineRule="auto"/>
        <w:tabs>
          <w:tab w:leader="none" w:pos="19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OPERATIONS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sales increased $1,643,009 (7.9%) in the second quarter of this fiscal year as compared to the same quarter a year ago, and increased $4,373,821 (10.8%) in the first six months of fiscal 1998 as compared to the same period in fiscal 1997. These increases were due to increased sales of pharmaceutical chemicals, food grade product chemicals and high purity electroplating products; an increase in the selling price of a single, large-volume product (caustic soda); and increased volumes in most product lines.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Gross margin, as a percentage of net sales, for the second quarter of this fiscal year was 21.9% compared to 21.4% for the same quarter one year ago, and 22.2% for the first six months of this fiscal year, compared to 21.2% for the first six months of fiscal 1997. These increases were mainly due to the sales increases mentioned above, as there are some costs in cost of sales that do not fluctuate with volume changes. The Company has generally been able to and expects to continue to adjust its selling prices as the cost of materials and other expenses change, thereby maintaining relatively stable dollar gross margins.</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expenses, as a percentage of net sales,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second quarter of fiscal 1998 were 10.6% compared to 10.8% for the same</w:t>
      </w:r>
    </w:p>
    <w:p>
      <w:pPr>
        <w:spacing w:after="0" w:line="238" w:lineRule="auto"/>
        <w:rPr>
          <w:sz w:val="20"/>
          <w:szCs w:val="20"/>
          <w:color w:val="auto"/>
        </w:rPr>
      </w:pPr>
      <w:r>
        <w:rPr>
          <w:rFonts w:ascii="Courier New" w:cs="Courier New" w:eastAsia="Courier New" w:hAnsi="Courier New"/>
          <w:sz w:val="18"/>
          <w:szCs w:val="18"/>
          <w:color w:val="auto"/>
        </w:rPr>
        <w:t>quarter one year ago, and 10.5% for the first six months of fiscal 1998 as</w:t>
      </w:r>
    </w:p>
    <w:p>
      <w:pPr>
        <w:spacing w:after="0"/>
        <w:tabs>
          <w:tab w:leader="none" w:pos="6300" w:val="left"/>
        </w:tabs>
        <w:rPr>
          <w:sz w:val="20"/>
          <w:szCs w:val="20"/>
          <w:color w:val="auto"/>
        </w:rPr>
      </w:pPr>
      <w:r>
        <w:rPr>
          <w:rFonts w:ascii="Courier New" w:cs="Courier New" w:eastAsia="Courier New" w:hAnsi="Courier New"/>
          <w:sz w:val="18"/>
          <w:szCs w:val="18"/>
          <w:color w:val="auto"/>
        </w:rPr>
        <w:t>compared to 10.7% for the first six months of fiscal 1997.</w:t>
      </w:r>
      <w:r>
        <w:rPr>
          <w:sz w:val="20"/>
          <w:szCs w:val="20"/>
          <w:color w:val="auto"/>
        </w:rPr>
        <w:tab/>
      </w:r>
      <w:r>
        <w:rPr>
          <w:rFonts w:ascii="Courier New" w:cs="Courier New" w:eastAsia="Courier New" w:hAnsi="Courier New"/>
          <w:sz w:val="16"/>
          <w:szCs w:val="16"/>
          <w:color w:val="auto"/>
        </w:rPr>
        <w:t>Stated as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 of the same period one year ago, the second quarter increase in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was 5.7%, or $128,619, and the six month increase was 8.5%, or</w:t>
      </w:r>
    </w:p>
    <w:p>
      <w:pPr>
        <w:spacing w:after="0"/>
        <w:tabs>
          <w:tab w:leader="none" w:pos="1140" w:val="left"/>
        </w:tabs>
        <w:rPr>
          <w:sz w:val="20"/>
          <w:szCs w:val="20"/>
          <w:color w:val="auto"/>
        </w:rPr>
      </w:pPr>
      <w:r>
        <w:rPr>
          <w:rFonts w:ascii="Courier New" w:cs="Courier New" w:eastAsia="Courier New" w:hAnsi="Courier New"/>
          <w:sz w:val="18"/>
          <w:szCs w:val="18"/>
          <w:color w:val="auto"/>
        </w:rPr>
        <w:t>$370,492.</w:t>
      </w:r>
      <w:r>
        <w:rPr>
          <w:sz w:val="20"/>
          <w:szCs w:val="20"/>
          <w:color w:val="auto"/>
        </w:rPr>
        <w:tab/>
      </w:r>
      <w:r>
        <w:rPr>
          <w:rFonts w:ascii="Courier New" w:cs="Courier New" w:eastAsia="Courier New" w:hAnsi="Courier New"/>
          <w:sz w:val="16"/>
          <w:szCs w:val="16"/>
          <w:color w:val="auto"/>
        </w:rPr>
        <w:t>These increases were mainly due to increased employee compensation</w:t>
      </w:r>
    </w:p>
    <w:p>
      <w:pPr>
        <w:spacing w:after="0"/>
        <w:rPr>
          <w:sz w:val="20"/>
          <w:szCs w:val="20"/>
          <w:color w:val="auto"/>
        </w:rPr>
      </w:pPr>
      <w:r>
        <w:rPr>
          <w:rFonts w:ascii="Courier New" w:cs="Courier New" w:eastAsia="Courier New" w:hAnsi="Courier New"/>
          <w:sz w:val="18"/>
          <w:szCs w:val="18"/>
          <w:color w:val="auto"/>
        </w:rPr>
        <w:t>and benefits, which make up the majority of the selling, general and</w:t>
      </w:r>
    </w:p>
    <w:p>
      <w:pPr>
        <w:spacing w:after="0"/>
        <w:tabs>
          <w:tab w:leader="none" w:pos="3140" w:val="left"/>
        </w:tabs>
        <w:rPr>
          <w:sz w:val="20"/>
          <w:szCs w:val="20"/>
          <w:color w:val="auto"/>
        </w:rPr>
      </w:pPr>
      <w:r>
        <w:rPr>
          <w:rFonts w:ascii="Courier New" w:cs="Courier New" w:eastAsia="Courier New" w:hAnsi="Courier New"/>
          <w:sz w:val="18"/>
          <w:szCs w:val="18"/>
          <w:color w:val="auto"/>
        </w:rPr>
        <w:t>administrative expenditures.</w:t>
      </w:r>
      <w:r>
        <w:rPr>
          <w:sz w:val="20"/>
          <w:szCs w:val="20"/>
          <w:color w:val="auto"/>
        </w:rPr>
        <w:tab/>
      </w:r>
      <w:r>
        <w:rPr>
          <w:rFonts w:ascii="Courier New" w:cs="Courier New" w:eastAsia="Courier New" w:hAnsi="Courier New"/>
          <w:sz w:val="16"/>
          <w:szCs w:val="16"/>
          <w:color w:val="auto"/>
        </w:rPr>
        <w:t>Of the remaining expenses in this category, no</w:t>
      </w:r>
    </w:p>
    <w:p>
      <w:pPr>
        <w:spacing w:after="0"/>
        <w:tabs>
          <w:tab w:leader="none" w:pos="4520" w:val="left"/>
        </w:tabs>
        <w:rPr>
          <w:sz w:val="20"/>
          <w:szCs w:val="20"/>
          <w:color w:val="auto"/>
        </w:rPr>
      </w:pPr>
      <w:r>
        <w:rPr>
          <w:rFonts w:ascii="Courier New" w:cs="Courier New" w:eastAsia="Courier New" w:hAnsi="Courier New"/>
          <w:sz w:val="18"/>
          <w:szCs w:val="18"/>
          <w:color w:val="auto"/>
        </w:rPr>
        <w:t>single item is more than 6% of the total.</w:t>
      </w:r>
      <w:r>
        <w:rPr>
          <w:sz w:val="20"/>
          <w:szCs w:val="20"/>
          <w:color w:val="auto"/>
        </w:rPr>
        <w:tab/>
      </w:r>
      <w:r>
        <w:rPr>
          <w:rFonts w:ascii="Courier New" w:cs="Courier New" w:eastAsia="Courier New" w:hAnsi="Courier New"/>
          <w:sz w:val="16"/>
          <w:szCs w:val="16"/>
          <w:color w:val="auto"/>
        </w:rPr>
        <w:t>Most of these expenses fluctuate only</w:t>
      </w:r>
    </w:p>
    <w:p>
      <w:pPr>
        <w:spacing w:after="0"/>
        <w:rPr>
          <w:sz w:val="20"/>
          <w:szCs w:val="20"/>
          <w:color w:val="auto"/>
        </w:rPr>
      </w:pPr>
      <w:r>
        <w:rPr>
          <w:rFonts w:ascii="Courier New" w:cs="Courier New" w:eastAsia="Courier New" w:hAnsi="Courier New"/>
          <w:sz w:val="18"/>
          <w:szCs w:val="18"/>
          <w:color w:val="auto"/>
        </w:rPr>
        <w:t>slightly with sales.</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Income from operations increased $335,733, or 15.3%, in the second quarter and $1,044,596, or 24.6%, in the first six months of fiscal 1998 as compared to the same periods one year ago. These increases are primarily attributable to the net sales increase.</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Interest income increased $45,880 in the second quarter of fiscal 1998 as compared to the same quarter one year ago and $139,137 for the first six months of this fiscal year as compared to the same period one year ago. These increases are due to an increase in the amount of cash available for investments and to a higher rate of return earned on cash equivalents and investments. Interest expense decreased slightly due mainly to the decline in long term debt.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six-month period ended March 31, 1998, cash flows from operations were $2,426,258. This amount was $171,541 higher than cash provided by operations during the same period one year ago, due mainly to an increase in net income partially offset by the changes in certain current assets and liability accounts discussed below. During the six-month period ended March 31, 1998, the Company invested $2,967,480 in property and equipment additions and added $268,317 to investments.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receivable, inventories and accounts payable decreased during the first six months of fiscal 1998. These decreases are typical for the first six months of our fiscal year. The reason for the large decrease in inventories was due to the sale of the Lynde Company subsidiary, which accounted for $1.2 million of the March 31, 1997 inventories. Other current assets increased due to payments of prepaid</w:t>
      </w: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7" w:name="page8"/>
    <w:bookmarkEnd w:id="7"/>
    <w:p>
      <w:pPr>
        <w:ind w:right="1999"/>
        <w:spacing w:after="0" w:line="237" w:lineRule="auto"/>
        <w:rPr>
          <w:sz w:val="20"/>
          <w:szCs w:val="20"/>
          <w:color w:val="auto"/>
        </w:rPr>
      </w:pPr>
      <w:r>
        <w:rPr>
          <w:rFonts w:ascii="Courier New" w:cs="Courier New" w:eastAsia="Courier New" w:hAnsi="Courier New"/>
          <w:sz w:val="18"/>
          <w:szCs w:val="18"/>
          <w:color w:val="auto"/>
        </w:rPr>
        <w:t>expenses that will be charged to the remaining quarters of this fiscal year. Other current liabilities decreased as a result of the payment of benefit plan accruals that existed at fiscal year end. The Company did not issue any securities during the six-month period ended March 31, 1998.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issue either debt or equity securities on favorable terms.</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pursuant to a revised investment policy recently adopted by the Board of Directors. The policy directs investment in short-term and mid-term fixed income instruments earning a market rate of interest without assuming undue risk of principal. Primary objectives are preservation of principal, maintenance of liquidity, and rate of return. Cash equivalents consist of short-term certificates of deposit and investments consist of relatively low-risk investment and annuity contracts with highly rated, stable insurance companies, and marketable securities consisting of investment grade municipal securities, all of which are carried at cost which approximates fair value. All cash equivalents are highly liquid and are available upon demand. There are some penalties associated with the early liquidation of the Company's investment and annuity contracts.</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Other than as discussed above, management is not aware of any matters that have materially affected the first six months of fiscal 1998, but are not expected to materially affect future periods, nor is management aware of other matters not affecting this period that are expected to materially affect future periods.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INFORMATION CONTAINED IN THIS FORM 10-Q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AND RESULTS OF OPERATION.</w:t>
      </w:r>
    </w:p>
    <w:p>
      <w:pPr>
        <w:spacing w:after="0" w:line="39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8" w:name="page9"/>
    <w:bookmarkEnd w:id="8"/>
    <w:p>
      <w:pPr>
        <w:ind w:left="2960"/>
        <w:spacing w:after="0"/>
        <w:tabs>
          <w:tab w:leader="none" w:pos="400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of the date of this filing, neither the Registrant nor any of its subsidiaries were involved in any pending legal proceedings to which the Registrant or its subsidiaries was a party or of which any property of the Registrant or its subsidiaries were the subject other than ordinary routine litigation incidental to their business, except as follows:</w:t>
      </w:r>
    </w:p>
    <w:p>
      <w:pPr>
        <w:spacing w:after="0" w:line="209" w:lineRule="exact"/>
        <w:rPr>
          <w:sz w:val="20"/>
          <w:szCs w:val="20"/>
          <w:color w:val="auto"/>
        </w:rPr>
      </w:pPr>
    </w:p>
    <w:p>
      <w:pPr>
        <w:ind w:left="540" w:right="1779" w:hanging="526"/>
        <w:spacing w:after="0"/>
        <w:rPr>
          <w:sz w:val="20"/>
          <w:szCs w:val="20"/>
          <w:color w:val="auto"/>
        </w:rPr>
      </w:pPr>
      <w:r>
        <w:rPr>
          <w:rFonts w:ascii="Courier New" w:cs="Courier New" w:eastAsia="Courier New" w:hAnsi="Courier New"/>
          <w:sz w:val="18"/>
          <w:szCs w:val="18"/>
          <w:color w:val="auto"/>
        </w:rPr>
        <w:t>LYNDE COMPANY WAREHOUSE FIRE.</w:t>
      </w:r>
      <w:r>
        <w:rPr>
          <w:sz w:val="20"/>
          <w:szCs w:val="20"/>
          <w:color w:val="auto"/>
        </w:rPr>
        <w:t xml:space="preserve"> </w:t>
      </w:r>
      <w:r>
        <w:rPr>
          <w:rFonts w:ascii="Courier New" w:cs="Courier New" w:eastAsia="Courier New" w:hAnsi="Courier New"/>
          <w:sz w:val="18"/>
          <w:szCs w:val="18"/>
          <w:color w:val="auto"/>
        </w:rPr>
        <w:t>On March 1, 1995, the Company and its former subsidiary, The Lynde Company, were named as defendants in an action entitled DONNA M. COOKSEY, ET AL. V. HAWKINS CHEMICAL, INC. AND THE LYNDE COMPANY ("COOKSEY"). This action was certified as a partial class action in 1997. The Registrant has entered into a class settlement agreement with the class, pursuant to which the Registrant has agreed to pay certain costs and expenses of the class, as well as certain compensation to the class pursuant to a Matrix and Plan of Distribution which form a part of the settlement agreement.</w:t>
      </w:r>
    </w:p>
    <w:p>
      <w:pPr>
        <w:spacing w:after="0" w:line="395" w:lineRule="exact"/>
        <w:rPr>
          <w:sz w:val="20"/>
          <w:szCs w:val="20"/>
          <w:color w:val="auto"/>
        </w:rPr>
      </w:pPr>
    </w:p>
    <w:p>
      <w:pPr>
        <w:ind w:left="540" w:right="2419"/>
        <w:spacing w:after="0" w:line="237" w:lineRule="auto"/>
        <w:rPr>
          <w:sz w:val="20"/>
          <w:szCs w:val="20"/>
          <w:color w:val="auto"/>
        </w:rPr>
      </w:pPr>
      <w:r>
        <w:rPr>
          <w:rFonts w:ascii="Courier New" w:cs="Courier New" w:eastAsia="Courier New" w:hAnsi="Courier New"/>
          <w:sz w:val="18"/>
          <w:szCs w:val="18"/>
          <w:color w:val="auto"/>
        </w:rPr>
        <w:t>The district court approved the settlement on January 30, 1998. Pursuant to the settlement, in early February 1998 the Company paid $850,000 to attorneys for the class, and $5,000 to each of the four class representatives. It is not possible at this time to quantify the probable additional settlement costs which may be payable by the Registrant pursuant to the Matrix and Plan of Distribution which form a part of the settlement agreement. The Registrant reasonably expects, however, that such settlement costs will be estimable by the end of 1998.</w:t>
      </w:r>
    </w:p>
    <w:p>
      <w:pPr>
        <w:spacing w:after="0" w:line="200" w:lineRule="exact"/>
        <w:rPr>
          <w:sz w:val="20"/>
          <w:szCs w:val="20"/>
          <w:color w:val="auto"/>
        </w:rPr>
      </w:pP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 to a vote of Security Holders.</w:t>
      </w:r>
    </w:p>
    <w:p>
      <w:pPr>
        <w:spacing w:after="0" w:line="207" w:lineRule="exact"/>
        <w:rPr>
          <w:sz w:val="20"/>
          <w:szCs w:val="20"/>
          <w:color w:val="auto"/>
        </w:rPr>
      </w:pPr>
    </w:p>
    <w:p>
      <w:pPr>
        <w:ind w:left="1060" w:right="231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meeting of the shareholders of the Company was held on February 11, 1998.</w:t>
      </w:r>
    </w:p>
    <w:p>
      <w:pPr>
        <w:spacing w:after="0" w:line="208" w:lineRule="exact"/>
        <w:rPr>
          <w:sz w:val="20"/>
          <w:szCs w:val="20"/>
          <w:color w:val="auto"/>
        </w:rPr>
      </w:pPr>
    </w:p>
    <w:p>
      <w:pPr>
        <w:ind w:left="1060" w:right="2319" w:hanging="525"/>
        <w:spacing w:after="0" w:line="290" w:lineRule="auto"/>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tabulation of the results of votes cast on the matters noted upon at the annual meeting of the shareholders:</w:t>
      </w:r>
    </w:p>
    <w:p>
      <w:pPr>
        <w:spacing w:after="0" w:line="36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8"/>
                <w:szCs w:val="18"/>
                <w:color w:val="auto"/>
              </w:rPr>
              <w:t>Broker</w:t>
            </w:r>
          </w:p>
        </w:tc>
      </w:tr>
      <w:tr>
        <w:trPr>
          <w:trHeight w:val="203"/>
        </w:trPr>
        <w:tc>
          <w:tcPr>
            <w:tcW w:w="2320" w:type="dxa"/>
            <w:vAlign w:val="bottom"/>
          </w:tcPr>
          <w:p>
            <w:pPr>
              <w:spacing w:after="0"/>
              <w:rPr>
                <w:sz w:val="17"/>
                <w:szCs w:val="17"/>
                <w:color w:val="auto"/>
              </w:rPr>
            </w:pPr>
          </w:p>
        </w:tc>
        <w:tc>
          <w:tcPr>
            <w:tcW w:w="16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8"/>
              </w:rPr>
              <w:t>For</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Against</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Withheld</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Abstain</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Non-Votes</w:t>
            </w:r>
          </w:p>
        </w:tc>
      </w:tr>
      <w:tr>
        <w:trPr>
          <w:trHeight w:val="203"/>
        </w:trPr>
        <w:tc>
          <w:tcPr>
            <w:tcW w:w="2320" w:type="dxa"/>
            <w:vAlign w:val="bottom"/>
          </w:tcPr>
          <w:p>
            <w:pPr>
              <w:spacing w:after="0"/>
              <w:rPr>
                <w:sz w:val="17"/>
                <w:szCs w:val="17"/>
                <w:color w:val="auto"/>
              </w:rPr>
            </w:pP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Howard J. Hawkins</w:t>
            </w:r>
          </w:p>
        </w:tc>
        <w:tc>
          <w:tcPr>
            <w:tcW w:w="16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8,889,872</w:t>
            </w: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2"/>
              </w:rPr>
              <w:t>0</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108,840</w:t>
            </w:r>
          </w:p>
        </w:tc>
        <w:tc>
          <w:tcPr>
            <w:tcW w:w="110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c>
          <w:tcPr>
            <w:tcW w:w="112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2"/>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Dean L. Hahn</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8,806,097</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192,615</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Carl J. Ahlgren</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8,788,272</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210,440</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Howard M. Hawkins</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8,761,861</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236,851</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Norman P. Anderson</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8,793,555</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205,157</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L. Shipp</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8,679,348</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319,364</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S. McKeon</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8,798,537</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200,175</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R. Hawkins</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8,887,728</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110,984</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Duane Jergenson</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8,888,610</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0</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110,102</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0</w:t>
            </w:r>
          </w:p>
        </w:tc>
        <w:tc>
          <w:tcPr>
            <w:tcW w:w="11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810"/>
        </w:trPr>
        <w:tc>
          <w:tcPr>
            <w:tcW w:w="232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4" w:lineRule="exact"/>
        <w:rPr>
          <w:rFonts w:ascii="Courier New" w:cs="Courier New" w:eastAsia="Courier New" w:hAnsi="Courier New"/>
          <w:sz w:val="18"/>
          <w:szCs w:val="18"/>
          <w:color w:val="auto"/>
        </w:rPr>
      </w:pPr>
    </w:p>
    <w:p>
      <w:pPr>
        <w:ind w:left="540"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ectPr>
          <w:pgSz w:w="11900" w:h="16838" w:orient="portrait"/>
          <w:cols w:equalWidth="0" w:num="1">
            <w:col w:w="10219"/>
          </w:cols>
          <w:pgMar w:left="240" w:top="717" w:right="1440" w:bottom="1440" w:gutter="0" w:footer="0" w:header="0"/>
        </w:sectPr>
      </w:pPr>
    </w:p>
    <w:p>
      <w:pPr>
        <w:spacing w:after="0" w:line="37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ectPr>
          <w:pgSz w:w="11900" w:h="16838" w:orient="portrait"/>
          <w:cols w:equalWidth="0" w:num="2">
            <w:col w:w="2240" w:space="720"/>
            <w:col w:w="7259"/>
          </w:cols>
          <w:pgMar w:left="240" w:top="717" w:right="1440" w:bottom="1440" w:gutter="0" w:footer="0" w:header="0"/>
          <w:type w:val="continuous"/>
        </w:sectPr>
      </w:pPr>
    </w:p>
    <w:p>
      <w:pPr>
        <w:spacing w:after="0" w:line="204"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54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have been filed during the fiscal quarter ended March 31,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HAWKINS CHEMICAL, INC.</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Howard M. Hawkins, Treasurer</w:t>
      </w:r>
    </w:p>
    <w:p>
      <w:pPr>
        <w:ind w:left="2960"/>
        <w:spacing w:after="0" w:line="238" w:lineRule="auto"/>
        <w:rPr>
          <w:sz w:val="20"/>
          <w:szCs w:val="20"/>
          <w:color w:val="auto"/>
        </w:rPr>
      </w:pPr>
      <w:r>
        <w:rPr>
          <w:rFonts w:ascii="Courier New" w:cs="Courier New" w:eastAsia="Courier New" w:hAnsi="Courier New"/>
          <w:sz w:val="18"/>
          <w:szCs w:val="18"/>
          <w:color w:val="auto"/>
        </w:rPr>
        <w:t>(Chief Financial and Accounting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12, 1998</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type w:val="continuous"/>
        </w:sectPr>
      </w:pPr>
    </w:p>
    <w:bookmarkStart w:id="10" w:name="page11"/>
    <w:bookmarkEnd w:id="10"/>
    <w:p>
      <w:pPr>
        <w:ind w:left="370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exhibits are included with this Quarterly Report on Form 10-Q (or incorporated by reference) as required by Item 601 of Regulation S-K.</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800" w:space="200"/>
            <w:col w:w="4440" w:space="300"/>
            <w:col w:w="3479"/>
          </w:cols>
          <w:pgMar w:left="240" w:top="717" w:right="1440" w:bottom="1440" w:gutter="0" w:footer="0" w:header="0"/>
          <w:type w:val="continuous"/>
        </w:sectPr>
      </w:pPr>
    </w:p>
    <w:p>
      <w:pPr>
        <w:spacing w:after="0" w:line="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ectPr>
          <w:pgSz w:w="11900" w:h="16838" w:orient="portrait"/>
          <w:cols w:equalWidth="0" w:num="3">
            <w:col w:w="1400" w:space="720"/>
            <w:col w:w="4340" w:space="720"/>
            <w:col w:w="3039"/>
          </w:cols>
          <w:pgMar w:left="240" w:top="717"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717" w:right="1440" w:bottom="1440" w:gutter="0" w:footer="0" w:header="0"/>
          <w:type w:val="continuous"/>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SEP-27-1998</w:t>
      </w:r>
    </w:p>
    <w:p>
      <w:pPr>
        <w:ind w:left="2940"/>
        <w:spacing w:after="0"/>
        <w:rPr>
          <w:sz w:val="20"/>
          <w:szCs w:val="20"/>
          <w:color w:val="auto"/>
        </w:rPr>
      </w:pPr>
      <w:r>
        <w:rPr>
          <w:rFonts w:ascii="Courier New" w:cs="Courier New" w:eastAsia="Courier New" w:hAnsi="Courier New"/>
          <w:sz w:val="18"/>
          <w:szCs w:val="18"/>
          <w:color w:val="auto"/>
        </w:rPr>
        <w:t>SEP-29-1997</w:t>
      </w:r>
    </w:p>
    <w:p>
      <w:pPr>
        <w:ind w:left="3160"/>
        <w:spacing w:after="0" w:line="237" w:lineRule="auto"/>
        <w:rPr>
          <w:sz w:val="20"/>
          <w:szCs w:val="20"/>
          <w:color w:val="auto"/>
        </w:rPr>
      </w:pPr>
      <w:r>
        <w:rPr>
          <w:rFonts w:ascii="Courier New" w:cs="Courier New" w:eastAsia="Courier New" w:hAnsi="Courier New"/>
          <w:sz w:val="18"/>
          <w:szCs w:val="18"/>
          <w:color w:val="auto"/>
        </w:rPr>
        <w:t>MAR-31-1998</w:t>
      </w:r>
    </w:p>
    <w:p>
      <w:pPr>
        <w:ind w:left="4000"/>
        <w:spacing w:after="0" w:line="238" w:lineRule="auto"/>
        <w:rPr>
          <w:sz w:val="20"/>
          <w:szCs w:val="20"/>
          <w:color w:val="auto"/>
        </w:rPr>
      </w:pPr>
      <w:r>
        <w:rPr>
          <w:rFonts w:ascii="Courier New" w:cs="Courier New" w:eastAsia="Courier New" w:hAnsi="Courier New"/>
          <w:sz w:val="18"/>
          <w:szCs w:val="18"/>
          <w:color w:val="auto"/>
        </w:rPr>
        <w:t>6,318,576</w:t>
      </w:r>
    </w:p>
    <w:p>
      <w:pPr>
        <w:ind w:left="3260"/>
        <w:spacing w:after="0"/>
        <w:rPr>
          <w:sz w:val="20"/>
          <w:szCs w:val="20"/>
          <w:color w:val="auto"/>
        </w:rPr>
      </w:pPr>
      <w:r>
        <w:rPr>
          <w:rFonts w:ascii="Courier New" w:cs="Courier New" w:eastAsia="Courier New" w:hAnsi="Courier New"/>
          <w:sz w:val="18"/>
          <w:szCs w:val="18"/>
          <w:color w:val="auto"/>
        </w:rPr>
        <w:t>12,248,395</w:t>
      </w:r>
    </w:p>
    <w:p>
      <w:pPr>
        <w:ind w:left="3160"/>
        <w:spacing w:after="0" w:line="237" w:lineRule="auto"/>
        <w:rPr>
          <w:sz w:val="20"/>
          <w:szCs w:val="20"/>
          <w:color w:val="auto"/>
        </w:rPr>
      </w:pPr>
      <w:r>
        <w:rPr>
          <w:rFonts w:ascii="Courier New" w:cs="Courier New" w:eastAsia="Courier New" w:hAnsi="Courier New"/>
          <w:sz w:val="18"/>
          <w:szCs w:val="18"/>
          <w:color w:val="auto"/>
        </w:rPr>
        <w:t>11,284,854</w:t>
      </w:r>
    </w:p>
    <w:p>
      <w:pPr>
        <w:ind w:left="3580"/>
        <w:spacing w:after="0"/>
        <w:rPr>
          <w:sz w:val="20"/>
          <w:szCs w:val="20"/>
          <w:color w:val="auto"/>
        </w:rPr>
      </w:pPr>
      <w:r>
        <w:rPr>
          <w:rFonts w:ascii="Courier New" w:cs="Courier New" w:eastAsia="Courier New" w:hAnsi="Courier New"/>
          <w:sz w:val="18"/>
          <w:szCs w:val="18"/>
          <w:color w:val="auto"/>
        </w:rPr>
        <w:t>351,919</w:t>
      </w:r>
    </w:p>
    <w:p>
      <w:pPr>
        <w:ind w:left="3460"/>
        <w:spacing w:after="0" w:line="237" w:lineRule="auto"/>
        <w:rPr>
          <w:sz w:val="20"/>
          <w:szCs w:val="20"/>
          <w:color w:val="auto"/>
        </w:rPr>
      </w:pPr>
      <w:r>
        <w:rPr>
          <w:rFonts w:ascii="Courier New" w:cs="Courier New" w:eastAsia="Courier New" w:hAnsi="Courier New"/>
          <w:sz w:val="18"/>
          <w:szCs w:val="18"/>
          <w:color w:val="auto"/>
        </w:rPr>
        <w:t>7,187,955</w:t>
      </w:r>
    </w:p>
    <w:p>
      <w:pPr>
        <w:ind w:left="2840"/>
        <w:spacing w:after="0"/>
        <w:rPr>
          <w:sz w:val="20"/>
          <w:szCs w:val="20"/>
          <w:color w:val="auto"/>
        </w:rPr>
      </w:pPr>
      <w:r>
        <w:rPr>
          <w:rFonts w:ascii="Courier New" w:cs="Courier New" w:eastAsia="Courier New" w:hAnsi="Courier New"/>
          <w:sz w:val="18"/>
          <w:szCs w:val="18"/>
          <w:color w:val="auto"/>
        </w:rPr>
        <w:t>39,206,565</w:t>
      </w:r>
    </w:p>
    <w:p>
      <w:pPr>
        <w:ind w:left="3900"/>
        <w:spacing w:after="0" w:line="237" w:lineRule="auto"/>
        <w:rPr>
          <w:sz w:val="20"/>
          <w:szCs w:val="20"/>
          <w:color w:val="auto"/>
        </w:rPr>
      </w:pPr>
      <w:r>
        <w:rPr>
          <w:rFonts w:ascii="Courier New" w:cs="Courier New" w:eastAsia="Courier New" w:hAnsi="Courier New"/>
          <w:sz w:val="18"/>
          <w:szCs w:val="18"/>
          <w:color w:val="auto"/>
        </w:rPr>
        <w:t>31,002,562</w:t>
      </w:r>
    </w:p>
    <w:p>
      <w:pPr>
        <w:ind w:left="3040"/>
        <w:spacing w:after="0" w:line="238" w:lineRule="auto"/>
        <w:rPr>
          <w:sz w:val="20"/>
          <w:szCs w:val="20"/>
          <w:color w:val="auto"/>
        </w:rPr>
      </w:pPr>
      <w:r>
        <w:rPr>
          <w:rFonts w:ascii="Courier New" w:cs="Courier New" w:eastAsia="Courier New" w:hAnsi="Courier New"/>
          <w:sz w:val="18"/>
          <w:szCs w:val="18"/>
          <w:color w:val="auto"/>
        </w:rPr>
        <w:t>13,367,697</w:t>
      </w:r>
    </w:p>
    <w:p>
      <w:pPr>
        <w:ind w:left="3040"/>
        <w:spacing w:after="0"/>
        <w:rPr>
          <w:sz w:val="20"/>
          <w:szCs w:val="20"/>
          <w:color w:val="auto"/>
        </w:rPr>
      </w:pPr>
      <w:r>
        <w:rPr>
          <w:rFonts w:ascii="Courier New" w:cs="Courier New" w:eastAsia="Courier New" w:hAnsi="Courier New"/>
          <w:sz w:val="18"/>
          <w:szCs w:val="18"/>
          <w:color w:val="auto"/>
        </w:rPr>
        <w:t>62,950,458</w:t>
      </w:r>
    </w:p>
    <w:p>
      <w:pPr>
        <w:ind w:left="2320"/>
        <w:spacing w:after="0" w:line="237" w:lineRule="auto"/>
        <w:rPr>
          <w:sz w:val="20"/>
          <w:szCs w:val="20"/>
          <w:color w:val="auto"/>
        </w:rPr>
      </w:pPr>
      <w:r>
        <w:rPr>
          <w:rFonts w:ascii="Courier New" w:cs="Courier New" w:eastAsia="Courier New" w:hAnsi="Courier New"/>
          <w:sz w:val="18"/>
          <w:szCs w:val="18"/>
          <w:color w:val="auto"/>
        </w:rPr>
        <w:t>10,145,118</w:t>
      </w:r>
    </w:p>
    <w:p>
      <w:pPr>
        <w:ind w:left="4100"/>
        <w:spacing w:after="0"/>
        <w:rPr>
          <w:sz w:val="20"/>
          <w:szCs w:val="20"/>
          <w:color w:val="auto"/>
        </w:rPr>
      </w:pPr>
      <w:r>
        <w:rPr>
          <w:rFonts w:ascii="Courier New" w:cs="Courier New" w:eastAsia="Courier New" w:hAnsi="Courier New"/>
          <w:sz w:val="18"/>
          <w:szCs w:val="18"/>
          <w:color w:val="auto"/>
        </w:rPr>
        <w:t>423,402</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580,195</w:t>
      </w:r>
    </w:p>
    <w:p>
      <w:pPr>
        <w:ind w:left="3460"/>
        <w:spacing w:after="0" w:line="238" w:lineRule="auto"/>
        <w:rPr>
          <w:sz w:val="20"/>
          <w:szCs w:val="20"/>
          <w:color w:val="auto"/>
        </w:rPr>
      </w:pPr>
      <w:r>
        <w:rPr>
          <w:rFonts w:ascii="Courier New" w:cs="Courier New" w:eastAsia="Courier New" w:hAnsi="Courier New"/>
          <w:sz w:val="18"/>
          <w:szCs w:val="18"/>
          <w:color w:val="auto"/>
        </w:rPr>
        <w:t>50,815,743</w:t>
      </w:r>
    </w:p>
    <w:p>
      <w:pPr>
        <w:ind w:left="1580"/>
        <w:spacing w:after="0"/>
        <w:rPr>
          <w:sz w:val="20"/>
          <w:szCs w:val="20"/>
          <w:color w:val="auto"/>
        </w:rPr>
      </w:pPr>
      <w:r>
        <w:rPr>
          <w:rFonts w:ascii="Courier New" w:cs="Courier New" w:eastAsia="Courier New" w:hAnsi="Courier New"/>
          <w:sz w:val="18"/>
          <w:szCs w:val="18"/>
          <w:color w:val="auto"/>
        </w:rPr>
        <w:t>62,950,458</w:t>
      </w:r>
    </w:p>
    <w:p>
      <w:pPr>
        <w:ind w:left="3780"/>
        <w:spacing w:after="0" w:line="237" w:lineRule="auto"/>
        <w:rPr>
          <w:sz w:val="20"/>
          <w:szCs w:val="20"/>
          <w:color w:val="auto"/>
        </w:rPr>
      </w:pPr>
      <w:r>
        <w:rPr>
          <w:rFonts w:ascii="Courier New" w:cs="Courier New" w:eastAsia="Courier New" w:hAnsi="Courier New"/>
          <w:sz w:val="18"/>
          <w:szCs w:val="18"/>
          <w:color w:val="auto"/>
        </w:rPr>
        <w:t>44,983,377</w:t>
      </w:r>
    </w:p>
    <w:p>
      <w:pPr>
        <w:ind w:left="2840"/>
        <w:spacing w:after="0"/>
        <w:rPr>
          <w:sz w:val="20"/>
          <w:szCs w:val="20"/>
          <w:color w:val="auto"/>
        </w:rPr>
      </w:pPr>
      <w:r>
        <w:rPr>
          <w:rFonts w:ascii="Courier New" w:cs="Courier New" w:eastAsia="Courier New" w:hAnsi="Courier New"/>
          <w:sz w:val="18"/>
          <w:szCs w:val="18"/>
          <w:color w:val="auto"/>
        </w:rPr>
        <w:t>44,983,377</w:t>
      </w:r>
    </w:p>
    <w:p>
      <w:pPr>
        <w:jc w:val="right"/>
        <w:ind w:right="5059"/>
        <w:spacing w:after="0" w:line="237" w:lineRule="auto"/>
        <w:rPr>
          <w:sz w:val="20"/>
          <w:szCs w:val="20"/>
          <w:color w:val="auto"/>
        </w:rPr>
      </w:pPr>
      <w:r>
        <w:rPr>
          <w:rFonts w:ascii="Courier New" w:cs="Courier New" w:eastAsia="Courier New" w:hAnsi="Courier New"/>
          <w:sz w:val="18"/>
          <w:szCs w:val="18"/>
          <w:color w:val="auto"/>
        </w:rPr>
        <w:t>34,976,903</w:t>
      </w:r>
    </w:p>
    <w:p>
      <w:pPr>
        <w:ind w:left="3160"/>
        <w:spacing w:after="0"/>
        <w:rPr>
          <w:sz w:val="20"/>
          <w:szCs w:val="20"/>
          <w:color w:val="auto"/>
        </w:rPr>
      </w:pPr>
      <w:r>
        <w:rPr>
          <w:rFonts w:ascii="Courier New" w:cs="Courier New" w:eastAsia="Courier New" w:hAnsi="Courier New"/>
          <w:sz w:val="18"/>
          <w:szCs w:val="18"/>
          <w:color w:val="auto"/>
        </w:rPr>
        <w:t>34,976,903</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040"/>
        <w:spacing w:after="0" w:line="237" w:lineRule="auto"/>
        <w:rPr>
          <w:sz w:val="20"/>
          <w:szCs w:val="20"/>
          <w:color w:val="auto"/>
        </w:rPr>
      </w:pPr>
      <w:r>
        <w:rPr>
          <w:rFonts w:ascii="Courier New" w:cs="Courier New" w:eastAsia="Courier New" w:hAnsi="Courier New"/>
          <w:sz w:val="18"/>
          <w:szCs w:val="18"/>
          <w:color w:val="auto"/>
        </w:rPr>
        <w:t>21,564</w:t>
      </w:r>
    </w:p>
    <w:p>
      <w:pPr>
        <w:ind w:left="3040"/>
        <w:spacing w:after="0" w:line="238" w:lineRule="auto"/>
        <w:rPr>
          <w:sz w:val="20"/>
          <w:szCs w:val="20"/>
          <w:color w:val="auto"/>
        </w:rPr>
      </w:pPr>
      <w:r>
        <w:rPr>
          <w:rFonts w:ascii="Courier New" w:cs="Courier New" w:eastAsia="Courier New" w:hAnsi="Courier New"/>
          <w:sz w:val="18"/>
          <w:szCs w:val="18"/>
          <w:color w:val="auto"/>
        </w:rPr>
        <w:t>5,959,853</w:t>
      </w:r>
    </w:p>
    <w:p>
      <w:pPr>
        <w:ind w:left="3360"/>
        <w:spacing w:after="0"/>
        <w:rPr>
          <w:sz w:val="20"/>
          <w:szCs w:val="20"/>
          <w:color w:val="auto"/>
        </w:rPr>
      </w:pPr>
      <w:r>
        <w:rPr>
          <w:rFonts w:ascii="Courier New" w:cs="Courier New" w:eastAsia="Courier New" w:hAnsi="Courier New"/>
          <w:sz w:val="18"/>
          <w:szCs w:val="18"/>
          <w:color w:val="auto"/>
        </w:rPr>
        <w:t>2,345,300</w:t>
      </w:r>
    </w:p>
    <w:p>
      <w:pPr>
        <w:ind w:left="2620"/>
        <w:spacing w:after="0" w:line="237" w:lineRule="auto"/>
        <w:rPr>
          <w:sz w:val="20"/>
          <w:szCs w:val="20"/>
          <w:color w:val="auto"/>
        </w:rPr>
      </w:pPr>
      <w:r>
        <w:rPr>
          <w:rFonts w:ascii="Courier New" w:cs="Courier New" w:eastAsia="Courier New" w:hAnsi="Courier New"/>
          <w:sz w:val="18"/>
          <w:szCs w:val="18"/>
          <w:color w:val="auto"/>
        </w:rPr>
        <w:t>3,614,553</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360"/>
        <w:spacing w:after="0" w:line="237" w:lineRule="auto"/>
        <w:rPr>
          <w:sz w:val="20"/>
          <w:szCs w:val="20"/>
          <w:color w:val="auto"/>
        </w:rPr>
      </w:pPr>
      <w:r>
        <w:rPr>
          <w:rFonts w:ascii="Courier New" w:cs="Courier New" w:eastAsia="Courier New" w:hAnsi="Courier New"/>
          <w:sz w:val="18"/>
          <w:szCs w:val="18"/>
          <w:color w:val="auto"/>
        </w:rPr>
        <w:t>3,614,553</w:t>
      </w:r>
    </w:p>
    <w:p>
      <w:pPr>
        <w:ind w:left="3900"/>
        <w:spacing w:after="0" w:line="238" w:lineRule="auto"/>
        <w:rPr>
          <w:sz w:val="20"/>
          <w:szCs w:val="20"/>
          <w:color w:val="auto"/>
        </w:rPr>
      </w:pPr>
      <w:r>
        <w:rPr>
          <w:rFonts w:ascii="Courier New" w:cs="Courier New" w:eastAsia="Courier New" w:hAnsi="Courier New"/>
          <w:sz w:val="18"/>
          <w:szCs w:val="18"/>
          <w:color w:val="auto"/>
        </w:rPr>
        <w:t>.31</w:t>
      </w:r>
    </w:p>
    <w:p>
      <w:pPr>
        <w:ind w:left="3900"/>
        <w:spacing w:after="0"/>
        <w:rPr>
          <w:sz w:val="20"/>
          <w:szCs w:val="20"/>
          <w:color w:val="auto"/>
        </w:rPr>
      </w:pPr>
      <w:r>
        <w:rPr>
          <w:rFonts w:ascii="Courier New" w:cs="Courier New" w:eastAsia="Courier New" w:hAnsi="Courier New"/>
          <w:sz w:val="18"/>
          <w:szCs w:val="18"/>
          <w:color w:val="auto"/>
        </w:rPr>
        <w:t>.31</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2019-12-13T01:38:03Z</dcterms:created>
  <dcterms:modified xsi:type="dcterms:W3CDTF">2019-12-13T01:38:03Z</dcterms:modified>
</cp:coreProperties>
</file>