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October 30,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440" w:type="dxa"/>
        <w:tblCellMar>
          <w:top w:w="0" w:type="dxa"/>
          <w:left w:w="0" w:type="dxa"/>
          <w:bottom w:w="0" w:type="dxa"/>
          <w:right w:w="0" w:type="dxa"/>
        </w:tblCellMar>
      </w:tblPr>
      <w:tr>
        <w:trPr>
          <w:trHeight w:val="218"/>
        </w:trPr>
        <w:tc>
          <w:tcPr>
            <w:tcW w:w="1120" w:type="dxa"/>
            <w:vAlign w:val="bottom"/>
          </w:tcPr>
          <w:p>
            <w:pPr>
              <w:jc w:val="center"/>
              <w:ind w:right="26"/>
              <w:spacing w:after="0"/>
              <w:rPr>
                <w:sz w:val="20"/>
                <w:szCs w:val="20"/>
                <w:color w:val="auto"/>
              </w:rPr>
            </w:pPr>
            <w:r>
              <w:rPr>
                <w:rFonts w:ascii="Arial" w:cs="Arial" w:eastAsia="Arial" w:hAnsi="Arial"/>
                <w:sz w:val="18"/>
                <w:szCs w:val="18"/>
                <w:b w:val="1"/>
                <w:bCs w:val="1"/>
                <w:color w:val="auto"/>
                <w:w w:val="87"/>
              </w:rPr>
              <w:t>Minnesota</w:t>
            </w:r>
          </w:p>
        </w:tc>
        <w:tc>
          <w:tcPr>
            <w:tcW w:w="6120" w:type="dxa"/>
            <w:vAlign w:val="bottom"/>
          </w:tcPr>
          <w:p>
            <w:pPr>
              <w:jc w:val="center"/>
              <w:ind w:left="381"/>
              <w:spacing w:after="0"/>
              <w:rPr>
                <w:sz w:val="20"/>
                <w:szCs w:val="20"/>
                <w:color w:val="auto"/>
              </w:rPr>
            </w:pPr>
            <w:r>
              <w:rPr>
                <w:rFonts w:ascii="Arial" w:cs="Arial" w:eastAsia="Arial" w:hAnsi="Arial"/>
                <w:sz w:val="18"/>
                <w:szCs w:val="18"/>
                <w:b w:val="1"/>
                <w:bCs w:val="1"/>
                <w:color w:val="auto"/>
                <w:w w:val="89"/>
              </w:rPr>
              <w:t>0-7647</w:t>
            </w:r>
          </w:p>
        </w:tc>
        <w:tc>
          <w:tcPr>
            <w:tcW w:w="1440" w:type="dxa"/>
            <w:vAlign w:val="bottom"/>
          </w:tcPr>
          <w:p>
            <w:pPr>
              <w:jc w:val="right"/>
              <w:ind w:right="24"/>
              <w:spacing w:after="0"/>
              <w:rPr>
                <w:sz w:val="20"/>
                <w:szCs w:val="20"/>
                <w:color w:val="auto"/>
              </w:rPr>
            </w:pPr>
            <w:r>
              <w:rPr>
                <w:rFonts w:ascii="Arial" w:cs="Arial" w:eastAsia="Arial" w:hAnsi="Arial"/>
                <w:sz w:val="18"/>
                <w:szCs w:val="18"/>
                <w:b w:val="1"/>
                <w:bCs w:val="1"/>
                <w:color w:val="auto"/>
              </w:rPr>
              <w:t>41-0771293</w:t>
            </w:r>
          </w:p>
        </w:tc>
      </w:tr>
      <w:tr>
        <w:trPr>
          <w:trHeight w:val="149"/>
        </w:trPr>
        <w:tc>
          <w:tcPr>
            <w:tcW w:w="112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7"/>
              </w:rPr>
              <w:t>(State</w:t>
            </w:r>
          </w:p>
        </w:tc>
        <w:tc>
          <w:tcPr>
            <w:tcW w:w="6120" w:type="dxa"/>
            <w:vAlign w:val="bottom"/>
          </w:tcPr>
          <w:p>
            <w:pPr>
              <w:jc w:val="center"/>
              <w:ind w:left="361"/>
              <w:spacing w:after="0" w:line="149" w:lineRule="exact"/>
              <w:rPr>
                <w:sz w:val="20"/>
                <w:szCs w:val="20"/>
                <w:color w:val="auto"/>
              </w:rPr>
            </w:pPr>
            <w:r>
              <w:rPr>
                <w:rFonts w:ascii="Arial" w:cs="Arial" w:eastAsia="Arial" w:hAnsi="Arial"/>
                <w:sz w:val="14"/>
                <w:szCs w:val="14"/>
                <w:b w:val="1"/>
                <w:bCs w:val="1"/>
                <w:color w:val="auto"/>
                <w:w w:val="85"/>
              </w:rPr>
              <w:t>(Commission</w:t>
            </w:r>
          </w:p>
        </w:tc>
        <w:tc>
          <w:tcPr>
            <w:tcW w:w="14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12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of Incorporation)</w:t>
            </w:r>
          </w:p>
        </w:tc>
        <w:tc>
          <w:tcPr>
            <w:tcW w:w="6120" w:type="dxa"/>
            <w:vAlign w:val="bottom"/>
          </w:tcPr>
          <w:p>
            <w:pPr>
              <w:jc w:val="center"/>
              <w:ind w:left="381"/>
              <w:spacing w:after="0"/>
              <w:rPr>
                <w:sz w:val="20"/>
                <w:szCs w:val="20"/>
                <w:color w:val="auto"/>
              </w:rPr>
            </w:pPr>
            <w:r>
              <w:rPr>
                <w:rFonts w:ascii="Arial" w:cs="Arial" w:eastAsia="Arial" w:hAnsi="Arial"/>
                <w:sz w:val="14"/>
                <w:szCs w:val="14"/>
                <w:b w:val="1"/>
                <w:bCs w:val="1"/>
                <w:color w:val="auto"/>
                <w:w w:val="91"/>
              </w:rPr>
              <w:t>File Number)</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1120" w:type="dxa"/>
            <w:vAlign w:val="bottom"/>
          </w:tcPr>
          <w:p>
            <w:pPr>
              <w:spacing w:after="0"/>
              <w:rPr>
                <w:sz w:val="24"/>
                <w:szCs w:val="24"/>
                <w:color w:val="auto"/>
              </w:rPr>
            </w:pPr>
          </w:p>
        </w:tc>
        <w:tc>
          <w:tcPr>
            <w:tcW w:w="6120" w:type="dxa"/>
            <w:vAlign w:val="bottom"/>
          </w:tcPr>
          <w:p>
            <w:pPr>
              <w:jc w:val="center"/>
              <w:ind w:right="3501"/>
              <w:spacing w:after="0"/>
              <w:rPr>
                <w:sz w:val="20"/>
                <w:szCs w:val="20"/>
                <w:color w:val="auto"/>
              </w:rPr>
            </w:pPr>
            <w:r>
              <w:rPr>
                <w:rFonts w:ascii="Arial" w:cs="Arial" w:eastAsia="Arial" w:hAnsi="Arial"/>
                <w:sz w:val="18"/>
                <w:szCs w:val="18"/>
                <w:b w:val="1"/>
                <w:bCs w:val="1"/>
                <w:color w:val="auto"/>
                <w:w w:val="87"/>
              </w:rPr>
              <w:t>3100 East Hennepin Avenue</w:t>
            </w:r>
          </w:p>
        </w:tc>
        <w:tc>
          <w:tcPr>
            <w:tcW w:w="1440" w:type="dxa"/>
            <w:vAlign w:val="bottom"/>
          </w:tcPr>
          <w:p>
            <w:pPr>
              <w:spacing w:after="0"/>
              <w:rPr>
                <w:sz w:val="24"/>
                <w:szCs w:val="24"/>
                <w:color w:val="auto"/>
              </w:rPr>
            </w:pPr>
          </w:p>
        </w:tc>
      </w:tr>
      <w:tr>
        <w:trPr>
          <w:trHeight w:val="231"/>
        </w:trPr>
        <w:tc>
          <w:tcPr>
            <w:tcW w:w="1120" w:type="dxa"/>
            <w:vAlign w:val="bottom"/>
          </w:tcPr>
          <w:p>
            <w:pPr>
              <w:spacing w:after="0"/>
              <w:rPr>
                <w:sz w:val="20"/>
                <w:szCs w:val="20"/>
                <w:color w:val="auto"/>
              </w:rPr>
            </w:pPr>
          </w:p>
        </w:tc>
        <w:tc>
          <w:tcPr>
            <w:tcW w:w="6120" w:type="dxa"/>
            <w:vAlign w:val="bottom"/>
          </w:tcPr>
          <w:p>
            <w:pPr>
              <w:jc w:val="center"/>
              <w:ind w:right="3481"/>
              <w:spacing w:after="0"/>
              <w:rPr>
                <w:sz w:val="20"/>
                <w:szCs w:val="20"/>
                <w:color w:val="auto"/>
              </w:rPr>
            </w:pPr>
            <w:r>
              <w:rPr>
                <w:rFonts w:ascii="Arial" w:cs="Arial" w:eastAsia="Arial" w:hAnsi="Arial"/>
                <w:sz w:val="18"/>
                <w:szCs w:val="18"/>
                <w:b w:val="1"/>
                <w:bCs w:val="1"/>
                <w:color w:val="auto"/>
                <w:w w:val="92"/>
              </w:rPr>
              <w:t>Minneapolis, MN</w:t>
            </w:r>
          </w:p>
        </w:tc>
        <w:tc>
          <w:tcPr>
            <w:tcW w:w="1440" w:type="dxa"/>
            <w:vAlign w:val="bottom"/>
          </w:tcPr>
          <w:p>
            <w:pPr>
              <w:jc w:val="right"/>
              <w:ind w:right="224"/>
              <w:spacing w:after="0"/>
              <w:rPr>
                <w:sz w:val="20"/>
                <w:szCs w:val="20"/>
                <w:color w:val="auto"/>
              </w:rPr>
            </w:pPr>
            <w:r>
              <w:rPr>
                <w:rFonts w:ascii="Arial" w:cs="Arial" w:eastAsia="Arial" w:hAnsi="Arial"/>
                <w:sz w:val="18"/>
                <w:szCs w:val="18"/>
                <w:b w:val="1"/>
                <w:bCs w:val="1"/>
                <w:color w:val="auto"/>
              </w:rPr>
              <w:t>55413</w:t>
            </w:r>
          </w:p>
        </w:tc>
      </w:tr>
      <w:tr>
        <w:trPr>
          <w:trHeight w:val="174"/>
        </w:trPr>
        <w:tc>
          <w:tcPr>
            <w:tcW w:w="1120" w:type="dxa"/>
            <w:vAlign w:val="bottom"/>
          </w:tcPr>
          <w:p>
            <w:pPr>
              <w:spacing w:after="0"/>
              <w:rPr>
                <w:sz w:val="15"/>
                <w:szCs w:val="15"/>
                <w:color w:val="auto"/>
              </w:rPr>
            </w:pPr>
          </w:p>
        </w:tc>
        <w:tc>
          <w:tcPr>
            <w:tcW w:w="6120" w:type="dxa"/>
            <w:vAlign w:val="bottom"/>
          </w:tcPr>
          <w:p>
            <w:pPr>
              <w:jc w:val="center"/>
              <w:ind w:right="348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1120" w:type="dxa"/>
            <w:vAlign w:val="bottom"/>
          </w:tcPr>
          <w:p>
            <w:pPr>
              <w:spacing w:after="0"/>
              <w:rPr>
                <w:sz w:val="24"/>
                <w:szCs w:val="24"/>
                <w:color w:val="auto"/>
              </w:rPr>
            </w:pPr>
          </w:p>
        </w:tc>
        <w:tc>
          <w:tcPr>
            <w:tcW w:w="6120" w:type="dxa"/>
            <w:vAlign w:val="bottom"/>
          </w:tcPr>
          <w:p>
            <w:pPr>
              <w:ind w:left="580"/>
              <w:spacing w:after="0"/>
              <w:rPr>
                <w:sz w:val="20"/>
                <w:szCs w:val="20"/>
                <w:color w:val="auto"/>
              </w:rPr>
            </w:pPr>
            <w:r>
              <w:rPr>
                <w:rFonts w:ascii="Arial" w:cs="Arial" w:eastAsia="Arial" w:hAnsi="Arial"/>
                <w:sz w:val="18"/>
                <w:szCs w:val="18"/>
                <w:b w:val="1"/>
                <w:bCs w:val="1"/>
                <w:color w:val="auto"/>
                <w:w w:val="94"/>
              </w:rPr>
              <w:t>Registrant’s Telephone Number, Including Area Code (612) 331-6910</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October 30, 2012, Hawkins, Inc. issued a press release announcing financial results for its fiscal 2013 second quarter ended September 30, 2012. A copy of the press release issued by the Registrant is furnished herewith as Exhibit 99.1 hereto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left="920" w:right="340"/>
        <w:spacing w:after="0" w:line="268" w:lineRule="auto"/>
        <w:rPr>
          <w:sz w:val="20"/>
          <w:szCs w:val="20"/>
          <w:color w:val="auto"/>
        </w:rPr>
      </w:pPr>
      <w:r>
        <w:rPr>
          <w:rFonts w:ascii="Arial" w:cs="Arial" w:eastAsia="Arial" w:hAnsi="Arial"/>
          <w:sz w:val="18"/>
          <w:szCs w:val="18"/>
          <w:color w:val="auto"/>
        </w:rPr>
        <w:t>Exhibit 99.1 - Press Release, dated October 30, 2012, announcing financial results of Hawkins, Inc. for its fiscal 2013 second quarter ended September 30, 2012.</w:t>
      </w:r>
    </w:p>
    <w:p>
      <w:pPr>
        <w:sectPr>
          <w:pgSz w:w="11900" w:h="16838" w:orient="portrait"/>
          <w:cols w:equalWidth="0" w:num="1">
            <w:col w:w="11060"/>
          </w:cols>
          <w:pgMar w:left="240" w:top="274"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3440" w:type="dxa"/>
            <w:vAlign w:val="bottom"/>
            <w:gridSpan w:val="2"/>
          </w:tcPr>
          <w:p>
            <w:pPr>
              <w:ind w:left="1960"/>
              <w:spacing w:after="0"/>
              <w:rPr>
                <w:sz w:val="20"/>
                <w:szCs w:val="20"/>
                <w:color w:val="auto"/>
              </w:rPr>
            </w:pPr>
            <w:r>
              <w:rPr>
                <w:rFonts w:ascii="Arial" w:cs="Arial" w:eastAsia="Arial" w:hAnsi="Arial"/>
                <w:sz w:val="18"/>
                <w:szCs w:val="18"/>
                <w:color w:val="auto"/>
              </w:rPr>
              <w:t>HAWKINS, INC.</w:t>
            </w:r>
          </w:p>
        </w:tc>
        <w:tc>
          <w:tcPr>
            <w:tcW w:w="4360" w:type="dxa"/>
            <w:vAlign w:val="bottom"/>
          </w:tcPr>
          <w:p>
            <w:pPr>
              <w:spacing w:after="0"/>
              <w:rPr>
                <w:sz w:val="19"/>
                <w:szCs w:val="19"/>
                <w:color w:val="auto"/>
              </w:rPr>
            </w:pP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October 30, 2012</w:t>
            </w:r>
          </w:p>
        </w:tc>
        <w:tc>
          <w:tcPr>
            <w:tcW w:w="3440" w:type="dxa"/>
            <w:vAlign w:val="bottom"/>
            <w:gridSpan w:val="2"/>
          </w:tcPr>
          <w:p>
            <w:pPr>
              <w:ind w:left="1960"/>
              <w:spacing w:after="0"/>
              <w:rPr>
                <w:sz w:val="20"/>
                <w:szCs w:val="20"/>
                <w:color w:val="auto"/>
              </w:rPr>
            </w:pPr>
            <w:r>
              <w:rPr>
                <w:rFonts w:ascii="Arial" w:cs="Arial" w:eastAsia="Arial" w:hAnsi="Arial"/>
                <w:sz w:val="18"/>
                <w:szCs w:val="18"/>
                <w:color w:val="auto"/>
              </w:rPr>
              <w:t>By:</w:t>
            </w:r>
          </w:p>
        </w:tc>
        <w:tc>
          <w:tcPr>
            <w:tcW w:w="4360" w:type="dxa"/>
            <w:vAlign w:val="bottom"/>
          </w:tcPr>
          <w:p>
            <w:pPr>
              <w:jc w:val="center"/>
              <w:ind w:right="1032"/>
              <w:spacing w:after="0"/>
              <w:rPr>
                <w:sz w:val="20"/>
                <w:szCs w:val="20"/>
                <w:color w:val="auto"/>
              </w:rPr>
            </w:pPr>
            <w:r>
              <w:rPr>
                <w:rFonts w:ascii="Arial" w:cs="Arial" w:eastAsia="Arial" w:hAnsi="Arial"/>
                <w:sz w:val="18"/>
                <w:szCs w:val="18"/>
                <w:color w:val="auto"/>
                <w:w w:val="86"/>
              </w:rPr>
              <w:t>/s/ Kathleen P. Pepski</w:t>
            </w:r>
          </w:p>
        </w:tc>
      </w:tr>
      <w:tr>
        <w:trPr>
          <w:trHeight w:val="202"/>
        </w:trPr>
        <w:tc>
          <w:tcPr>
            <w:tcW w:w="3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4360" w:type="dxa"/>
            <w:vAlign w:val="bottom"/>
            <w:tcBorders>
              <w:top w:val="single" w:sz="8" w:color="auto"/>
            </w:tcBorders>
          </w:tcPr>
          <w:p>
            <w:pPr>
              <w:jc w:val="center"/>
              <w:ind w:right="1032"/>
              <w:spacing w:after="0" w:line="202" w:lineRule="exact"/>
              <w:rPr>
                <w:sz w:val="20"/>
                <w:szCs w:val="20"/>
                <w:color w:val="auto"/>
              </w:rPr>
            </w:pPr>
            <w:r>
              <w:rPr>
                <w:rFonts w:ascii="Arial" w:cs="Arial" w:eastAsia="Arial" w:hAnsi="Arial"/>
                <w:sz w:val="18"/>
                <w:szCs w:val="18"/>
                <w:color w:val="auto"/>
                <w:w w:val="86"/>
              </w:rPr>
              <w:t>Kathleen P. Pepski</w:t>
            </w:r>
          </w:p>
        </w:tc>
      </w:tr>
      <w:tr>
        <w:trPr>
          <w:trHeight w:val="216"/>
        </w:trPr>
        <w:tc>
          <w:tcPr>
            <w:tcW w:w="3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60" w:type="dxa"/>
            <w:vAlign w:val="bottom"/>
          </w:tcPr>
          <w:p>
            <w:pPr>
              <w:jc w:val="center"/>
              <w:ind w:right="1012"/>
              <w:spacing w:after="0"/>
              <w:rPr>
                <w:sz w:val="20"/>
                <w:szCs w:val="20"/>
                <w:color w:val="auto"/>
              </w:rPr>
            </w:pPr>
            <w:r>
              <w:rPr>
                <w:rFonts w:ascii="Arial" w:cs="Arial" w:eastAsia="Arial" w:hAnsi="Arial"/>
                <w:sz w:val="18"/>
                <w:szCs w:val="18"/>
                <w:color w:val="auto"/>
                <w:w w:val="90"/>
              </w:rPr>
              <w:t>Vice President, Chief Financial Officer,</w:t>
            </w:r>
          </w:p>
        </w:tc>
      </w:tr>
      <w:tr>
        <w:trPr>
          <w:trHeight w:val="222"/>
        </w:trPr>
        <w:tc>
          <w:tcPr>
            <w:tcW w:w="36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360" w:type="dxa"/>
            <w:vAlign w:val="bottom"/>
          </w:tcPr>
          <w:p>
            <w:pPr>
              <w:jc w:val="center"/>
              <w:ind w:right="1032"/>
              <w:spacing w:after="0"/>
              <w:rPr>
                <w:sz w:val="20"/>
                <w:szCs w:val="20"/>
                <w:color w:val="auto"/>
              </w:rPr>
            </w:pPr>
            <w:r>
              <w:rPr>
                <w:rFonts w:ascii="Arial" w:cs="Arial" w:eastAsia="Arial" w:hAnsi="Arial"/>
                <w:sz w:val="18"/>
                <w:szCs w:val="18"/>
                <w:color w:val="auto"/>
                <w:w w:val="84"/>
              </w:rPr>
              <w:t>and Treasurer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38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59"/>
        </w:trPr>
        <w:tc>
          <w:tcPr>
            <w:tcW w:w="420" w:type="dxa"/>
            <w:vAlign w:val="bottom"/>
            <w:tcBorders>
              <w:bottom w:val="single" w:sz="8" w:color="auto"/>
            </w:tcBorders>
          </w:tcPr>
          <w:p>
            <w:pPr>
              <w:spacing w:after="0" w:line="139" w:lineRule="exact"/>
              <w:rPr>
                <w:sz w:val="20"/>
                <w:szCs w:val="20"/>
                <w:color w:val="auto"/>
              </w:rPr>
            </w:pPr>
            <w:r>
              <w:rPr>
                <w:rFonts w:ascii="Arial" w:cs="Arial" w:eastAsia="Arial" w:hAnsi="Arial"/>
                <w:sz w:val="14"/>
                <w:szCs w:val="14"/>
                <w:color w:val="auto"/>
              </w:rPr>
              <w:t>No.</w:t>
            </w:r>
          </w:p>
        </w:tc>
        <w:tc>
          <w:tcPr>
            <w:tcW w:w="9940" w:type="dxa"/>
            <w:vAlign w:val="bottom"/>
            <w:gridSpan w:val="3"/>
          </w:tcPr>
          <w:p>
            <w:pPr>
              <w:ind w:left="380"/>
              <w:spacing w:after="0" w:line="139" w:lineRule="exact"/>
              <w:rPr>
                <w:sz w:val="20"/>
                <w:szCs w:val="20"/>
                <w:color w:val="auto"/>
              </w:rPr>
            </w:pPr>
            <w:r>
              <w:rPr>
                <w:rFonts w:ascii="Arial" w:cs="Arial" w:eastAsia="Arial" w:hAnsi="Arial"/>
                <w:sz w:val="14"/>
                <w:szCs w:val="14"/>
                <w:color w:val="auto"/>
              </w:rPr>
              <w:t>Description</w:t>
            </w:r>
          </w:p>
        </w:tc>
        <w:tc>
          <w:tcPr>
            <w:tcW w:w="1060" w:type="dxa"/>
            <w:vAlign w:val="bottom"/>
          </w:tcPr>
          <w:p>
            <w:pPr>
              <w:spacing w:after="0" w:line="139" w:lineRule="exact"/>
              <w:rPr>
                <w:sz w:val="20"/>
                <w:szCs w:val="20"/>
                <w:color w:val="auto"/>
              </w:rPr>
            </w:pPr>
            <w:r>
              <w:rPr>
                <w:rFonts w:ascii="Arial" w:cs="Arial" w:eastAsia="Arial" w:hAnsi="Arial"/>
                <w:sz w:val="14"/>
                <w:szCs w:val="14"/>
                <w:color w:val="auto"/>
              </w:rPr>
              <w:t>Method of Filing</w:t>
            </w:r>
          </w:p>
        </w:tc>
      </w:tr>
      <w:tr>
        <w:trPr>
          <w:trHeight w:val="20"/>
        </w:trPr>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3"/>
        </w:trPr>
        <w:tc>
          <w:tcPr>
            <w:tcW w:w="420" w:type="dxa"/>
            <w:vAlign w:val="bottom"/>
          </w:tcPr>
          <w:p>
            <w:pPr>
              <w:spacing w:after="0"/>
              <w:rPr>
                <w:sz w:val="20"/>
                <w:szCs w:val="20"/>
                <w:color w:val="auto"/>
              </w:rPr>
            </w:pPr>
            <w:r>
              <w:rPr>
                <w:rFonts w:ascii="Arial" w:cs="Arial" w:eastAsia="Arial" w:hAnsi="Arial"/>
                <w:sz w:val="18"/>
                <w:szCs w:val="18"/>
                <w:color w:val="auto"/>
              </w:rPr>
              <w:t>99.1</w:t>
            </w:r>
          </w:p>
        </w:tc>
        <w:tc>
          <w:tcPr>
            <w:tcW w:w="9940" w:type="dxa"/>
            <w:vAlign w:val="bottom"/>
            <w:gridSpan w:val="3"/>
          </w:tcPr>
          <w:p>
            <w:pPr>
              <w:ind w:left="380"/>
              <w:spacing w:after="0"/>
              <w:rPr>
                <w:sz w:val="20"/>
                <w:szCs w:val="20"/>
                <w:color w:val="auto"/>
              </w:rPr>
            </w:pPr>
            <w:r>
              <w:rPr>
                <w:rFonts w:ascii="Arial" w:cs="Arial" w:eastAsia="Arial" w:hAnsi="Arial"/>
                <w:sz w:val="18"/>
                <w:szCs w:val="18"/>
                <w:color w:val="auto"/>
                <w:w w:val="95"/>
              </w:rPr>
              <w:t>Press Release, dated October 30, 2012, announcing financial results of Hawkins, Inc. for its fiscal 2013 second quarter ended</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Electronic</w:t>
            </w:r>
          </w:p>
        </w:tc>
      </w:tr>
      <w:tr>
        <w:trPr>
          <w:trHeight w:val="222"/>
        </w:trPr>
        <w:tc>
          <w:tcPr>
            <w:tcW w:w="420" w:type="dxa"/>
            <w:vAlign w:val="bottom"/>
          </w:tcPr>
          <w:p>
            <w:pPr>
              <w:spacing w:after="0"/>
              <w:rPr>
                <w:sz w:val="19"/>
                <w:szCs w:val="19"/>
                <w:color w:val="auto"/>
              </w:rPr>
            </w:pPr>
          </w:p>
        </w:tc>
        <w:tc>
          <w:tcPr>
            <w:tcW w:w="9940" w:type="dxa"/>
            <w:vAlign w:val="bottom"/>
            <w:gridSpan w:val="3"/>
          </w:tcPr>
          <w:p>
            <w:pPr>
              <w:ind w:left="380"/>
              <w:spacing w:after="0"/>
              <w:rPr>
                <w:sz w:val="20"/>
                <w:szCs w:val="20"/>
                <w:color w:val="auto"/>
              </w:rPr>
            </w:pPr>
            <w:r>
              <w:rPr>
                <w:rFonts w:ascii="Arial" w:cs="Arial" w:eastAsia="Arial" w:hAnsi="Arial"/>
                <w:sz w:val="18"/>
                <w:szCs w:val="18"/>
                <w:color w:val="auto"/>
              </w:rPr>
              <w:t>September 30, 2012.</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Transmission</w:t>
            </w:r>
          </w:p>
        </w:tc>
      </w:tr>
    </w:tbl>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4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5600" w:type="dxa"/>
            <w:vAlign w:val="bottom"/>
            <w:gridSpan w:val="3"/>
          </w:tcPr>
          <w:p>
            <w:pPr>
              <w:ind w:left="2200"/>
              <w:spacing w:after="0"/>
              <w:rPr>
                <w:sz w:val="20"/>
                <w:szCs w:val="20"/>
                <w:color w:val="auto"/>
              </w:rPr>
            </w:pPr>
            <w:r>
              <w:rPr>
                <w:rFonts w:ascii="Arial" w:cs="Arial" w:eastAsia="Arial" w:hAnsi="Arial"/>
                <w:sz w:val="18"/>
                <w:szCs w:val="18"/>
                <w:color w:val="auto"/>
              </w:rPr>
              <w:t>Contacts:   Patrick H. Hawkins</w:t>
            </w:r>
          </w:p>
        </w:tc>
      </w:tr>
      <w:tr>
        <w:trPr>
          <w:trHeight w:val="216"/>
        </w:trPr>
        <w:tc>
          <w:tcPr>
            <w:tcW w:w="45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October 30, 2012</w:t>
            </w:r>
          </w:p>
        </w:tc>
        <w:tc>
          <w:tcPr>
            <w:tcW w:w="5580" w:type="dxa"/>
            <w:vAlign w:val="bottom"/>
            <w:gridSpan w:val="2"/>
          </w:tcPr>
          <w:p>
            <w:pPr>
              <w:ind w:left="3080"/>
              <w:spacing w:after="0"/>
              <w:rPr>
                <w:sz w:val="20"/>
                <w:szCs w:val="20"/>
                <w:color w:val="auto"/>
              </w:rPr>
            </w:pPr>
            <w:r>
              <w:rPr>
                <w:rFonts w:ascii="Arial" w:cs="Arial" w:eastAsia="Arial" w:hAnsi="Arial"/>
                <w:sz w:val="18"/>
                <w:szCs w:val="18"/>
                <w:color w:val="auto"/>
              </w:rPr>
              <w:t>612/617-8524</w:t>
            </w:r>
          </w:p>
        </w:tc>
        <w:tc>
          <w:tcPr>
            <w:tcW w:w="20" w:type="dxa"/>
            <w:vAlign w:val="bottom"/>
          </w:tcPr>
          <w:p>
            <w:pPr>
              <w:spacing w:after="0"/>
              <w:rPr>
                <w:sz w:val="18"/>
                <w:szCs w:val="18"/>
                <w:color w:val="auto"/>
              </w:rPr>
            </w:pPr>
          </w:p>
        </w:tc>
      </w:tr>
      <w:tr>
        <w:trPr>
          <w:trHeight w:val="184"/>
        </w:trPr>
        <w:tc>
          <w:tcPr>
            <w:tcW w:w="4540" w:type="dxa"/>
            <w:vAlign w:val="bottom"/>
          </w:tcPr>
          <w:p>
            <w:pPr>
              <w:spacing w:after="0" w:line="184" w:lineRule="exact"/>
              <w:rPr>
                <w:sz w:val="20"/>
                <w:szCs w:val="20"/>
                <w:color w:val="auto"/>
              </w:rPr>
            </w:pPr>
            <w:r>
              <w:rPr>
                <w:rFonts w:ascii="Arial" w:cs="Arial" w:eastAsia="Arial" w:hAnsi="Arial"/>
                <w:sz w:val="18"/>
                <w:szCs w:val="18"/>
                <w:color w:val="auto"/>
              </w:rPr>
              <w:t>Hawkins, Inc.</w:t>
            </w:r>
          </w:p>
        </w:tc>
        <w:tc>
          <w:tcPr>
            <w:tcW w:w="3080" w:type="dxa"/>
            <w:vAlign w:val="bottom"/>
          </w:tcPr>
          <w:p>
            <w:pPr>
              <w:spacing w:after="0"/>
              <w:rPr>
                <w:sz w:val="15"/>
                <w:szCs w:val="15"/>
                <w:color w:val="auto"/>
              </w:rPr>
            </w:pPr>
          </w:p>
        </w:tc>
        <w:tc>
          <w:tcPr>
            <w:tcW w:w="25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90"/>
              </w:rPr>
              <w:t>Patrick.Hawkins@HawkinsInc.com</w:t>
            </w:r>
          </w:p>
        </w:tc>
      </w:tr>
      <w:tr>
        <w:trPr>
          <w:trHeight w:val="228"/>
        </w:trPr>
        <w:tc>
          <w:tcPr>
            <w:tcW w:w="454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30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Minneapolis, MN 55413</w:t>
            </w:r>
          </w:p>
        </w:tc>
        <w:tc>
          <w:tcPr>
            <w:tcW w:w="308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Kathleen P. Pepski</w:t>
            </w:r>
          </w:p>
        </w:tc>
      </w:tr>
      <w:tr>
        <w:trPr>
          <w:trHeight w:val="216"/>
        </w:trPr>
        <w:tc>
          <w:tcPr>
            <w:tcW w:w="45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540" w:type="dxa"/>
            <w:vAlign w:val="bottom"/>
          </w:tcPr>
          <w:p>
            <w:pPr>
              <w:spacing w:after="0"/>
              <w:rPr>
                <w:sz w:val="18"/>
                <w:szCs w:val="18"/>
                <w:color w:val="auto"/>
              </w:rPr>
            </w:pPr>
          </w:p>
        </w:tc>
        <w:tc>
          <w:tcPr>
            <w:tcW w:w="5580" w:type="dxa"/>
            <w:vAlign w:val="bottom"/>
            <w:gridSpan w:val="2"/>
          </w:tcPr>
          <w:p>
            <w:pPr>
              <w:ind w:left="3080"/>
              <w:spacing w:after="0"/>
              <w:rPr>
                <w:sz w:val="20"/>
                <w:szCs w:val="20"/>
                <w:color w:val="auto"/>
              </w:rPr>
            </w:pPr>
            <w:r>
              <w:rPr>
                <w:rFonts w:ascii="Arial" w:cs="Arial" w:eastAsia="Arial" w:hAnsi="Arial"/>
                <w:sz w:val="18"/>
                <w:szCs w:val="18"/>
                <w:color w:val="auto"/>
              </w:rPr>
              <w:t>612/617-8571</w:t>
            </w:r>
          </w:p>
        </w:tc>
        <w:tc>
          <w:tcPr>
            <w:tcW w:w="20" w:type="dxa"/>
            <w:vAlign w:val="bottom"/>
          </w:tcPr>
          <w:p>
            <w:pPr>
              <w:spacing w:after="0"/>
              <w:rPr>
                <w:sz w:val="18"/>
                <w:szCs w:val="18"/>
                <w:color w:val="auto"/>
              </w:rPr>
            </w:pPr>
          </w:p>
        </w:tc>
      </w:tr>
      <w:tr>
        <w:trPr>
          <w:trHeight w:val="184"/>
        </w:trPr>
        <w:tc>
          <w:tcPr>
            <w:tcW w:w="45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520" w:type="dxa"/>
            <w:vAlign w:val="bottom"/>
            <w:gridSpan w:val="2"/>
          </w:tcPr>
          <w:p>
            <w:pPr>
              <w:spacing w:after="0" w:line="184" w:lineRule="exact"/>
              <w:rPr>
                <w:sz w:val="20"/>
                <w:szCs w:val="20"/>
                <w:color w:val="auto"/>
              </w:rPr>
            </w:pPr>
            <w:r>
              <w:rPr>
                <w:rFonts w:ascii="Arial" w:cs="Arial" w:eastAsia="Arial" w:hAnsi="Arial"/>
                <w:sz w:val="18"/>
                <w:szCs w:val="18"/>
                <w:color w:val="auto"/>
                <w:w w:val="89"/>
              </w:rPr>
              <w:t>Kathleen.Pepski@HawkinsInc.com</w:t>
            </w:r>
          </w:p>
        </w:tc>
      </w:tr>
      <w:tr>
        <w:trPr>
          <w:trHeight w:val="20"/>
        </w:trPr>
        <w:tc>
          <w:tcPr>
            <w:tcW w:w="4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FIRST HALF FISCAL 2013 RESULTS</w:t>
      </w:r>
    </w:p>
    <w:p>
      <w:pPr>
        <w:spacing w:after="0" w:line="165"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Minneapolis, MN, October 30, 2012 — Hawkins, Inc. (Nasdaq: HWKN) today announced second quarter and first half results for fiscal 2013. Sales of $87.2 million for the quarter ended September 30, 2012 represented a decrease of 0.8% from $87.9 million in sales for the same period of the prior year. Net income from continuing operations for the second quarter of fiscal 2013 was $7.2 million, or $0.69 per share, fully diluted, compared to net income from continuing operations for the same period of fiscal 2012 of $6.7 million, or $0.65 per share, fully diluted.</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six months ended September 30, 2012, Hawkins, Inc. reported sales of $177.3 as compared to sales of $176.5 million for the same period a year ago. Adjusted net income from continuing operations for the first half of fiscal 2013 was $13.6 million, or $1.29 per share, fully diluted, compared to net income from continuing operations of $13.1 million or $1.27 per share, fully diluted, for the first half of fiscal 2012. Fiscal 2013 adjusted earnings exclude a previously announced pretax charge of $3.2 million (approximately $2.0 million, or $0.19 per share, fully diluted, after tax), resulting from a litigation settlement recorded in the first quarter of the current fiscal year. Including the settlement charge, net income from continuing operations for the first half of fiscal 2013 was $11.6 million, or $1.10 per share, fully diluted (see reconciliation table).</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saw continued growth in our Water Treatment segment, with improved weather conditions from last year, strong performance from our newer branches, and improved per-unit profit margins. Our Industrial segment continues to experience heightened price competition, with difficult market conditions resulting in lower profits compared to the prior year,” said Patrick Hawkins, Chief Executive Officer and President. “Our business is cyclical and we have experienced similar conditions before. As always, it is important that we remain focused on customer service, product quality, new applications for existing products and new product development as we continue to position the Company for growth. The Rosemount facility and infrastructure are progressing as expected and we continue to target the end of fiscal 2013 for the start of production at this site. This is a major project for us and we are very excited about the capacity and capabilities this site will afford us in the future.”</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quarter, Industrial segment sales were $57.2 million, a decrease of 6.7% from second quarter fiscal 2012 sales of $61.3 million. The decrease was primarily due to a shift in product mix to more bulk products, which carry lower per-unit selling prices. Water Treatment segment sales were $29.9 for the quarter, an increase of 12.9% over last year’s second quarter sales of $26.5 million. The increase in sales was primarily due to favorable weather conditions, volume growth in our new and many of our existing branches, as well as higher selling prices.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3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FIRST HALF FISCAL 2013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Company-wide gross profit for the quarter was $19.2 million, or 22.0% of sales, compared to $18.8 million, or 21.3% of sales, for the same period in the prior year. The LIFO method of valuing inventory decreased gross profit by $0.1 million for each of the three months ended September 30, 2012 and October 2, 2011. Gross profit for the Industrial segment was $10.1 million, or 17.6% of sales, for the quarter, as compared to $10.9 million, or 17.7% of sales, for the same period in fiscal 2012. The decrease was primarily due to continued pricing pressures, which led to lower per-unit profits. Gross profit for the Water Treatment segment was $9.1 million, or 30.4% of sales, for the quarter, as compared to $7.9 million, or 29.8% of sales, for the same period in fiscal 2012. The increase in gross profit for this segment was primarily due to increased volumes and higher per-unit margins across most product lines.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Company-wide gross profit for the six months ended September 30, 2012 was $34.5 million, or 19.5% of sales, as compared to $36.7 million, or 20.8% of sales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same period in the prior fiscal year. Gross profit was adversely impacted by the $3.2 million charge resulting from the litigation settlement, which charge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constituted 1.8% of sales for the six months. The LIFO method of valuing inventory decreased gross profit by $0.2 million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2012 and by $0.4 million for the same period of the prior year. Gross profit for the Industrial segment was $17.4 million, or 14.5% of sales,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months, compared to $21.6 million or 17.3% of sales in the same period a year ago. Gross profit for this segment was negatively impacted by the $3.2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 resulting from the litigation settlement, which charge constituted 2.7% of sales for this segment for the six month period. The remainder of the decline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reduced volumes and pricing pressures which led to lower per-unit profits. Gross profit for the Water Treatment segment was $17.1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29.6% of sales, for the six months compared to $15.1 million, or 29.3% of sales, in the same period a year ago. The increase in gross profit for this segment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primarily due to increased volumes and higher per-unit margins across most product lines.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Company-wide SG&amp;A expenses of $7.5 million decreased $0.3 million for the quarter as compared to the same period of the prior year. SG&amp;A expenses of $15.7 million for the six months of fiscal 2013 were unchanged as compared to the same period of the prior fiscal year.</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25 facilities in 13 states, the Company creates value for its customers through superb customer service and support, quality products and personalized applications.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FIRST HALF FISCAL 2013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reports its consolidated financial results in accordance with U.S. generally accepted accounting principles (GAAP). To assist investors in understanding the Company’s financial performance between periods, the Company has provided certain non-GAAP financial measures, including adjusted net income from continuing operations and adjusted diluted earnings per share.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Management uses these non-GAAP financial measures internally to understand, manage and evaluate our business and to make operating decisions. Management believes that these non-GAAP financial measures reflect an additional way of viewing aspects of the Company’s operations that, when viewed with our GAAP results, provides a more complete understanding of the factors and trends affecting our financial condition and results of operations.</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reconciliation of each non-GAAP financial measure used in this release to its most directly comparable financial measure calculated in accordance with GAAP is presented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85"/>
              </w:rPr>
              <w:t>Three months ended September 30, 2012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October 2, 2011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Borders>
              <w:top w:val="single" w:sz="8" w:color="auto"/>
            </w:tcBorders>
            <w:gridSpan w:val="3"/>
          </w:tcPr>
          <w:p>
            <w:pPr>
              <w:jc w:val="center"/>
              <w:ind w:right="240"/>
              <w:spacing w:after="0" w:line="131" w:lineRule="exact"/>
              <w:rPr>
                <w:sz w:val="20"/>
                <w:szCs w:val="20"/>
                <w:color w:val="auto"/>
              </w:rPr>
            </w:pPr>
            <w:r>
              <w:rPr>
                <w:rFonts w:ascii="Arial" w:cs="Arial" w:eastAsia="Arial" w:hAnsi="Arial"/>
                <w:sz w:val="14"/>
                <w:szCs w:val="14"/>
                <w:color w:val="auto"/>
                <w:w w:val="89"/>
              </w:rPr>
              <w:t>Income from</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0"/>
              </w:rPr>
              <w:t>continuing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5"/>
              </w:rPr>
              <w:t>operations</w:t>
            </w: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Income from</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color w:val="auto"/>
                <w:w w:val="89"/>
              </w:rPr>
              <w:t>Income from</w:t>
            </w:r>
          </w:p>
        </w:tc>
        <w:tc>
          <w:tcPr>
            <w:tcW w:w="4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Income from</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5"/>
              </w:rPr>
              <w:t>before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40"/>
              <w:spacing w:after="0" w:line="149" w:lineRule="exact"/>
              <w:rPr>
                <w:sz w:val="20"/>
                <w:szCs w:val="20"/>
                <w:color w:val="auto"/>
              </w:rPr>
            </w:pPr>
            <w:r>
              <w:rPr>
                <w:rFonts w:ascii="Arial" w:cs="Arial" w:eastAsia="Arial" w:hAnsi="Arial"/>
                <w:sz w:val="14"/>
                <w:szCs w:val="14"/>
                <w:color w:val="auto"/>
                <w:w w:val="90"/>
              </w:rPr>
              <w:t>continuing</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Diluted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color w:val="auto"/>
                <w:w w:val="90"/>
              </w:rPr>
              <w:t>continuing</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0"/>
              </w:rPr>
              <w:t>continuing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Diluted</w:t>
            </w: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8"/>
              </w:rPr>
              <w:t>income</w:t>
            </w: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operations, net</w:t>
            </w:r>
          </w:p>
        </w:tc>
        <w:tc>
          <w:tcPr>
            <w:tcW w:w="4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earnings per</w:t>
            </w:r>
          </w:p>
        </w:tc>
        <w:tc>
          <w:tcPr>
            <w:tcW w:w="2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operations before</w:t>
            </w:r>
          </w:p>
        </w:tc>
        <w:tc>
          <w:tcPr>
            <w:tcW w:w="4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operations, net</w:t>
            </w:r>
          </w:p>
        </w:tc>
        <w:tc>
          <w:tcPr>
            <w:tcW w:w="46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2"/>
              </w:rPr>
              <w:t>earnings per</w:t>
            </w:r>
          </w:p>
        </w:tc>
      </w:tr>
      <w:tr>
        <w:trPr>
          <w:trHeight w:val="159"/>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83"/>
              </w:rPr>
              <w:t>taxes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40"/>
              <w:spacing w:after="0" w:line="159" w:lineRule="exact"/>
              <w:rPr>
                <w:sz w:val="20"/>
                <w:szCs w:val="20"/>
                <w:color w:val="auto"/>
              </w:rPr>
            </w:pPr>
            <w:r>
              <w:rPr>
                <w:rFonts w:ascii="Arial" w:cs="Arial" w:eastAsia="Arial" w:hAnsi="Arial"/>
                <w:sz w:val="14"/>
                <w:szCs w:val="14"/>
                <w:color w:val="auto"/>
                <w:w w:val="87"/>
              </w:rPr>
              <w:t>of tax</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5"/>
              </w:rPr>
              <w:t>share (1)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24"/>
              <w:spacing w:after="0" w:line="159" w:lineRule="exact"/>
              <w:rPr>
                <w:sz w:val="20"/>
                <w:szCs w:val="20"/>
                <w:color w:val="auto"/>
              </w:rPr>
            </w:pPr>
            <w:r>
              <w:rPr>
                <w:rFonts w:ascii="Arial" w:cs="Arial" w:eastAsia="Arial" w:hAnsi="Arial"/>
                <w:sz w:val="14"/>
                <w:szCs w:val="14"/>
                <w:color w:val="auto"/>
                <w:w w:val="84"/>
              </w:rPr>
              <w:t>income taxes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spacing w:after="0" w:line="159" w:lineRule="exact"/>
              <w:rPr>
                <w:sz w:val="20"/>
                <w:szCs w:val="20"/>
                <w:color w:val="auto"/>
              </w:rPr>
            </w:pPr>
            <w:r>
              <w:rPr>
                <w:rFonts w:ascii="Arial" w:cs="Arial" w:eastAsia="Arial" w:hAnsi="Arial"/>
                <w:sz w:val="14"/>
                <w:szCs w:val="14"/>
                <w:color w:val="auto"/>
                <w:w w:val="87"/>
              </w:rPr>
              <w:t>of tax</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share (2)</w:t>
            </w: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11,775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Add Impact of Litigation Settlement</w:t>
            </w:r>
          </w:p>
        </w:tc>
        <w:tc>
          <w:tcPr>
            <w:tcW w:w="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11,775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10,519,400 shares used in calculating earnings per share.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10,365,372 shares used in calculating earnings per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100" w:type="dxa"/>
            <w:vAlign w:val="bottom"/>
          </w:tcPr>
          <w:p>
            <w:pPr>
              <w:spacing w:after="0"/>
              <w:rPr>
                <w:sz w:val="14"/>
                <w:szCs w:val="14"/>
                <w:color w:val="auto"/>
              </w:rPr>
            </w:pPr>
          </w:p>
        </w:tc>
        <w:tc>
          <w:tcPr>
            <w:tcW w:w="3440" w:type="dxa"/>
            <w:vAlign w:val="bottom"/>
            <w:gridSpan w:val="9"/>
          </w:tcPr>
          <w:p>
            <w:pPr>
              <w:ind w:left="460"/>
              <w:spacing w:after="0"/>
              <w:rPr>
                <w:sz w:val="20"/>
                <w:szCs w:val="20"/>
                <w:color w:val="auto"/>
              </w:rPr>
            </w:pPr>
            <w:r>
              <w:rPr>
                <w:rFonts w:ascii="Arial" w:cs="Arial" w:eastAsia="Arial" w:hAnsi="Arial"/>
                <w:sz w:val="14"/>
                <w:szCs w:val="14"/>
                <w:b w:val="1"/>
                <w:bCs w:val="1"/>
                <w:color w:val="auto"/>
              </w:rPr>
              <w:t>Six months ended September 30, 2012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ind w:left="580"/>
              <w:spacing w:after="0"/>
              <w:rPr>
                <w:sz w:val="20"/>
                <w:szCs w:val="20"/>
                <w:color w:val="auto"/>
              </w:rPr>
            </w:pPr>
            <w:r>
              <w:rPr>
                <w:rFonts w:ascii="Arial" w:cs="Arial" w:eastAsia="Arial" w:hAnsi="Arial"/>
                <w:sz w:val="14"/>
                <w:szCs w:val="14"/>
                <w:b w:val="1"/>
                <w:bCs w:val="1"/>
                <w:color w:val="auto"/>
                <w:w w:val="84"/>
              </w:rPr>
              <w:t>Six months ended October 2, 2011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40"/>
              <w:spacing w:after="0" w:line="131" w:lineRule="exact"/>
              <w:rPr>
                <w:sz w:val="20"/>
                <w:szCs w:val="20"/>
                <w:color w:val="auto"/>
              </w:rPr>
            </w:pPr>
            <w:r>
              <w:rPr>
                <w:rFonts w:ascii="Arial" w:cs="Arial" w:eastAsia="Arial" w:hAnsi="Arial"/>
                <w:sz w:val="14"/>
                <w:szCs w:val="14"/>
                <w:color w:val="auto"/>
                <w:w w:val="89"/>
              </w:rPr>
              <w:t>Income from</w:t>
            </w: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9"/>
              </w:rPr>
              <w:t>Income from</w:t>
            </w: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24"/>
              <w:spacing w:after="0" w:line="131" w:lineRule="exact"/>
              <w:rPr>
                <w:sz w:val="20"/>
                <w:szCs w:val="20"/>
                <w:color w:val="auto"/>
              </w:rPr>
            </w:pPr>
            <w:r>
              <w:rPr>
                <w:rFonts w:ascii="Arial" w:cs="Arial" w:eastAsia="Arial" w:hAnsi="Arial"/>
                <w:sz w:val="14"/>
                <w:szCs w:val="14"/>
                <w:color w:val="auto"/>
                <w:w w:val="89"/>
              </w:rPr>
              <w:t>Income from</w:t>
            </w:r>
          </w:p>
        </w:tc>
        <w:tc>
          <w:tcPr>
            <w:tcW w:w="4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center"/>
              <w:ind w:right="440"/>
              <w:spacing w:after="0" w:line="131" w:lineRule="exact"/>
              <w:rPr>
                <w:sz w:val="20"/>
                <w:szCs w:val="20"/>
                <w:color w:val="auto"/>
              </w:rPr>
            </w:pPr>
            <w:r>
              <w:rPr>
                <w:rFonts w:ascii="Arial" w:cs="Arial" w:eastAsia="Arial" w:hAnsi="Arial"/>
                <w:sz w:val="14"/>
                <w:szCs w:val="14"/>
                <w:color w:val="auto"/>
                <w:w w:val="89"/>
              </w:rPr>
              <w:t>Income from</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continuing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40"/>
              <w:spacing w:after="0" w:line="149" w:lineRule="exact"/>
              <w:rPr>
                <w:sz w:val="20"/>
                <w:szCs w:val="20"/>
                <w:color w:val="auto"/>
              </w:rPr>
            </w:pPr>
            <w:r>
              <w:rPr>
                <w:rFonts w:ascii="Arial" w:cs="Arial" w:eastAsia="Arial" w:hAnsi="Arial"/>
                <w:sz w:val="14"/>
                <w:szCs w:val="14"/>
                <w:color w:val="auto"/>
                <w:w w:val="90"/>
              </w:rPr>
              <w:t>continuing</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Diluted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color w:val="auto"/>
                <w:w w:val="90"/>
              </w:rPr>
              <w:t>continuing</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0"/>
              </w:rPr>
              <w:t>continuing</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86"/>
              </w:rPr>
              <w:t>operations before</w:t>
            </w: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operations, net</w:t>
            </w:r>
          </w:p>
        </w:tc>
        <w:tc>
          <w:tcPr>
            <w:tcW w:w="440" w:type="dxa"/>
            <w:vAlign w:val="bottom"/>
          </w:tcPr>
          <w:p>
            <w:pPr>
              <w:spacing w:after="0"/>
              <w:rPr>
                <w:sz w:val="12"/>
                <w:szCs w:val="12"/>
                <w:color w:val="auto"/>
              </w:rPr>
            </w:pP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w w:val="82"/>
              </w:rPr>
              <w:t>earnings per</w:t>
            </w:r>
          </w:p>
        </w:tc>
        <w:tc>
          <w:tcPr>
            <w:tcW w:w="2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operations before</w:t>
            </w:r>
          </w:p>
        </w:tc>
        <w:tc>
          <w:tcPr>
            <w:tcW w:w="440" w:type="dxa"/>
            <w:vAlign w:val="bottom"/>
          </w:tcPr>
          <w:p>
            <w:pPr>
              <w:spacing w:after="0"/>
              <w:rPr>
                <w:sz w:val="12"/>
                <w:szCs w:val="12"/>
                <w:color w:val="auto"/>
              </w:rPr>
            </w:pPr>
          </w:p>
        </w:tc>
        <w:tc>
          <w:tcPr>
            <w:tcW w:w="126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86"/>
              </w:rPr>
              <w:t>operations, net</w:t>
            </w: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w w:val="95"/>
              </w:rPr>
              <w:t>earnings per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84"/>
              </w:rPr>
              <w:t>income taxes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40"/>
              <w:spacing w:after="0" w:line="159" w:lineRule="exact"/>
              <w:rPr>
                <w:sz w:val="20"/>
                <w:szCs w:val="20"/>
                <w:color w:val="auto"/>
              </w:rPr>
            </w:pPr>
            <w:r>
              <w:rPr>
                <w:rFonts w:ascii="Arial" w:cs="Arial" w:eastAsia="Arial" w:hAnsi="Arial"/>
                <w:sz w:val="14"/>
                <w:szCs w:val="14"/>
                <w:color w:val="auto"/>
                <w:w w:val="87"/>
              </w:rPr>
              <w:t>of tax</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5"/>
              </w:rPr>
              <w:t>share (3)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24"/>
              <w:spacing w:after="0" w:line="159" w:lineRule="exact"/>
              <w:rPr>
                <w:sz w:val="20"/>
                <w:szCs w:val="20"/>
                <w:color w:val="auto"/>
              </w:rPr>
            </w:pPr>
            <w:r>
              <w:rPr>
                <w:rFonts w:ascii="Arial" w:cs="Arial" w:eastAsia="Arial" w:hAnsi="Arial"/>
                <w:sz w:val="14"/>
                <w:szCs w:val="14"/>
                <w:color w:val="auto"/>
                <w:w w:val="84"/>
              </w:rPr>
              <w:t>income taxes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540"/>
              <w:spacing w:after="0" w:line="159" w:lineRule="exact"/>
              <w:rPr>
                <w:sz w:val="20"/>
                <w:szCs w:val="20"/>
                <w:color w:val="auto"/>
              </w:rPr>
            </w:pPr>
            <w:r>
              <w:rPr>
                <w:rFonts w:ascii="Arial" w:cs="Arial" w:eastAsia="Arial" w:hAnsi="Arial"/>
                <w:sz w:val="14"/>
                <w:szCs w:val="14"/>
                <w:color w:val="auto"/>
                <w:w w:val="87"/>
              </w:rPr>
              <w:t>of tax</w:t>
            </w:r>
          </w:p>
        </w:tc>
        <w:tc>
          <w:tcPr>
            <w:tcW w:w="80" w:type="dxa"/>
            <w:vAlign w:val="bottom"/>
          </w:tcPr>
          <w:p>
            <w:pPr>
              <w:spacing w:after="0"/>
              <w:rPr>
                <w:sz w:val="13"/>
                <w:szCs w:val="13"/>
                <w:color w:val="auto"/>
              </w:rPr>
            </w:pPr>
          </w:p>
        </w:tc>
        <w:tc>
          <w:tcPr>
            <w:tcW w:w="6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share (4)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11,595</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center"/>
              <w:ind w:left="200"/>
              <w:spacing w:after="0"/>
              <w:rPr>
                <w:sz w:val="20"/>
                <w:szCs w:val="20"/>
                <w:color w:val="auto"/>
              </w:rPr>
            </w:pPr>
            <w:r>
              <w:rPr>
                <w:rFonts w:ascii="Arial" w:cs="Arial" w:eastAsia="Arial" w:hAnsi="Arial"/>
                <w:sz w:val="18"/>
                <w:szCs w:val="18"/>
                <w:color w:val="auto"/>
                <w:w w:val="85"/>
              </w:rPr>
              <w:t>1.27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Add Impact of Litigation Settlement</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cente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200"/>
              <w:spacing w:after="0"/>
              <w:rPr>
                <w:sz w:val="20"/>
                <w:szCs w:val="20"/>
                <w:color w:val="auto"/>
              </w:rPr>
            </w:pPr>
            <w:r>
              <w:rPr>
                <w:rFonts w:ascii="Arial" w:cs="Arial" w:eastAsia="Arial" w:hAnsi="Arial"/>
                <w:sz w:val="18"/>
                <w:szCs w:val="18"/>
                <w:color w:val="auto"/>
                <w:w w:val="85"/>
              </w:rPr>
              <w:t>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10,513,213 shares used in calculating earnings per share.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10,362,847 shares used in calculating earnings per share.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FIRST HALF FISCAL 2013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Four.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top w:val="single" w:sz="8" w:color="auto"/>
            </w:tcBorders>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92"/>
              </w:rPr>
              <w:t>October 2,</w:t>
            </w:r>
          </w:p>
        </w:tc>
        <w:tc>
          <w:tcPr>
            <w:tcW w:w="480" w:type="dxa"/>
            <w:vAlign w:val="bottom"/>
          </w:tcPr>
          <w:p>
            <w:pPr>
              <w:spacing w:after="0"/>
              <w:rPr>
                <w:sz w:val="11"/>
                <w:szCs w:val="11"/>
                <w:color w:val="auto"/>
              </w:rPr>
            </w:pPr>
          </w:p>
        </w:tc>
        <w:tc>
          <w:tcPr>
            <w:tcW w:w="1360" w:type="dxa"/>
            <w:vAlign w:val="bottom"/>
            <w:tcBorders>
              <w:top w:val="single" w:sz="8" w:color="auto"/>
            </w:tcBorders>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October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3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(67,964)</w:t>
            </w: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(69,120)</w:t>
            </w:r>
          </w:p>
        </w:tc>
        <w:tc>
          <w:tcPr>
            <w:tcW w:w="10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(142,756)</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(139,787)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34,503</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3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(7,455)</w:t>
            </w: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(7,844)</w:t>
            </w:r>
          </w:p>
        </w:tc>
        <w:tc>
          <w:tcPr>
            <w:tcW w:w="10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(15,682)</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11,741</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10,906</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18,821</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32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323"/>
        </w:trPr>
        <w:tc>
          <w:tcPr>
            <w:tcW w:w="63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(4,545)</w:t>
            </w: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(4,217)</w:t>
            </w:r>
          </w:p>
        </w:tc>
        <w:tc>
          <w:tcPr>
            <w:tcW w:w="10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(7,998)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13,071</w:t>
            </w:r>
          </w:p>
        </w:tc>
        <w:tc>
          <w:tcPr>
            <w:tcW w:w="0" w:type="dxa"/>
            <w:vAlign w:val="bottom"/>
          </w:tcPr>
          <w:p>
            <w:pPr>
              <w:spacing w:after="0"/>
              <w:rPr>
                <w:sz w:val="1"/>
                <w:szCs w:val="1"/>
                <w:color w:val="auto"/>
              </w:rPr>
            </w:pPr>
          </w:p>
        </w:tc>
      </w:tr>
      <w:tr>
        <w:trPr>
          <w:trHeight w:val="331"/>
        </w:trPr>
        <w:tc>
          <w:tcPr>
            <w:tcW w:w="632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13,628</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outstanding-basic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10,458,922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10,322,768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10,444,898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10,314,973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10,519,400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10,365,372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10,513,213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10,362,847</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0.34</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2019-12-09T07:42:33Z</dcterms:created>
  <dcterms:modified xsi:type="dcterms:W3CDTF">2019-12-09T07:42:33Z</dcterms:modified>
</cp:coreProperties>
</file>