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September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9" w:lineRule="exact"/>
        <w:rPr>
          <w:sz w:val="24"/>
          <w:szCs w:val="24"/>
          <w:color w:val="auto"/>
        </w:r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2381 Rosegate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Roseville, MN 55113</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040" w:right="1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12, 2016, Hawkins, Inc. announced that Kathleen P. Pepski, Vice President, Chief Financial Officer and Treasurer, plans to retire from her positions with our company. To facilitate a smooth transition, Ms. Pepski is expected to continue in her current role until June 2017. The company is engaged in the hiring process for her successor.</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September 12, 2016, we issued a press release announcing Ms. Pepski’s planned retirement, the text of which is furnished as Exhibit 99.1 hereto and incorporated herein by reference. The information contained in this Item 7.01 and Exhibit 99.1 is being furnished, and shall not be deemed “filed” for purposes of Section 18 of the Securities Exchange Act of 1934, as amended (the “Exchange Act”), or otherwise subject to the liabilities under Section 18. Furthermore, the information contained in this Item 7.01 and Exhibit 99.1 shall not be deemed to be incorporated by reference into our filings under the Securities Act of 1933, as amended or the Exchange Act.</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Press Release dated September 12, 2016.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0" w:right="3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September 12, 2016</w:t>
      </w:r>
      <w:r>
        <w:rPr>
          <w:sz w:val="20"/>
          <w:szCs w:val="20"/>
          <w:color w:val="auto"/>
        </w:rPr>
        <w:tab/>
      </w:r>
      <w:r>
        <w:rPr>
          <w:rFonts w:ascii="Arial" w:cs="Arial" w:eastAsia="Arial" w:hAnsi="Arial"/>
          <w:sz w:val="16"/>
          <w:szCs w:val="16"/>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G. Erstad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Vice President, 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240" w:type="dxa"/>
            <w:vAlign w:val="bottom"/>
          </w:tcPr>
          <w:p>
            <w:pPr>
              <w:spacing w:after="0"/>
              <w:rPr>
                <w:sz w:val="15"/>
                <w:szCs w:val="15"/>
                <w:color w:val="auto"/>
              </w:rPr>
            </w:pPr>
          </w:p>
        </w:tc>
        <w:tc>
          <w:tcPr>
            <w:tcW w:w="8240" w:type="dxa"/>
            <w:vAlign w:val="bottom"/>
            <w:tcBorders>
              <w:bottom w:val="single" w:sz="8" w:color="auto"/>
            </w:tcBorders>
          </w:tcPr>
          <w:p>
            <w:pPr>
              <w:ind w:left="3780"/>
              <w:spacing w:after="0"/>
              <w:rPr>
                <w:sz w:val="20"/>
                <w:szCs w:val="20"/>
                <w:color w:val="auto"/>
              </w:rPr>
            </w:pPr>
            <w:r>
              <w:rPr>
                <w:rFonts w:ascii="Arial" w:cs="Arial" w:eastAsia="Arial" w:hAnsi="Arial"/>
                <w:sz w:val="14"/>
                <w:szCs w:val="14"/>
                <w:color w:val="auto"/>
              </w:rPr>
              <w:t>Description</w:t>
            </w:r>
          </w:p>
        </w:tc>
        <w:tc>
          <w:tcPr>
            <w:tcW w:w="200" w:type="dxa"/>
            <w:vAlign w:val="bottom"/>
          </w:tcPr>
          <w:p>
            <w:pPr>
              <w:spacing w:after="0"/>
              <w:rPr>
                <w:sz w:val="15"/>
                <w:szCs w:val="15"/>
                <w:color w:val="auto"/>
              </w:rPr>
            </w:pPr>
          </w:p>
        </w:tc>
        <w:tc>
          <w:tcPr>
            <w:tcW w:w="206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Method of Filing</w:t>
            </w:r>
          </w:p>
        </w:tc>
      </w:tr>
      <w:tr>
        <w:trPr>
          <w:trHeight w:val="311"/>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Press Release dated September 12, 2016</w:t>
            </w:r>
          </w:p>
        </w:tc>
        <w:tc>
          <w:tcPr>
            <w:tcW w:w="2060" w:type="dxa"/>
            <w:vAlign w:val="bottom"/>
          </w:tcPr>
          <w:p>
            <w:pPr>
              <w:spacing w:after="0"/>
              <w:rPr>
                <w:sz w:val="20"/>
                <w:szCs w:val="20"/>
                <w:color w:val="auto"/>
              </w:rPr>
            </w:pPr>
            <w:r>
              <w:rPr>
                <w:rFonts w:ascii="Arial" w:cs="Arial" w:eastAsia="Arial" w:hAnsi="Arial"/>
                <w:sz w:val="18"/>
                <w:szCs w:val="18"/>
                <w:color w:val="auto"/>
              </w:rPr>
              <w:t>Furnished Electronically</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6700" w:type="dxa"/>
            <w:vAlign w:val="bottom"/>
          </w:tcPr>
          <w:p>
            <w:pPr>
              <w:ind w:left="5820"/>
              <w:spacing w:after="0"/>
              <w:rPr>
                <w:sz w:val="20"/>
                <w:szCs w:val="20"/>
                <w:color w:val="auto"/>
              </w:rPr>
            </w:pPr>
            <w:r>
              <w:rPr>
                <w:rFonts w:ascii="Arial" w:cs="Arial" w:eastAsia="Arial" w:hAnsi="Arial"/>
                <w:sz w:val="18"/>
                <w:szCs w:val="18"/>
                <w:color w:val="auto"/>
                <w:w w:val="91"/>
              </w:rPr>
              <w:t>Exhibit 99.1</w:t>
            </w:r>
          </w:p>
        </w:tc>
        <w:tc>
          <w:tcPr>
            <w:tcW w:w="0" w:type="dxa"/>
            <w:vAlign w:val="bottom"/>
          </w:tcPr>
          <w:p>
            <w:pPr>
              <w:spacing w:after="0"/>
              <w:rPr>
                <w:sz w:val="1"/>
                <w:szCs w:val="1"/>
                <w:color w:val="auto"/>
              </w:rPr>
            </w:pPr>
          </w:p>
        </w:tc>
      </w:tr>
      <w:tr>
        <w:trPr>
          <w:trHeight w:val="445"/>
        </w:trPr>
        <w:tc>
          <w:tcPr>
            <w:tcW w:w="4720" w:type="dxa"/>
            <w:vAlign w:val="bottom"/>
          </w:tcPr>
          <w:p>
            <w:pPr>
              <w:spacing w:after="0"/>
              <w:rPr>
                <w:sz w:val="20"/>
                <w:szCs w:val="20"/>
                <w:color w:val="auto"/>
              </w:rPr>
            </w:pPr>
            <w:r>
              <w:rPr>
                <w:rFonts w:ascii="Arial" w:cs="Arial" w:eastAsia="Arial" w:hAnsi="Arial"/>
                <w:sz w:val="18"/>
                <w:szCs w:val="18"/>
                <w:color w:val="auto"/>
              </w:rPr>
              <w:t>FOR IMMEDIATE RELEASE</w:t>
            </w:r>
          </w:p>
        </w:tc>
        <w:tc>
          <w:tcPr>
            <w:tcW w:w="6700" w:type="dxa"/>
            <w:vAlign w:val="bottom"/>
          </w:tcPr>
          <w:p>
            <w:pPr>
              <w:ind w:left="2480"/>
              <w:spacing w:after="0"/>
              <w:rPr>
                <w:sz w:val="20"/>
                <w:szCs w:val="20"/>
                <w:color w:val="auto"/>
              </w:rPr>
            </w:pPr>
            <w:r>
              <w:rPr>
                <w:rFonts w:ascii="Arial" w:cs="Arial" w:eastAsia="Arial" w:hAnsi="Arial"/>
                <w:sz w:val="18"/>
                <w:szCs w:val="18"/>
                <w:color w:val="auto"/>
              </w:rPr>
              <w:t>Contacts:   Patrick H. Hawkins</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September 12, 2016</w:t>
            </w:r>
          </w:p>
        </w:tc>
        <w:tc>
          <w:tcPr>
            <w:tcW w:w="6700" w:type="dxa"/>
            <w:vAlign w:val="bottom"/>
          </w:tcPr>
          <w:p>
            <w:pPr>
              <w:ind w:left="34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Hawkins, Inc.</w:t>
            </w:r>
          </w:p>
        </w:tc>
        <w:tc>
          <w:tcPr>
            <w:tcW w:w="6700" w:type="dxa"/>
            <w:vAlign w:val="bottom"/>
          </w:tcPr>
          <w:p>
            <w:pPr>
              <w:ind w:left="3400"/>
              <w:spacing w:after="0"/>
              <w:rPr>
                <w:sz w:val="20"/>
                <w:szCs w:val="20"/>
                <w:color w:val="auto"/>
              </w:rPr>
            </w:pPr>
            <w:r>
              <w:rPr>
                <w:rFonts w:ascii="Arial" w:cs="Arial" w:eastAsia="Arial" w:hAnsi="Arial"/>
                <w:sz w:val="18"/>
                <w:szCs w:val="18"/>
                <w:color w:val="auto"/>
              </w:rPr>
              <w:t>612/617-8524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2381 Rosegate</w:t>
            </w:r>
          </w:p>
        </w:tc>
        <w:tc>
          <w:tcPr>
            <w:tcW w:w="6700" w:type="dxa"/>
            <w:vAlign w:val="bottom"/>
          </w:tcPr>
          <w:p>
            <w:pPr>
              <w:ind w:left="3400"/>
              <w:spacing w:after="0"/>
              <w:rPr>
                <w:sz w:val="20"/>
                <w:szCs w:val="20"/>
                <w:color w:val="auto"/>
              </w:rPr>
            </w:pPr>
            <w:r>
              <w:rPr>
                <w:rFonts w:ascii="Arial" w:cs="Arial" w:eastAsia="Arial" w:hAnsi="Arial"/>
                <w:sz w:val="18"/>
                <w:szCs w:val="18"/>
                <w:color w:val="auto"/>
              </w:rPr>
              <w:t>Patrick.Hawkins@HawkinsInc.com</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Roseville, MN 55113</w:t>
            </w:r>
          </w:p>
        </w:tc>
        <w:tc>
          <w:tcPr>
            <w:tcW w:w="6700" w:type="dxa"/>
            <w:vAlign w:val="bottom"/>
            <w:vMerge w:val="restart"/>
          </w:tcPr>
          <w:p>
            <w:pPr>
              <w:ind w:left="340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02"/>
        </w:trPr>
        <w:tc>
          <w:tcPr>
            <w:tcW w:w="4720" w:type="dxa"/>
            <w:vAlign w:val="bottom"/>
          </w:tcPr>
          <w:p>
            <w:pPr>
              <w:spacing w:after="0"/>
              <w:rPr>
                <w:sz w:val="17"/>
                <w:szCs w:val="17"/>
                <w:color w:val="auto"/>
              </w:rPr>
            </w:pPr>
          </w:p>
        </w:tc>
        <w:tc>
          <w:tcPr>
            <w:tcW w:w="6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700" w:type="dxa"/>
            <w:vAlign w:val="bottom"/>
          </w:tcPr>
          <w:p>
            <w:pPr>
              <w:ind w:left="34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6700" w:type="dxa"/>
            <w:vAlign w:val="bottom"/>
          </w:tcPr>
          <w:p>
            <w:pPr>
              <w:ind w:left="3400"/>
              <w:spacing w:after="0"/>
              <w:rPr>
                <w:sz w:val="20"/>
                <w:szCs w:val="20"/>
                <w:color w:val="auto"/>
              </w:rPr>
            </w:pPr>
            <w:r>
              <w:rPr>
                <w:rFonts w:ascii="Arial" w:cs="Arial" w:eastAsia="Arial" w:hAnsi="Arial"/>
                <w:sz w:val="18"/>
                <w:szCs w:val="18"/>
                <w:color w:val="auto"/>
              </w:rPr>
              <w:t>612/617-8571</w:t>
            </w: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6700" w:type="dxa"/>
            <w:vAlign w:val="bottom"/>
          </w:tcPr>
          <w:p>
            <w:pPr>
              <w:ind w:left="3400"/>
              <w:spacing w:after="0"/>
              <w:rPr>
                <w:sz w:val="20"/>
                <w:szCs w:val="20"/>
                <w:color w:val="auto"/>
              </w:rPr>
            </w:pPr>
            <w:r>
              <w:rPr>
                <w:rFonts w:ascii="Arial" w:cs="Arial" w:eastAsia="Arial" w:hAnsi="Arial"/>
                <w:sz w:val="18"/>
                <w:szCs w:val="18"/>
                <w:color w:val="auto"/>
              </w:rPr>
              <w:t>Kathleen.Pepski@HawkinsInc.com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PLANNED RETIREMENT OF KATHLEEN P. PEPSKI, CHIEF FINANCIAL OFFICER</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Minneapolis, MN, September 12, 2016 – Hawkins, Inc. (Nasdaq: HWKN) announced today that Kathleen P. Pepski, Vice President, Chief Financial Officer and Treasurer plans to retire. To facilitate a smooth transition, Pepski is expected to continue in her current role until June 2017. The Company is beginning a search for her successor.</w:t>
      </w:r>
    </w:p>
    <w:p>
      <w:pPr>
        <w:spacing w:after="0" w:line="18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Pepski joined Hawkins in February 2008 as its Chief Financial Officer, Vice President and Treasurer. She served as Secretary from February 2008 to November 2008.</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Kathy’s tenure at Hawkins, she had a tremendous impact on our Company through her exceptional leadership and disciplined approach to financial and company operations,” said Patrick Hawkins, Chief Executive Officer.</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“Kathy’s significant contributions include her support of multiple expansion initiatives during her tenure at Hawkins, including playing a major role in the 2015 acquisition of Stauber Performance Ingredients, which, at $157 million, was the largest acquisition in the history of our Company. Her accomplishments will benefit Hawkins for many years to come,” said Mr. Hawkins.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2019-12-05T07:16:40Z</dcterms:created>
  <dcterms:modified xsi:type="dcterms:W3CDTF">2019-12-05T07:16:40Z</dcterms:modified>
</cp:coreProperties>
</file>