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3" w:lineRule="exact"/>
        <w:rPr>
          <w:sz w:val="24"/>
          <w:szCs w:val="24"/>
          <w:color w:val="auto"/>
        </w:rPr>
      </w:pPr>
    </w:p>
    <w:p>
      <w:pPr>
        <w:spacing w:after="0"/>
        <w:rPr>
          <w:rFonts w:ascii="Arial" w:cs="Arial" w:eastAsia="Arial" w:hAnsi="Arial"/>
          <w:sz w:val="22"/>
          <w:szCs w:val="22"/>
          <w:color w:val="0000EE"/>
        </w:rPr>
      </w:pPr>
      <w:hyperlink w:anchor="page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3, 2002</w:t>
      </w:r>
    </w:p>
    <w:p>
      <w:pPr>
        <w:spacing w:after="0" w:line="225" w:lineRule="exact"/>
        <w:rPr>
          <w:sz w:val="24"/>
          <w:szCs w:val="24"/>
          <w:color w:val="auto"/>
        </w:rPr>
      </w:pPr>
    </w:p>
    <w:p>
      <w:pPr>
        <w:ind w:left="938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HAWKINS, INC.</w:t>
      </w:r>
    </w:p>
    <w:p>
      <w:pPr>
        <w:spacing w:after="0" w:line="240" w:lineRule="exact"/>
        <w:rPr>
          <w:sz w:val="24"/>
          <w:szCs w:val="24"/>
          <w:color w:val="auto"/>
        </w:rPr>
      </w:pPr>
    </w:p>
    <w:tbl>
      <w:tblPr>
        <w:tblLayout w:type="fixed"/>
        <w:tblInd w:w="1960" w:type="dxa"/>
        <w:tblCellMar>
          <w:top w:w="0" w:type="dxa"/>
          <w:left w:w="0" w:type="dxa"/>
          <w:bottom w:w="0" w:type="dxa"/>
          <w:right w:w="0" w:type="dxa"/>
        </w:tblCellMar>
      </w:tblPr>
      <w:tr>
        <w:trPr>
          <w:trHeight w:val="222"/>
        </w:trPr>
        <w:tc>
          <w:tcPr>
            <w:tcW w:w="4140" w:type="dxa"/>
            <w:vAlign w:val="bottom"/>
          </w:tcPr>
          <w:p>
            <w:pPr>
              <w:jc w:val="center"/>
              <w:ind w:right="1192"/>
              <w:spacing w:after="0"/>
              <w:rPr>
                <w:sz w:val="20"/>
                <w:szCs w:val="20"/>
                <w:color w:val="auto"/>
              </w:rPr>
            </w:pPr>
            <w:r>
              <w:rPr>
                <w:rFonts w:ascii="Arial" w:cs="Arial" w:eastAsia="Arial" w:hAnsi="Arial"/>
                <w:sz w:val="18"/>
                <w:szCs w:val="18"/>
                <w:b w:val="1"/>
                <w:bCs w:val="1"/>
                <w:color w:val="auto"/>
                <w:w w:val="87"/>
              </w:rPr>
              <w:t>Minnesota</w:t>
            </w:r>
          </w:p>
        </w:tc>
        <w:tc>
          <w:tcPr>
            <w:tcW w:w="2600" w:type="dxa"/>
            <w:vAlign w:val="bottom"/>
          </w:tcPr>
          <w:p>
            <w:pPr>
              <w:jc w:val="right"/>
              <w:ind w:right="152"/>
              <w:spacing w:after="0"/>
              <w:rPr>
                <w:sz w:val="20"/>
                <w:szCs w:val="20"/>
                <w:color w:val="auto"/>
              </w:rPr>
            </w:pPr>
            <w:r>
              <w:rPr>
                <w:rFonts w:ascii="Arial" w:cs="Arial" w:eastAsia="Arial" w:hAnsi="Arial"/>
                <w:sz w:val="18"/>
                <w:szCs w:val="18"/>
                <w:b w:val="1"/>
                <w:bCs w:val="1"/>
                <w:color w:val="auto"/>
              </w:rPr>
              <w:t>41-0771293</w:t>
            </w:r>
          </w:p>
        </w:tc>
      </w:tr>
      <w:tr>
        <w:trPr>
          <w:trHeight w:val="216"/>
        </w:trPr>
        <w:tc>
          <w:tcPr>
            <w:tcW w:w="4140" w:type="dxa"/>
            <w:vAlign w:val="bottom"/>
          </w:tcPr>
          <w:p>
            <w:pPr>
              <w:jc w:val="center"/>
              <w:ind w:right="1192"/>
              <w:spacing w:after="0"/>
              <w:rPr>
                <w:sz w:val="20"/>
                <w:szCs w:val="20"/>
                <w:color w:val="auto"/>
              </w:rPr>
            </w:pPr>
            <w:r>
              <w:rPr>
                <w:rFonts w:ascii="Arial" w:cs="Arial" w:eastAsia="Arial" w:hAnsi="Arial"/>
                <w:sz w:val="18"/>
                <w:szCs w:val="18"/>
                <w:color w:val="auto"/>
                <w:w w:val="90"/>
              </w:rPr>
              <w:t>(State or other jurisdiction</w:t>
            </w:r>
          </w:p>
        </w:tc>
        <w:tc>
          <w:tcPr>
            <w:tcW w:w="2600" w:type="dxa"/>
            <w:vAlign w:val="bottom"/>
          </w:tcPr>
          <w:p>
            <w:pPr>
              <w:jc w:val="center"/>
              <w:ind w:left="1192"/>
              <w:spacing w:after="0"/>
              <w:rPr>
                <w:sz w:val="20"/>
                <w:szCs w:val="20"/>
                <w:color w:val="auto"/>
              </w:rPr>
            </w:pPr>
            <w:r>
              <w:rPr>
                <w:rFonts w:ascii="Arial" w:cs="Arial" w:eastAsia="Arial" w:hAnsi="Arial"/>
                <w:sz w:val="18"/>
                <w:szCs w:val="18"/>
                <w:color w:val="auto"/>
                <w:w w:val="90"/>
              </w:rPr>
              <w:t>(I.R.S. Employer</w:t>
            </w:r>
          </w:p>
        </w:tc>
      </w:tr>
      <w:tr>
        <w:trPr>
          <w:trHeight w:val="222"/>
        </w:trPr>
        <w:tc>
          <w:tcPr>
            <w:tcW w:w="4140" w:type="dxa"/>
            <w:vAlign w:val="bottom"/>
          </w:tcPr>
          <w:p>
            <w:pPr>
              <w:jc w:val="center"/>
              <w:ind w:right="1192"/>
              <w:spacing w:after="0"/>
              <w:rPr>
                <w:sz w:val="20"/>
                <w:szCs w:val="20"/>
                <w:color w:val="auto"/>
              </w:rPr>
            </w:pPr>
            <w:r>
              <w:rPr>
                <w:rFonts w:ascii="Arial" w:cs="Arial" w:eastAsia="Arial" w:hAnsi="Arial"/>
                <w:sz w:val="18"/>
                <w:szCs w:val="18"/>
                <w:color w:val="auto"/>
                <w:w w:val="90"/>
              </w:rPr>
              <w:t>of incorporation or organization)</w:t>
            </w:r>
          </w:p>
        </w:tc>
        <w:tc>
          <w:tcPr>
            <w:tcW w:w="2600" w:type="dxa"/>
            <w:vAlign w:val="bottom"/>
          </w:tcPr>
          <w:p>
            <w:pPr>
              <w:jc w:val="center"/>
              <w:ind w:left="1212"/>
              <w:spacing w:after="0"/>
              <w:rPr>
                <w:sz w:val="20"/>
                <w:szCs w:val="20"/>
                <w:color w:val="auto"/>
              </w:rPr>
            </w:pPr>
            <w:r>
              <w:rPr>
                <w:rFonts w:ascii="Arial" w:cs="Arial" w:eastAsia="Arial" w:hAnsi="Arial"/>
                <w:sz w:val="18"/>
                <w:szCs w:val="18"/>
                <w:color w:val="auto"/>
                <w:w w:val="92"/>
              </w:rPr>
              <w:t>Identification No.)</w:t>
            </w:r>
          </w:p>
        </w:tc>
      </w:tr>
      <w:tr>
        <w:trPr>
          <w:trHeight w:val="447"/>
        </w:trPr>
        <w:tc>
          <w:tcPr>
            <w:tcW w:w="4140" w:type="dxa"/>
            <w:vAlign w:val="bottom"/>
          </w:tcPr>
          <w:p>
            <w:pPr>
              <w:jc w:val="center"/>
              <w:ind w:right="1192"/>
              <w:spacing w:after="0"/>
              <w:rPr>
                <w:sz w:val="20"/>
                <w:szCs w:val="20"/>
                <w:color w:val="auto"/>
              </w:rPr>
            </w:pPr>
            <w:r>
              <w:rPr>
                <w:rFonts w:ascii="Arial" w:cs="Arial" w:eastAsia="Arial" w:hAnsi="Arial"/>
                <w:sz w:val="18"/>
                <w:szCs w:val="18"/>
                <w:b w:val="1"/>
                <w:bCs w:val="1"/>
                <w:color w:val="auto"/>
                <w:w w:val="87"/>
              </w:rPr>
              <w:t>3100 East Hennepin Avenue</w:t>
            </w:r>
          </w:p>
        </w:tc>
        <w:tc>
          <w:tcPr>
            <w:tcW w:w="2600" w:type="dxa"/>
            <w:vAlign w:val="bottom"/>
          </w:tcPr>
          <w:p>
            <w:pPr>
              <w:jc w:val="right"/>
              <w:ind w:right="352"/>
              <w:spacing w:after="0"/>
              <w:rPr>
                <w:sz w:val="20"/>
                <w:szCs w:val="20"/>
                <w:color w:val="auto"/>
              </w:rPr>
            </w:pPr>
            <w:r>
              <w:rPr>
                <w:rFonts w:ascii="Arial" w:cs="Arial" w:eastAsia="Arial" w:hAnsi="Arial"/>
                <w:sz w:val="18"/>
                <w:szCs w:val="18"/>
                <w:b w:val="1"/>
                <w:bCs w:val="1"/>
                <w:color w:val="auto"/>
              </w:rPr>
              <w:t>55413</w:t>
            </w:r>
          </w:p>
        </w:tc>
      </w:tr>
      <w:tr>
        <w:trPr>
          <w:trHeight w:val="222"/>
        </w:trPr>
        <w:tc>
          <w:tcPr>
            <w:tcW w:w="4140" w:type="dxa"/>
            <w:vAlign w:val="bottom"/>
          </w:tcPr>
          <w:p>
            <w:pPr>
              <w:jc w:val="center"/>
              <w:ind w:right="1192"/>
              <w:spacing w:after="0"/>
              <w:rPr>
                <w:sz w:val="20"/>
                <w:szCs w:val="20"/>
                <w:color w:val="auto"/>
              </w:rPr>
            </w:pPr>
            <w:r>
              <w:rPr>
                <w:rFonts w:ascii="Arial" w:cs="Arial" w:eastAsia="Arial" w:hAnsi="Arial"/>
                <w:sz w:val="18"/>
                <w:szCs w:val="18"/>
                <w:color w:val="auto"/>
                <w:w w:val="89"/>
              </w:rPr>
              <w:t>Minneapolis, Minnesota 55413</w:t>
            </w:r>
          </w:p>
        </w:tc>
        <w:tc>
          <w:tcPr>
            <w:tcW w:w="2600" w:type="dxa"/>
            <w:vAlign w:val="bottom"/>
          </w:tcPr>
          <w:p>
            <w:pPr>
              <w:jc w:val="center"/>
              <w:ind w:left="1212"/>
              <w:spacing w:after="0"/>
              <w:rPr>
                <w:sz w:val="20"/>
                <w:szCs w:val="20"/>
                <w:color w:val="auto"/>
              </w:rPr>
            </w:pPr>
            <w:r>
              <w:rPr>
                <w:rFonts w:ascii="Arial" w:cs="Arial" w:eastAsia="Arial" w:hAnsi="Arial"/>
                <w:sz w:val="18"/>
                <w:szCs w:val="18"/>
                <w:b w:val="1"/>
                <w:bCs w:val="1"/>
                <w:color w:val="auto"/>
                <w:w w:val="92"/>
              </w:rPr>
              <w:t>(Zip Code)</w:t>
            </w:r>
          </w:p>
        </w:tc>
      </w:tr>
      <w:tr>
        <w:trPr>
          <w:trHeight w:val="222"/>
        </w:trPr>
        <w:tc>
          <w:tcPr>
            <w:tcW w:w="4140" w:type="dxa"/>
            <w:vAlign w:val="bottom"/>
          </w:tcPr>
          <w:p>
            <w:pPr>
              <w:jc w:val="center"/>
              <w:ind w:right="1192"/>
              <w:spacing w:after="0"/>
              <w:rPr>
                <w:sz w:val="20"/>
                <w:szCs w:val="20"/>
                <w:color w:val="auto"/>
              </w:rPr>
            </w:pPr>
            <w:r>
              <w:rPr>
                <w:rFonts w:ascii="Arial" w:cs="Arial" w:eastAsia="Arial" w:hAnsi="Arial"/>
                <w:sz w:val="18"/>
                <w:szCs w:val="18"/>
                <w:color w:val="auto"/>
                <w:w w:val="90"/>
              </w:rPr>
              <w:t>(Address of Principal Executive Offices)</w:t>
            </w:r>
          </w:p>
        </w:tc>
        <w:tc>
          <w:tcPr>
            <w:tcW w:w="260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222250</wp:posOffset>
            </wp:positionV>
            <wp:extent cx="10502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Hawkins, Inc. Employee Stock Purchase Plan, as Amended and Restated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jc w:val="center"/>
              <w:ind w:left="2196"/>
              <w:spacing w:after="0"/>
              <w:rPr>
                <w:sz w:val="20"/>
                <w:szCs w:val="20"/>
                <w:color w:val="auto"/>
              </w:rPr>
            </w:pPr>
            <w:r>
              <w:rPr>
                <w:rFonts w:ascii="Arial" w:cs="Arial" w:eastAsia="Arial" w:hAnsi="Arial"/>
                <w:sz w:val="18"/>
                <w:szCs w:val="18"/>
                <w:b w:val="1"/>
                <w:bCs w:val="1"/>
                <w:color w:val="auto"/>
                <w:w w:val="91"/>
              </w:rPr>
              <w:t>Kurt R. Norman, President</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20" w:type="dxa"/>
            <w:vAlign w:val="bottom"/>
          </w:tcPr>
          <w:p>
            <w:pPr>
              <w:jc w:val="center"/>
              <w:ind w:right="1462"/>
              <w:spacing w:after="0"/>
              <w:rPr>
                <w:sz w:val="20"/>
                <w:szCs w:val="20"/>
                <w:color w:val="auto"/>
              </w:rPr>
            </w:pPr>
            <w:r>
              <w:rPr>
                <w:rFonts w:ascii="Arial" w:cs="Arial" w:eastAsia="Arial" w:hAnsi="Arial"/>
                <w:sz w:val="18"/>
                <w:szCs w:val="18"/>
                <w:b w:val="1"/>
                <w:bCs w:val="1"/>
                <w:color w:val="auto"/>
                <w:w w:val="87"/>
              </w:rPr>
              <w:t>Copy to:</w:t>
            </w:r>
          </w:p>
        </w:tc>
        <w:tc>
          <w:tcPr>
            <w:tcW w:w="1500" w:type="dxa"/>
            <w:vAlign w:val="bottom"/>
          </w:tcPr>
          <w:p>
            <w:pPr>
              <w:spacing w:after="0"/>
              <w:rPr>
                <w:sz w:val="18"/>
                <w:szCs w:val="18"/>
                <w:color w:val="auto"/>
              </w:rPr>
            </w:pPr>
          </w:p>
        </w:tc>
      </w:tr>
      <w:tr>
        <w:trPr>
          <w:trHeight w:val="216"/>
        </w:trPr>
        <w:tc>
          <w:tcPr>
            <w:tcW w:w="4500" w:type="dxa"/>
            <w:vAlign w:val="bottom"/>
          </w:tcPr>
          <w:p>
            <w:pPr>
              <w:jc w:val="center"/>
              <w:ind w:left="2216"/>
              <w:spacing w:after="0"/>
              <w:rPr>
                <w:sz w:val="20"/>
                <w:szCs w:val="20"/>
                <w:color w:val="auto"/>
              </w:rPr>
            </w:pPr>
            <w:r>
              <w:rPr>
                <w:rFonts w:ascii="Arial" w:cs="Arial" w:eastAsia="Arial" w:hAnsi="Arial"/>
                <w:sz w:val="18"/>
                <w:szCs w:val="18"/>
                <w:b w:val="1"/>
                <w:bCs w:val="1"/>
                <w:color w:val="auto"/>
                <w:w w:val="91"/>
              </w:rPr>
              <w:t>Hawkins, Inc.</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80" w:type="dxa"/>
            <w:vAlign w:val="bottom"/>
            <w:gridSpan w:val="2"/>
          </w:tcPr>
          <w:p>
            <w:pPr>
              <w:jc w:val="center"/>
              <w:ind w:right="302"/>
              <w:spacing w:after="0"/>
              <w:rPr>
                <w:sz w:val="20"/>
                <w:szCs w:val="20"/>
                <w:color w:val="auto"/>
              </w:rPr>
            </w:pPr>
            <w:r>
              <w:rPr>
                <w:rFonts w:ascii="Arial" w:cs="Arial" w:eastAsia="Arial" w:hAnsi="Arial"/>
                <w:sz w:val="18"/>
                <w:szCs w:val="18"/>
                <w:b w:val="1"/>
                <w:bCs w:val="1"/>
                <w:color w:val="auto"/>
                <w:w w:val="89"/>
              </w:rPr>
              <w:t>Jennie A. Clarke, Esq.</w:t>
            </w:r>
          </w:p>
        </w:tc>
        <w:tc>
          <w:tcPr>
            <w:tcW w:w="1500" w:type="dxa"/>
            <w:vAlign w:val="bottom"/>
          </w:tcPr>
          <w:p>
            <w:pPr>
              <w:spacing w:after="0"/>
              <w:rPr>
                <w:sz w:val="18"/>
                <w:szCs w:val="18"/>
                <w:color w:val="auto"/>
              </w:rPr>
            </w:pPr>
          </w:p>
        </w:tc>
      </w:tr>
      <w:tr>
        <w:trPr>
          <w:trHeight w:val="216"/>
        </w:trPr>
        <w:tc>
          <w:tcPr>
            <w:tcW w:w="4500" w:type="dxa"/>
            <w:vAlign w:val="bottom"/>
          </w:tcPr>
          <w:p>
            <w:pPr>
              <w:jc w:val="center"/>
              <w:ind w:left="2196"/>
              <w:spacing w:after="0"/>
              <w:rPr>
                <w:sz w:val="20"/>
                <w:szCs w:val="20"/>
                <w:color w:val="auto"/>
              </w:rPr>
            </w:pPr>
            <w:r>
              <w:rPr>
                <w:rFonts w:ascii="Arial" w:cs="Arial" w:eastAsia="Arial" w:hAnsi="Arial"/>
                <w:sz w:val="18"/>
                <w:szCs w:val="18"/>
                <w:b w:val="1"/>
                <w:bCs w:val="1"/>
                <w:color w:val="auto"/>
                <w:w w:val="87"/>
              </w:rPr>
              <w:t>3100 East Hennepin Avenue</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80" w:type="dxa"/>
            <w:vAlign w:val="bottom"/>
            <w:gridSpan w:val="2"/>
          </w:tcPr>
          <w:p>
            <w:pPr>
              <w:jc w:val="center"/>
              <w:ind w:right="302"/>
              <w:spacing w:after="0"/>
              <w:rPr>
                <w:sz w:val="20"/>
                <w:szCs w:val="20"/>
                <w:color w:val="auto"/>
              </w:rPr>
            </w:pPr>
            <w:r>
              <w:rPr>
                <w:rFonts w:ascii="Arial" w:cs="Arial" w:eastAsia="Arial" w:hAnsi="Arial"/>
                <w:sz w:val="18"/>
                <w:szCs w:val="18"/>
                <w:b w:val="1"/>
                <w:bCs w:val="1"/>
                <w:color w:val="auto"/>
                <w:w w:val="90"/>
              </w:rPr>
              <w:t>Henson &amp; Efron, P.A.</w:t>
            </w:r>
          </w:p>
        </w:tc>
        <w:tc>
          <w:tcPr>
            <w:tcW w:w="1500" w:type="dxa"/>
            <w:vAlign w:val="bottom"/>
          </w:tcPr>
          <w:p>
            <w:pPr>
              <w:spacing w:after="0"/>
              <w:rPr>
                <w:sz w:val="18"/>
                <w:szCs w:val="18"/>
                <w:color w:val="auto"/>
              </w:rPr>
            </w:pPr>
          </w:p>
        </w:tc>
      </w:tr>
      <w:tr>
        <w:trPr>
          <w:trHeight w:val="216"/>
        </w:trPr>
        <w:tc>
          <w:tcPr>
            <w:tcW w:w="6100" w:type="dxa"/>
            <w:vAlign w:val="bottom"/>
            <w:gridSpan w:val="3"/>
          </w:tcPr>
          <w:p>
            <w:pPr>
              <w:jc w:val="center"/>
              <w:ind w:left="596"/>
              <w:spacing w:after="0"/>
              <w:rPr>
                <w:sz w:val="20"/>
                <w:szCs w:val="20"/>
                <w:color w:val="auto"/>
              </w:rPr>
            </w:pPr>
            <w:r>
              <w:rPr>
                <w:rFonts w:ascii="Arial" w:cs="Arial" w:eastAsia="Arial" w:hAnsi="Arial"/>
                <w:sz w:val="18"/>
                <w:szCs w:val="18"/>
                <w:b w:val="1"/>
                <w:bCs w:val="1"/>
                <w:color w:val="auto"/>
                <w:w w:val="89"/>
              </w:rPr>
              <w:t>Minneapolis, Minnesota 55413</w:t>
            </w:r>
          </w:p>
        </w:tc>
        <w:tc>
          <w:tcPr>
            <w:tcW w:w="440" w:type="dxa"/>
            <w:vAlign w:val="bottom"/>
          </w:tcPr>
          <w:p>
            <w:pPr>
              <w:spacing w:after="0"/>
              <w:rPr>
                <w:sz w:val="18"/>
                <w:szCs w:val="18"/>
                <w:color w:val="auto"/>
              </w:rPr>
            </w:pPr>
          </w:p>
        </w:tc>
        <w:tc>
          <w:tcPr>
            <w:tcW w:w="3380" w:type="dxa"/>
            <w:vAlign w:val="bottom"/>
            <w:gridSpan w:val="2"/>
          </w:tcPr>
          <w:p>
            <w:pPr>
              <w:jc w:val="center"/>
              <w:ind w:right="282"/>
              <w:spacing w:after="0"/>
              <w:rPr>
                <w:sz w:val="20"/>
                <w:szCs w:val="20"/>
                <w:color w:val="auto"/>
              </w:rPr>
            </w:pPr>
            <w:r>
              <w:rPr>
                <w:rFonts w:ascii="Arial" w:cs="Arial" w:eastAsia="Arial" w:hAnsi="Arial"/>
                <w:sz w:val="18"/>
                <w:szCs w:val="18"/>
                <w:b w:val="1"/>
                <w:bCs w:val="1"/>
                <w:color w:val="auto"/>
                <w:w w:val="87"/>
              </w:rPr>
              <w:t>220 South Sixth Street, Suite 1800</w:t>
            </w:r>
          </w:p>
        </w:tc>
        <w:tc>
          <w:tcPr>
            <w:tcW w:w="1500" w:type="dxa"/>
            <w:vAlign w:val="bottom"/>
          </w:tcPr>
          <w:p>
            <w:pPr>
              <w:spacing w:after="0"/>
              <w:rPr>
                <w:sz w:val="18"/>
                <w:szCs w:val="18"/>
                <w:color w:val="auto"/>
              </w:rPr>
            </w:pPr>
          </w:p>
        </w:tc>
      </w:tr>
      <w:tr>
        <w:trPr>
          <w:trHeight w:val="216"/>
        </w:trPr>
        <w:tc>
          <w:tcPr>
            <w:tcW w:w="4500" w:type="dxa"/>
            <w:vAlign w:val="bottom"/>
          </w:tcPr>
          <w:p>
            <w:pPr>
              <w:jc w:val="center"/>
              <w:ind w:left="2196"/>
              <w:spacing w:after="0"/>
              <w:rPr>
                <w:sz w:val="20"/>
                <w:szCs w:val="20"/>
                <w:color w:val="auto"/>
              </w:rPr>
            </w:pPr>
            <w:r>
              <w:rPr>
                <w:rFonts w:ascii="Arial" w:cs="Arial" w:eastAsia="Arial" w:hAnsi="Arial"/>
                <w:sz w:val="18"/>
                <w:szCs w:val="18"/>
                <w:b w:val="1"/>
                <w:bCs w:val="1"/>
                <w:color w:val="auto"/>
                <w:w w:val="89"/>
              </w:rPr>
              <w:t>(612) 331-6910</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80" w:type="dxa"/>
            <w:vAlign w:val="bottom"/>
            <w:gridSpan w:val="2"/>
          </w:tcPr>
          <w:p>
            <w:pPr>
              <w:jc w:val="center"/>
              <w:ind w:right="282"/>
              <w:spacing w:after="0"/>
              <w:rPr>
                <w:sz w:val="20"/>
                <w:szCs w:val="20"/>
                <w:color w:val="auto"/>
              </w:rPr>
            </w:pPr>
            <w:r>
              <w:rPr>
                <w:rFonts w:ascii="Arial" w:cs="Arial" w:eastAsia="Arial" w:hAnsi="Arial"/>
                <w:sz w:val="18"/>
                <w:szCs w:val="18"/>
                <w:b w:val="1"/>
                <w:bCs w:val="1"/>
                <w:color w:val="auto"/>
                <w:w w:val="88"/>
              </w:rPr>
              <w:t>Minneapolis, Minnesota 55402-5403</w:t>
            </w:r>
          </w:p>
        </w:tc>
        <w:tc>
          <w:tcPr>
            <w:tcW w:w="1500" w:type="dxa"/>
            <w:vAlign w:val="bottom"/>
          </w:tcPr>
          <w:p>
            <w:pPr>
              <w:spacing w:after="0"/>
              <w:rPr>
                <w:sz w:val="18"/>
                <w:szCs w:val="18"/>
                <w:color w:val="auto"/>
              </w:rPr>
            </w:pPr>
          </w:p>
        </w:tc>
      </w:tr>
      <w:tr>
        <w:trPr>
          <w:trHeight w:val="222"/>
        </w:trPr>
        <w:tc>
          <w:tcPr>
            <w:tcW w:w="6100" w:type="dxa"/>
            <w:vAlign w:val="bottom"/>
            <w:gridSpan w:val="3"/>
          </w:tcPr>
          <w:p>
            <w:pPr>
              <w:jc w:val="center"/>
              <w:ind w:left="616"/>
              <w:spacing w:after="0"/>
              <w:rPr>
                <w:sz w:val="20"/>
                <w:szCs w:val="20"/>
                <w:color w:val="auto"/>
              </w:rPr>
            </w:pPr>
            <w:r>
              <w:rPr>
                <w:rFonts w:ascii="Arial" w:cs="Arial" w:eastAsia="Arial" w:hAnsi="Arial"/>
                <w:sz w:val="18"/>
                <w:szCs w:val="18"/>
                <w:color w:val="auto"/>
                <w:w w:val="87"/>
              </w:rPr>
              <w:t>(Name, address and telephone number, including</w:t>
            </w:r>
          </w:p>
        </w:tc>
        <w:tc>
          <w:tcPr>
            <w:tcW w:w="38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(612) 339-2500</w:t>
            </w:r>
          </w:p>
        </w:tc>
        <w:tc>
          <w:tcPr>
            <w:tcW w:w="1500" w:type="dxa"/>
            <w:vAlign w:val="bottom"/>
          </w:tcPr>
          <w:p>
            <w:pPr>
              <w:spacing w:after="0"/>
              <w:rPr>
                <w:sz w:val="19"/>
                <w:szCs w:val="19"/>
                <w:color w:val="auto"/>
              </w:rPr>
            </w:pPr>
          </w:p>
        </w:tc>
      </w:tr>
      <w:tr>
        <w:trPr>
          <w:trHeight w:val="222"/>
        </w:trPr>
        <w:tc>
          <w:tcPr>
            <w:tcW w:w="4500" w:type="dxa"/>
            <w:vAlign w:val="bottom"/>
          </w:tcPr>
          <w:p>
            <w:pPr>
              <w:jc w:val="center"/>
              <w:ind w:left="2196"/>
              <w:spacing w:after="0"/>
              <w:rPr>
                <w:sz w:val="20"/>
                <w:szCs w:val="20"/>
                <w:color w:val="auto"/>
              </w:rPr>
            </w:pPr>
            <w:r>
              <w:rPr>
                <w:rFonts w:ascii="Arial" w:cs="Arial" w:eastAsia="Arial" w:hAnsi="Arial"/>
                <w:sz w:val="18"/>
                <w:szCs w:val="18"/>
                <w:color w:val="auto"/>
                <w:w w:val="87"/>
              </w:rPr>
              <w:t>area code, of agent for service)</w:t>
            </w: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63"/>
        </w:trPr>
        <w:tc>
          <w:tcPr>
            <w:tcW w:w="4900" w:type="dxa"/>
            <w:vAlign w:val="bottom"/>
            <w:gridSpan w:val="2"/>
          </w:tcPr>
          <w:p>
            <w:pPr>
              <w:spacing w:after="0"/>
              <w:rPr>
                <w:sz w:val="24"/>
                <w:szCs w:val="24"/>
                <w:color w:val="auto"/>
              </w:rPr>
            </w:pPr>
          </w:p>
        </w:tc>
        <w:tc>
          <w:tcPr>
            <w:tcW w:w="1640" w:type="dxa"/>
            <w:vAlign w:val="bottom"/>
            <w:tcBorders>
              <w:bottom w:val="single" w:sz="8" w:color="808080"/>
            </w:tcBorders>
            <w:gridSpan w:val="2"/>
          </w:tcPr>
          <w:p>
            <w:pPr>
              <w:spacing w:after="0"/>
              <w:rPr>
                <w:sz w:val="24"/>
                <w:szCs w:val="24"/>
                <w:color w:val="auto"/>
              </w:rPr>
            </w:pPr>
          </w:p>
        </w:tc>
        <w:tc>
          <w:tcPr>
            <w:tcW w:w="11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27"/>
        </w:trPr>
        <w:tc>
          <w:tcPr>
            <w:tcW w:w="7700" w:type="dxa"/>
            <w:vAlign w:val="bottom"/>
            <w:gridSpan w:val="5"/>
          </w:tcPr>
          <w:p>
            <w:pPr>
              <w:ind w:left="4020"/>
              <w:spacing w:after="0"/>
              <w:rPr>
                <w:sz w:val="20"/>
                <w:szCs w:val="20"/>
                <w:color w:val="auto"/>
              </w:rPr>
            </w:pPr>
            <w:r>
              <w:rPr>
                <w:rFonts w:ascii="Arial" w:cs="Arial" w:eastAsia="Arial" w:hAnsi="Arial"/>
                <w:sz w:val="18"/>
                <w:szCs w:val="18"/>
                <w:b w:val="1"/>
                <w:bCs w:val="1"/>
                <w:color w:val="auto"/>
              </w:rPr>
              <w:t>CALCULATION OF REGISTRATION FEE</w:t>
            </w:r>
          </w:p>
        </w:tc>
        <w:tc>
          <w:tcPr>
            <w:tcW w:w="22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36"/>
        </w:trPr>
        <w:tc>
          <w:tcPr>
            <w:tcW w:w="45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gridSpan w:val="2"/>
          </w:tcPr>
          <w:p>
            <w:pPr>
              <w:spacing w:after="0"/>
              <w:rPr>
                <w:sz w:val="24"/>
                <w:szCs w:val="24"/>
                <w:color w:val="auto"/>
              </w:rPr>
            </w:pPr>
          </w:p>
        </w:tc>
        <w:tc>
          <w:tcPr>
            <w:tcW w:w="222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r>
      <w:tr>
        <w:trPr>
          <w:trHeight w:val="241"/>
        </w:trPr>
        <w:tc>
          <w:tcPr>
            <w:tcW w:w="4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gridSpan w:val="2"/>
          </w:tcPr>
          <w:p>
            <w:pPr>
              <w:jc w:val="center"/>
              <w:ind w:left="319"/>
              <w:spacing w:after="0"/>
              <w:rPr>
                <w:sz w:val="20"/>
                <w:szCs w:val="20"/>
                <w:color w:val="auto"/>
              </w:rPr>
            </w:pPr>
            <w:r>
              <w:rPr>
                <w:rFonts w:ascii="Arial" w:cs="Arial" w:eastAsia="Arial" w:hAnsi="Arial"/>
                <w:sz w:val="14"/>
                <w:szCs w:val="14"/>
                <w:b w:val="1"/>
                <w:bCs w:val="1"/>
                <w:color w:val="auto"/>
                <w:w w:val="87"/>
              </w:rPr>
              <w:t>Proposed Maximum</w:t>
            </w:r>
          </w:p>
        </w:tc>
        <w:tc>
          <w:tcPr>
            <w:tcW w:w="22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149"/>
        </w:trPr>
        <w:tc>
          <w:tcPr>
            <w:tcW w:w="4500" w:type="dxa"/>
            <w:vAlign w:val="bottom"/>
          </w:tcPr>
          <w:p>
            <w:pPr>
              <w:jc w:val="center"/>
              <w:ind w:right="516"/>
              <w:spacing w:after="0" w:line="149" w:lineRule="exact"/>
              <w:rPr>
                <w:sz w:val="20"/>
                <w:szCs w:val="20"/>
                <w:color w:val="auto"/>
              </w:rPr>
            </w:pPr>
            <w:r>
              <w:rPr>
                <w:rFonts w:ascii="Arial" w:cs="Arial" w:eastAsia="Arial" w:hAnsi="Arial"/>
                <w:sz w:val="14"/>
                <w:szCs w:val="14"/>
                <w:b w:val="1"/>
                <w:bCs w:val="1"/>
                <w:color w:val="auto"/>
                <w:w w:val="87"/>
              </w:rPr>
              <w:t>Title of Securities</w:t>
            </w:r>
          </w:p>
        </w:tc>
        <w:tc>
          <w:tcPr>
            <w:tcW w:w="16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Amount to be</w:t>
            </w:r>
          </w:p>
        </w:tc>
        <w:tc>
          <w:tcPr>
            <w:tcW w:w="4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Offering Price</w:t>
            </w:r>
          </w:p>
        </w:tc>
        <w:tc>
          <w:tcPr>
            <w:tcW w:w="2220" w:type="dxa"/>
            <w:vAlign w:val="bottom"/>
          </w:tcPr>
          <w:p>
            <w:pPr>
              <w:jc w:val="center"/>
              <w:ind w:left="122"/>
              <w:spacing w:after="0" w:line="149" w:lineRule="exact"/>
              <w:rPr>
                <w:sz w:val="20"/>
                <w:szCs w:val="20"/>
                <w:color w:val="auto"/>
              </w:rPr>
            </w:pPr>
            <w:r>
              <w:rPr>
                <w:rFonts w:ascii="Arial" w:cs="Arial" w:eastAsia="Arial" w:hAnsi="Arial"/>
                <w:sz w:val="14"/>
                <w:szCs w:val="14"/>
                <w:b w:val="1"/>
                <w:bCs w:val="1"/>
                <w:color w:val="auto"/>
                <w:w w:val="88"/>
              </w:rPr>
              <w:t>Proposed Maximum</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4"/>
        </w:trPr>
        <w:tc>
          <w:tcPr>
            <w:tcW w:w="4500" w:type="dxa"/>
            <w:vAlign w:val="bottom"/>
          </w:tcPr>
          <w:p>
            <w:pPr>
              <w:jc w:val="center"/>
              <w:ind w:right="516"/>
              <w:spacing w:after="0"/>
              <w:rPr>
                <w:sz w:val="20"/>
                <w:szCs w:val="20"/>
                <w:color w:val="auto"/>
              </w:rPr>
            </w:pPr>
            <w:r>
              <w:rPr>
                <w:rFonts w:ascii="Arial" w:cs="Arial" w:eastAsia="Arial" w:hAnsi="Arial"/>
                <w:sz w:val="14"/>
                <w:szCs w:val="14"/>
                <w:b w:val="1"/>
                <w:bCs w:val="1"/>
                <w:color w:val="auto"/>
                <w:w w:val="85"/>
              </w:rPr>
              <w:t>to be Registered</w:t>
            </w:r>
          </w:p>
        </w:tc>
        <w:tc>
          <w:tcPr>
            <w:tcW w:w="16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Registered(1)</w:t>
            </w:r>
          </w:p>
        </w:tc>
        <w:tc>
          <w:tcPr>
            <w:tcW w:w="4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6"/>
              </w:rPr>
              <w:t>per Share</w:t>
            </w:r>
          </w:p>
        </w:tc>
        <w:tc>
          <w:tcPr>
            <w:tcW w:w="2220" w:type="dxa"/>
            <w:vAlign w:val="bottom"/>
          </w:tcPr>
          <w:p>
            <w:pPr>
              <w:jc w:val="center"/>
              <w:ind w:left="122"/>
              <w:spacing w:after="0"/>
              <w:rPr>
                <w:sz w:val="20"/>
                <w:szCs w:val="20"/>
                <w:color w:val="auto"/>
              </w:rPr>
            </w:pPr>
            <w:r>
              <w:rPr>
                <w:rFonts w:ascii="Arial" w:cs="Arial" w:eastAsia="Arial" w:hAnsi="Arial"/>
                <w:sz w:val="14"/>
                <w:szCs w:val="14"/>
                <w:b w:val="1"/>
                <w:bCs w:val="1"/>
                <w:color w:val="auto"/>
                <w:w w:val="88"/>
              </w:rPr>
              <w:t>Aggregate Offering Price</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7"/>
              </w:rPr>
              <w:t>Registration Fee</w:t>
            </w:r>
          </w:p>
        </w:tc>
      </w:tr>
      <w:tr>
        <w:trPr>
          <w:trHeight w:val="105"/>
        </w:trPr>
        <w:tc>
          <w:tcPr>
            <w:tcW w:w="450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gridSpan w:val="2"/>
          </w:tcPr>
          <w:p>
            <w:pPr>
              <w:spacing w:after="0"/>
              <w:rPr>
                <w:sz w:val="9"/>
                <w:szCs w:val="9"/>
                <w:color w:val="auto"/>
              </w:rPr>
            </w:pPr>
          </w:p>
        </w:tc>
        <w:tc>
          <w:tcPr>
            <w:tcW w:w="1600" w:type="dxa"/>
            <w:vAlign w:val="bottom"/>
            <w:tcBorders>
              <w:bottom w:val="single" w:sz="8" w:color="808080"/>
            </w:tcBorders>
            <w:gridSpan w:val="2"/>
          </w:tcPr>
          <w:p>
            <w:pPr>
              <w:spacing w:after="0"/>
              <w:rPr>
                <w:sz w:val="9"/>
                <w:szCs w:val="9"/>
                <w:color w:val="auto"/>
              </w:rPr>
            </w:pPr>
          </w:p>
        </w:tc>
        <w:tc>
          <w:tcPr>
            <w:tcW w:w="222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r>
      <w:tr>
        <w:trPr>
          <w:trHeight w:val="319"/>
        </w:trPr>
        <w:tc>
          <w:tcPr>
            <w:tcW w:w="4500" w:type="dxa"/>
            <w:vAlign w:val="bottom"/>
          </w:tcPr>
          <w:p>
            <w:pPr>
              <w:spacing w:after="0"/>
              <w:rPr>
                <w:sz w:val="20"/>
                <w:szCs w:val="20"/>
                <w:color w:val="auto"/>
              </w:rPr>
            </w:pPr>
            <w:r>
              <w:rPr>
                <w:rFonts w:ascii="Arial" w:cs="Arial" w:eastAsia="Arial" w:hAnsi="Arial"/>
                <w:sz w:val="18"/>
                <w:szCs w:val="18"/>
                <w:color w:val="auto"/>
              </w:rPr>
              <w:t>Common Stock, par value $.05 per share</w:t>
            </w:r>
          </w:p>
        </w:tc>
        <w:tc>
          <w:tcPr>
            <w:tcW w:w="1600" w:type="dxa"/>
            <w:vAlign w:val="bottom"/>
            <w:gridSpan w:val="2"/>
          </w:tcPr>
          <w:p>
            <w:pPr>
              <w:jc w:val="center"/>
              <w:ind w:right="380"/>
              <w:spacing w:after="0"/>
              <w:rPr>
                <w:sz w:val="20"/>
                <w:szCs w:val="20"/>
                <w:color w:val="auto"/>
              </w:rPr>
            </w:pPr>
            <w:r>
              <w:rPr>
                <w:rFonts w:ascii="Arial" w:cs="Arial" w:eastAsia="Arial" w:hAnsi="Arial"/>
                <w:sz w:val="18"/>
                <w:szCs w:val="18"/>
                <w:color w:val="auto"/>
                <w:w w:val="84"/>
              </w:rPr>
              <w:t>1,000,000 shares</w:t>
            </w:r>
          </w:p>
        </w:tc>
        <w:tc>
          <w:tcPr>
            <w:tcW w:w="1600" w:type="dxa"/>
            <w:vAlign w:val="bottom"/>
            <w:gridSpan w:val="2"/>
          </w:tcPr>
          <w:p>
            <w:pPr>
              <w:jc w:val="center"/>
              <w:ind w:left="319"/>
              <w:spacing w:after="0"/>
              <w:rPr>
                <w:sz w:val="20"/>
                <w:szCs w:val="20"/>
                <w:color w:val="auto"/>
              </w:rPr>
            </w:pPr>
            <w:r>
              <w:rPr>
                <w:rFonts w:ascii="Arial" w:cs="Arial" w:eastAsia="Arial" w:hAnsi="Arial"/>
                <w:sz w:val="18"/>
                <w:szCs w:val="18"/>
                <w:color w:val="auto"/>
                <w:w w:val="89"/>
              </w:rPr>
              <w:t>$9.90(2)</w:t>
            </w:r>
          </w:p>
        </w:tc>
        <w:tc>
          <w:tcPr>
            <w:tcW w:w="2220" w:type="dxa"/>
            <w:vAlign w:val="bottom"/>
          </w:tcPr>
          <w:p>
            <w:pPr>
              <w:jc w:val="center"/>
              <w:ind w:left="142"/>
              <w:spacing w:after="0"/>
              <w:rPr>
                <w:sz w:val="20"/>
                <w:szCs w:val="20"/>
                <w:color w:val="auto"/>
              </w:rPr>
            </w:pPr>
            <w:r>
              <w:rPr>
                <w:rFonts w:ascii="Arial" w:cs="Arial" w:eastAsia="Arial" w:hAnsi="Arial"/>
                <w:sz w:val="18"/>
                <w:szCs w:val="18"/>
                <w:color w:val="auto"/>
                <w:w w:val="89"/>
              </w:rPr>
              <w:t>$9,900,000(2)</w:t>
            </w: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$910.80</w:t>
            </w:r>
          </w:p>
        </w:tc>
      </w:tr>
      <w:tr>
        <w:trPr>
          <w:trHeight w:val="120"/>
        </w:trPr>
        <w:tc>
          <w:tcPr>
            <w:tcW w:w="45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-1240790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-1240790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-742950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-742950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4"/>
          <w:szCs w:val="24"/>
          <w:color w:val="auto"/>
        </w:rPr>
      </w:pPr>
    </w:p>
    <w:p>
      <w:pPr>
        <w:ind w:left="540" w:right="80" w:hanging="532"/>
        <w:spacing w:after="0" w:line="294" w:lineRule="auto"/>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It is not anticipated that either treasury or original issue shares of the Company used under the Employee Stock Purchase Plan. Consequently no such shares are being registered. This number of shares represents the estimated maximum number of presently outstanding shares of Common Stock that could be purchased under the Plan with employee and Company contributions. In accordance with Rule 416(a), the number of shares of Common Stock may be increased from time to time as a result of stock splits, stock dividends or similar events. In addition, under Rule 416(c), this registration statement also covers an indeterminate amount of interests to be offered to be sold pursuant to the Plan.</w:t>
      </w:r>
    </w:p>
    <w:p>
      <w:pPr>
        <w:spacing w:after="0" w:line="196" w:lineRule="exact"/>
        <w:rPr>
          <w:rFonts w:ascii="Arial" w:cs="Arial" w:eastAsia="Arial" w:hAnsi="Arial"/>
          <w:sz w:val="16"/>
          <w:szCs w:val="16"/>
          <w:color w:val="auto"/>
        </w:rPr>
      </w:pPr>
    </w:p>
    <w:p>
      <w:pPr>
        <w:ind w:left="540" w:right="280" w:hanging="532"/>
        <w:spacing w:after="0" w:line="268"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457(h) under the Securities Act of 1933 on the basis of the average high and low sales price of the Common Stock on the Nasdaq National Market System on May 2, 2002.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429895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515620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INCORPORATION OF PRIOR REGISTRATION STATEMENT BY REFERENCE</w:t>
      </w:r>
    </w:p>
    <w:p>
      <w:pPr>
        <w:spacing w:after="0" w:line="231" w:lineRule="exact"/>
        <w:rPr>
          <w:sz w:val="24"/>
          <w:szCs w:val="24"/>
          <w:color w:val="auto"/>
        </w:rPr>
      </w:pPr>
    </w:p>
    <w:p>
      <w:pPr>
        <w:ind w:right="40" w:firstLine="348"/>
        <w:spacing w:after="0" w:line="370" w:lineRule="auto"/>
        <w:rPr>
          <w:sz w:val="20"/>
          <w:szCs w:val="20"/>
          <w:color w:val="auto"/>
        </w:rPr>
      </w:pPr>
      <w:r>
        <w:rPr>
          <w:rFonts w:ascii="Arial" w:cs="Arial" w:eastAsia="Arial" w:hAnsi="Arial"/>
          <w:sz w:val="15"/>
          <w:szCs w:val="15"/>
          <w:color w:val="auto"/>
        </w:rPr>
        <w:t>This Registration Statement relates to the registration of 1,000,000 additional shares of common stock for issuance under the Hawkins, Inc. Employee Stock Purchase Plan, as Amended and Restated (the "Plan"). On June 21, 1991, Hawkins previously registered 700,000 shares for issuance under the Plan. The contents</w:t>
      </w:r>
    </w:p>
    <w:p>
      <w:pPr>
        <w:sectPr>
          <w:pgSz w:w="11900" w:h="16962" w:orient="portrait"/>
          <w:cols w:equalWidth="0" w:num="1">
            <w:col w:w="11420"/>
          </w:cols>
          <w:pgMar w:left="240" w:top="469" w:right="239" w:bottom="0" w:gutter="0" w:footer="0" w:header="0"/>
        </w:sectPr>
      </w:pPr>
    </w:p>
    <w:bookmarkStart w:id="1" w:name="page2"/>
    <w:bookmarkEnd w:id="1"/>
    <w:p>
      <w:pPr>
        <w:ind w:right="60"/>
        <w:spacing w:after="0" w:line="268" w:lineRule="auto"/>
        <w:rPr>
          <w:sz w:val="20"/>
          <w:szCs w:val="20"/>
          <w:color w:val="auto"/>
        </w:rPr>
      </w:pPr>
      <w:r>
        <w:rPr>
          <w:rFonts w:ascii="Arial" w:cs="Arial" w:eastAsia="Arial" w:hAnsi="Arial"/>
          <w:sz w:val="18"/>
          <w:szCs w:val="18"/>
          <w:color w:val="auto"/>
        </w:rPr>
        <w:t>of the prior Registration Statement on Form S-8 (No. 333-41323) is incorporated herein by this reference. Pursuant to instruction E to Form S-8, this Registration Statement omits the information contained in the prior Registration Statement.</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31"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color w:val="auto"/>
        </w:rPr>
        <w:t>In accordance with Rule 428 under the Securities Act of 1933, as amended (the "1933 Act"), the Registrant will distribute a Prospectus prepared in accordance with Part I of Form S-8 to participants in the Plan. We have omitted the Prospectus from this Registration Statement.</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Incorporation of Documents by Reference.</w:t>
      </w:r>
    </w:p>
    <w:p>
      <w:pPr>
        <w:spacing w:after="0" w:line="23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following documents that we have filed or will file with the SEC under Sections 13(a), 13(c), 14 or 15(d) of the Securities Exchange Act of 1934 are incorporated in this Registration Statement by this reference:</w:t>
      </w:r>
    </w:p>
    <w:p>
      <w:pPr>
        <w:spacing w:after="0" w:line="199" w:lineRule="exact"/>
        <w:rPr>
          <w:sz w:val="20"/>
          <w:szCs w:val="20"/>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on Form 10-K for the year ended September 30, 2001.</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December 31, 2001.</w:t>
      </w:r>
    </w:p>
    <w:p>
      <w:pPr>
        <w:spacing w:after="0" w:line="238"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future filings with the SEC under Sections 13(a), 13(c), 14 or 15(d) of the Securities Exchange Act of 1934 until we have sold all of the securities offered by this prospectus.</w:t>
      </w:r>
    </w:p>
    <w:p>
      <w:pPr>
        <w:spacing w:after="0" w:line="199"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Hawkins common stock contained in our Registration Statement on Form 8 dated May 24,1991, constituting Amendment No 2 to the Registration Statement on Form 10 dated March 1, 1975, registering such shares under the Exchange Act (Commission File No. 0-7647), and any amendments or reports filed to update its description.</w:t>
      </w:r>
    </w:p>
    <w:p>
      <w:pPr>
        <w:spacing w:after="0" w:line="200" w:lineRule="exact"/>
        <w:rPr>
          <w:sz w:val="20"/>
          <w:szCs w:val="20"/>
          <w:color w:val="auto"/>
        </w:rPr>
      </w:pPr>
    </w:p>
    <w:p>
      <w:pPr>
        <w:spacing w:after="0" w:line="20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Interests of Named Experts and Counsel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required.</w:t>
      </w:r>
    </w:p>
    <w:p>
      <w:pPr>
        <w:spacing w:after="0" w:line="200" w:lineRule="exact"/>
        <w:rPr>
          <w:sz w:val="20"/>
          <w:szCs w:val="20"/>
          <w:color w:val="auto"/>
        </w:rPr>
      </w:pPr>
    </w:p>
    <w:p>
      <w:pPr>
        <w:spacing w:after="0" w:line="23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Indemnification of Directors and Officers</w:t>
      </w:r>
    </w:p>
    <w:p>
      <w:pPr>
        <w:spacing w:after="0" w:line="231"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Article III, Section 13 of the Company's Second Amended and Superseding By-laws, as amended through February 15, 1995, provides for indemnification of Company officers and directors to the extent legally permissible under Minnesota Statutes, Section 302A.521. This statute provides for the indemnification by corporations of persons made or threatened to be made parties to a proceeding by reason of their former or present official capacity with the corporation against judgments, penalties, and fines incurred in connection with the proceeding. To qualify for such indemnification, the person must not have been indemnified by another source and must have acted in good faith, received no improper personal benefit, had no reasonable cause to believe the conduct was unlawful (with respect to criminal proceedings), and reasonably believed that the conduct was in the best interests of the corporation.</w:t>
      </w:r>
    </w:p>
    <w:p>
      <w:pPr>
        <w:spacing w:after="0" w:line="174" w:lineRule="exact"/>
        <w:rPr>
          <w:sz w:val="20"/>
          <w:szCs w:val="20"/>
          <w:color w:val="auto"/>
        </w:rPr>
      </w:pPr>
    </w:p>
    <w:p>
      <w:pPr>
        <w:ind w:right="100" w:firstLine="351"/>
        <w:spacing w:after="0" w:line="370" w:lineRule="auto"/>
        <w:rPr>
          <w:sz w:val="20"/>
          <w:szCs w:val="20"/>
          <w:color w:val="auto"/>
        </w:rPr>
      </w:pPr>
      <w:r>
        <w:rPr>
          <w:rFonts w:ascii="Arial" w:cs="Arial" w:eastAsia="Arial" w:hAnsi="Arial"/>
          <w:sz w:val="15"/>
          <w:szCs w:val="15"/>
          <w:color w:val="auto"/>
        </w:rPr>
        <w:t>Hawkins also maintains directors' and officers' liability insurance coverage that insures Hawkins and its officers and directors against damages, judgements, settlements, costs, charges and expenses incurred by reason of wrongful acts committed by such persons in their capacities as directors and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8320" w:type="dxa"/>
            <w:vAlign w:val="bottom"/>
            <w:gridSpan w:val="3"/>
          </w:tcPr>
          <w:p>
            <w:pPr>
              <w:ind w:left="20"/>
              <w:spacing w:after="0"/>
              <w:rPr>
                <w:sz w:val="20"/>
                <w:szCs w:val="20"/>
                <w:color w:val="auto"/>
              </w:rPr>
            </w:pPr>
            <w:r>
              <w:rPr>
                <w:rFonts w:ascii="Arial" w:cs="Arial" w:eastAsia="Arial" w:hAnsi="Arial"/>
                <w:sz w:val="18"/>
                <w:szCs w:val="18"/>
                <w:b w:val="1"/>
                <w:bCs w:val="1"/>
                <w:color w:val="auto"/>
              </w:rPr>
              <w:t>Exhibits</w:t>
            </w:r>
          </w:p>
        </w:tc>
      </w:tr>
      <w:tr>
        <w:trPr>
          <w:trHeight w:val="354"/>
        </w:trPr>
        <w:tc>
          <w:tcPr>
            <w:tcW w:w="700" w:type="dxa"/>
            <w:vAlign w:val="bottom"/>
          </w:tcPr>
          <w:p>
            <w:pPr>
              <w:jc w:val="center"/>
              <w:ind w:left="146"/>
              <w:spacing w:after="0"/>
              <w:rPr>
                <w:sz w:val="20"/>
                <w:szCs w:val="20"/>
                <w:color w:val="auto"/>
              </w:rPr>
            </w:pPr>
            <w:r>
              <w:rPr>
                <w:rFonts w:ascii="Arial" w:cs="Arial" w:eastAsia="Arial" w:hAnsi="Arial"/>
                <w:sz w:val="14"/>
                <w:szCs w:val="14"/>
                <w:b w:val="1"/>
                <w:bCs w:val="1"/>
                <w:color w:val="auto"/>
                <w:w w:val="94"/>
              </w:rPr>
              <w:t>Exhibit</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40" w:type="dxa"/>
            <w:vAlign w:val="bottom"/>
          </w:tcPr>
          <w:p>
            <w:pPr>
              <w:spacing w:after="0"/>
              <w:rPr>
                <w:sz w:val="24"/>
                <w:szCs w:val="24"/>
                <w:color w:val="auto"/>
              </w:rPr>
            </w:pPr>
          </w:p>
        </w:tc>
      </w:tr>
      <w:tr>
        <w:trPr>
          <w:trHeight w:val="174"/>
        </w:trPr>
        <w:tc>
          <w:tcPr>
            <w:tcW w:w="700" w:type="dxa"/>
            <w:vAlign w:val="bottom"/>
          </w:tcPr>
          <w:p>
            <w:pPr>
              <w:jc w:val="center"/>
              <w:ind w:left="146"/>
              <w:spacing w:after="0"/>
              <w:rPr>
                <w:sz w:val="20"/>
                <w:szCs w:val="20"/>
                <w:color w:val="auto"/>
              </w:rPr>
            </w:pPr>
            <w:r>
              <w:rPr>
                <w:rFonts w:ascii="Arial" w:cs="Arial" w:eastAsia="Arial" w:hAnsi="Arial"/>
                <w:sz w:val="14"/>
                <w:szCs w:val="14"/>
                <w:b w:val="1"/>
                <w:bCs w:val="1"/>
                <w:color w:val="auto"/>
                <w:w w:val="90"/>
              </w:rPr>
              <w:t>Number</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40" w:type="dxa"/>
            <w:vAlign w:val="bottom"/>
          </w:tcPr>
          <w:p>
            <w:pPr>
              <w:ind w:left="3480"/>
              <w:spacing w:after="0"/>
              <w:rPr>
                <w:sz w:val="20"/>
                <w:szCs w:val="20"/>
                <w:color w:val="auto"/>
              </w:rPr>
            </w:pPr>
            <w:r>
              <w:rPr>
                <w:rFonts w:ascii="Arial" w:cs="Arial" w:eastAsia="Arial" w:hAnsi="Arial"/>
                <w:sz w:val="14"/>
                <w:szCs w:val="14"/>
                <w:b w:val="1"/>
                <w:bCs w:val="1"/>
                <w:color w:val="auto"/>
              </w:rPr>
              <w:t>Description</w:t>
            </w:r>
          </w:p>
        </w:tc>
      </w:tr>
      <w:tr>
        <w:trPr>
          <w:trHeight w:val="105"/>
        </w:trPr>
        <w:tc>
          <w:tcPr>
            <w:tcW w:w="7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76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jc w:val="right"/>
              <w:ind w:right="112"/>
              <w:spacing w:after="0"/>
              <w:rPr>
                <w:sz w:val="20"/>
                <w:szCs w:val="20"/>
                <w:color w:val="auto"/>
              </w:rPr>
            </w:pPr>
            <w:r>
              <w:rPr>
                <w:rFonts w:ascii="Arial" w:cs="Arial" w:eastAsia="Arial" w:hAnsi="Arial"/>
                <w:sz w:val="18"/>
                <w:szCs w:val="18"/>
                <w:color w:val="auto"/>
              </w:rPr>
              <w:t>(4.1)*</w:t>
            </w:r>
          </w:p>
        </w:tc>
        <w:tc>
          <w:tcPr>
            <w:tcW w:w="7620" w:type="dxa"/>
            <w:vAlign w:val="bottom"/>
            <w:gridSpan w:val="2"/>
          </w:tcPr>
          <w:p>
            <w:pPr>
              <w:ind w:left="120"/>
              <w:spacing w:after="0"/>
              <w:rPr>
                <w:sz w:val="20"/>
                <w:szCs w:val="20"/>
                <w:color w:val="auto"/>
              </w:rPr>
            </w:pPr>
            <w:r>
              <w:rPr>
                <w:rFonts w:ascii="Arial" w:cs="Arial" w:eastAsia="Arial" w:hAnsi="Arial"/>
                <w:sz w:val="18"/>
                <w:szCs w:val="18"/>
                <w:color w:val="auto"/>
                <w:w w:val="96"/>
              </w:rPr>
              <w:t>Amended and Second Restated Articles of Incorporation as amended through February 27, 2001</w:t>
            </w:r>
          </w:p>
        </w:tc>
      </w:tr>
      <w:tr>
        <w:trPr>
          <w:trHeight w:val="216"/>
        </w:trPr>
        <w:tc>
          <w:tcPr>
            <w:tcW w:w="1260" w:type="dxa"/>
            <w:vAlign w:val="bottom"/>
          </w:tcPr>
          <w:p>
            <w:pPr>
              <w:spacing w:after="0"/>
              <w:rPr>
                <w:sz w:val="18"/>
                <w:szCs w:val="18"/>
                <w:color w:val="auto"/>
              </w:rPr>
            </w:pPr>
          </w:p>
        </w:tc>
        <w:tc>
          <w:tcPr>
            <w:tcW w:w="7620" w:type="dxa"/>
            <w:vAlign w:val="bottom"/>
            <w:gridSpan w:val="2"/>
          </w:tcPr>
          <w:p>
            <w:pPr>
              <w:ind w:left="120"/>
              <w:spacing w:after="0"/>
              <w:rPr>
                <w:sz w:val="20"/>
                <w:szCs w:val="20"/>
                <w:color w:val="auto"/>
              </w:rPr>
            </w:pPr>
            <w:r>
              <w:rPr>
                <w:rFonts w:ascii="Arial" w:cs="Arial" w:eastAsia="Arial" w:hAnsi="Arial"/>
                <w:sz w:val="18"/>
                <w:szCs w:val="18"/>
                <w:color w:val="auto"/>
                <w:w w:val="90"/>
              </w:rPr>
              <w:t>(incorporated by reference to Exhibit 3.1 contained in Hawkins' Annual Report on Form 10-K for the year</w:t>
            </w:r>
          </w:p>
        </w:tc>
      </w:tr>
      <w:tr>
        <w:trPr>
          <w:trHeight w:val="222"/>
        </w:trPr>
        <w:tc>
          <w:tcPr>
            <w:tcW w:w="1260" w:type="dxa"/>
            <w:vAlign w:val="bottom"/>
          </w:tcPr>
          <w:p>
            <w:pPr>
              <w:spacing w:after="0"/>
              <w:rPr>
                <w:sz w:val="19"/>
                <w:szCs w:val="19"/>
                <w:color w:val="auto"/>
              </w:rPr>
            </w:pPr>
          </w:p>
        </w:tc>
        <w:tc>
          <w:tcPr>
            <w:tcW w:w="7620" w:type="dxa"/>
            <w:vAlign w:val="bottom"/>
            <w:gridSpan w:val="2"/>
          </w:tcPr>
          <w:p>
            <w:pPr>
              <w:ind w:left="120"/>
              <w:spacing w:after="0"/>
              <w:rPr>
                <w:sz w:val="20"/>
                <w:szCs w:val="20"/>
                <w:color w:val="auto"/>
              </w:rPr>
            </w:pPr>
            <w:r>
              <w:rPr>
                <w:rFonts w:ascii="Arial" w:cs="Arial" w:eastAsia="Arial" w:hAnsi="Arial"/>
                <w:sz w:val="18"/>
                <w:szCs w:val="18"/>
                <w:color w:val="auto"/>
              </w:rPr>
              <w:t>ended September 30, 2001)</w:t>
            </w:r>
          </w:p>
        </w:tc>
      </w:tr>
      <w:tr>
        <w:trPr>
          <w:trHeight w:val="426"/>
        </w:trPr>
        <w:tc>
          <w:tcPr>
            <w:tcW w:w="1260" w:type="dxa"/>
            <w:vAlign w:val="bottom"/>
          </w:tcPr>
          <w:p>
            <w:pPr>
              <w:jc w:val="right"/>
              <w:ind w:right="112"/>
              <w:spacing w:after="0"/>
              <w:rPr>
                <w:sz w:val="20"/>
                <w:szCs w:val="20"/>
                <w:color w:val="auto"/>
              </w:rPr>
            </w:pPr>
            <w:r>
              <w:rPr>
                <w:rFonts w:ascii="Arial" w:cs="Arial" w:eastAsia="Arial" w:hAnsi="Arial"/>
                <w:sz w:val="18"/>
                <w:szCs w:val="18"/>
                <w:color w:val="auto"/>
              </w:rPr>
              <w:t>(4.2)*</w:t>
            </w:r>
          </w:p>
        </w:tc>
        <w:tc>
          <w:tcPr>
            <w:tcW w:w="7620" w:type="dxa"/>
            <w:vAlign w:val="bottom"/>
            <w:gridSpan w:val="2"/>
          </w:tcPr>
          <w:p>
            <w:pPr>
              <w:ind w:left="120"/>
              <w:spacing w:after="0"/>
              <w:rPr>
                <w:sz w:val="20"/>
                <w:szCs w:val="20"/>
                <w:color w:val="auto"/>
              </w:rPr>
            </w:pPr>
            <w:r>
              <w:rPr>
                <w:rFonts w:ascii="Arial" w:cs="Arial" w:eastAsia="Arial" w:hAnsi="Arial"/>
                <w:sz w:val="18"/>
                <w:szCs w:val="18"/>
                <w:color w:val="auto"/>
                <w:w w:val="91"/>
              </w:rPr>
              <w:t>Second Amended and Superseding By-Laws as amended through February 15, 1995 (incorporated by</w:t>
            </w:r>
          </w:p>
        </w:tc>
      </w:tr>
      <w:tr>
        <w:trPr>
          <w:trHeight w:val="216"/>
        </w:trPr>
        <w:tc>
          <w:tcPr>
            <w:tcW w:w="1260" w:type="dxa"/>
            <w:vAlign w:val="bottom"/>
          </w:tcPr>
          <w:p>
            <w:pPr>
              <w:spacing w:after="0"/>
              <w:rPr>
                <w:sz w:val="18"/>
                <w:szCs w:val="18"/>
                <w:color w:val="auto"/>
              </w:rPr>
            </w:pPr>
          </w:p>
        </w:tc>
        <w:tc>
          <w:tcPr>
            <w:tcW w:w="7620" w:type="dxa"/>
            <w:vAlign w:val="bottom"/>
            <w:gridSpan w:val="2"/>
          </w:tcPr>
          <w:p>
            <w:pPr>
              <w:ind w:left="120"/>
              <w:spacing w:after="0"/>
              <w:rPr>
                <w:sz w:val="20"/>
                <w:szCs w:val="20"/>
                <w:color w:val="auto"/>
              </w:rPr>
            </w:pPr>
            <w:r>
              <w:rPr>
                <w:rFonts w:ascii="Arial" w:cs="Arial" w:eastAsia="Arial" w:hAnsi="Arial"/>
                <w:sz w:val="18"/>
                <w:szCs w:val="18"/>
                <w:color w:val="auto"/>
                <w:w w:val="88"/>
              </w:rPr>
              <w:t>reference to Exhibit 3.2 contained in Hawkins' Annual Report on Form 10-K for the year ended September</w:t>
            </w:r>
          </w:p>
        </w:tc>
      </w:tr>
      <w:tr>
        <w:trPr>
          <w:trHeight w:val="222"/>
        </w:trPr>
        <w:tc>
          <w:tcPr>
            <w:tcW w:w="1260" w:type="dxa"/>
            <w:vAlign w:val="bottom"/>
          </w:tcPr>
          <w:p>
            <w:pPr>
              <w:spacing w:after="0"/>
              <w:rPr>
                <w:sz w:val="19"/>
                <w:szCs w:val="19"/>
                <w:color w:val="auto"/>
              </w:rPr>
            </w:pPr>
          </w:p>
        </w:tc>
        <w:tc>
          <w:tcPr>
            <w:tcW w:w="7620" w:type="dxa"/>
            <w:vAlign w:val="bottom"/>
            <w:gridSpan w:val="2"/>
          </w:tcPr>
          <w:p>
            <w:pPr>
              <w:ind w:left="120"/>
              <w:spacing w:after="0"/>
              <w:rPr>
                <w:sz w:val="20"/>
                <w:szCs w:val="20"/>
                <w:color w:val="auto"/>
              </w:rPr>
            </w:pPr>
            <w:r>
              <w:rPr>
                <w:rFonts w:ascii="Arial" w:cs="Arial" w:eastAsia="Arial" w:hAnsi="Arial"/>
                <w:sz w:val="18"/>
                <w:szCs w:val="18"/>
                <w:color w:val="auto"/>
              </w:rPr>
              <w:t>30, 1995)</w:t>
            </w:r>
          </w:p>
        </w:tc>
      </w:tr>
      <w:tr>
        <w:trPr>
          <w:trHeight w:val="432"/>
        </w:trPr>
        <w:tc>
          <w:tcPr>
            <w:tcW w:w="126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7620" w:type="dxa"/>
            <w:vAlign w:val="bottom"/>
            <w:gridSpan w:val="2"/>
          </w:tcPr>
          <w:p>
            <w:pPr>
              <w:ind w:left="120"/>
              <w:spacing w:after="0"/>
              <w:rPr>
                <w:sz w:val="20"/>
                <w:szCs w:val="20"/>
                <w:color w:val="auto"/>
              </w:rPr>
            </w:pPr>
            <w:r>
              <w:rPr>
                <w:rFonts w:ascii="Arial" w:cs="Arial" w:eastAsia="Arial" w:hAnsi="Arial"/>
                <w:sz w:val="18"/>
                <w:szCs w:val="18"/>
                <w:color w:val="auto"/>
              </w:rPr>
              <w:t>Hawkins, Inc. Employee Stock Purchase Plan, as Amended and Restated</w:t>
            </w:r>
          </w:p>
        </w:tc>
      </w:tr>
      <w:tr>
        <w:trPr>
          <w:trHeight w:val="432"/>
        </w:trPr>
        <w:tc>
          <w:tcPr>
            <w:tcW w:w="1260" w:type="dxa"/>
            <w:vAlign w:val="bottom"/>
          </w:tcPr>
          <w:p>
            <w:pPr>
              <w:jc w:val="right"/>
              <w:ind w:right="32"/>
              <w:spacing w:after="0"/>
              <w:rPr>
                <w:sz w:val="20"/>
                <w:szCs w:val="20"/>
                <w:color w:val="auto"/>
              </w:rPr>
            </w:pPr>
            <w:r>
              <w:rPr>
                <w:rFonts w:ascii="Arial" w:cs="Arial" w:eastAsia="Arial" w:hAnsi="Arial"/>
                <w:sz w:val="18"/>
                <w:szCs w:val="18"/>
                <w:color w:val="auto"/>
              </w:rPr>
              <w:t>(23.1)**</w:t>
            </w:r>
          </w:p>
        </w:tc>
        <w:tc>
          <w:tcPr>
            <w:tcW w:w="7620" w:type="dxa"/>
            <w:vAlign w:val="bottom"/>
            <w:gridSpan w:val="2"/>
          </w:tcPr>
          <w:p>
            <w:pPr>
              <w:ind w:left="120"/>
              <w:spacing w:after="0"/>
              <w:rPr>
                <w:sz w:val="20"/>
                <w:szCs w:val="20"/>
                <w:color w:val="auto"/>
              </w:rPr>
            </w:pPr>
            <w:r>
              <w:rPr>
                <w:rFonts w:ascii="Arial" w:cs="Arial" w:eastAsia="Arial" w:hAnsi="Arial"/>
                <w:sz w:val="18"/>
                <w:szCs w:val="18"/>
                <w:color w:val="auto"/>
              </w:rPr>
              <w:t>Consent of Deloitte &amp; Touche LLP</w:t>
            </w:r>
          </w:p>
        </w:tc>
      </w:tr>
      <w:tr>
        <w:trPr>
          <w:trHeight w:val="432"/>
        </w:trPr>
        <w:tc>
          <w:tcPr>
            <w:tcW w:w="1260" w:type="dxa"/>
            <w:vAlign w:val="bottom"/>
          </w:tcPr>
          <w:p>
            <w:pPr>
              <w:jc w:val="right"/>
              <w:ind w:right="32"/>
              <w:spacing w:after="0"/>
              <w:rPr>
                <w:sz w:val="20"/>
                <w:szCs w:val="20"/>
                <w:color w:val="auto"/>
              </w:rPr>
            </w:pPr>
            <w:r>
              <w:rPr>
                <w:rFonts w:ascii="Arial" w:cs="Arial" w:eastAsia="Arial" w:hAnsi="Arial"/>
                <w:sz w:val="18"/>
                <w:szCs w:val="18"/>
                <w:color w:val="auto"/>
              </w:rPr>
              <w:t>(24.1)**</w:t>
            </w:r>
          </w:p>
        </w:tc>
        <w:tc>
          <w:tcPr>
            <w:tcW w:w="7620" w:type="dxa"/>
            <w:vAlign w:val="bottom"/>
            <w:gridSpan w:val="2"/>
          </w:tcPr>
          <w:p>
            <w:pPr>
              <w:ind w:left="120"/>
              <w:spacing w:after="0"/>
              <w:rPr>
                <w:sz w:val="20"/>
                <w:szCs w:val="20"/>
                <w:color w:val="auto"/>
              </w:rPr>
            </w:pPr>
            <w:r>
              <w:rPr>
                <w:rFonts w:ascii="Arial" w:cs="Arial" w:eastAsia="Arial" w:hAnsi="Arial"/>
                <w:sz w:val="18"/>
                <w:szCs w:val="18"/>
                <w:color w:val="auto"/>
              </w:rPr>
              <w:t>Power of Attorney (see signature page)</w:t>
            </w:r>
          </w:p>
        </w:tc>
      </w:tr>
      <w:tr>
        <w:trPr>
          <w:trHeight w:val="120"/>
        </w:trPr>
        <w:tc>
          <w:tcPr>
            <w:tcW w:w="12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2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1" w:lineRule="exact"/>
        <w:rPr>
          <w:sz w:val="20"/>
          <w:szCs w:val="20"/>
          <w:color w:val="auto"/>
        </w:rPr>
      </w:pP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ectPr>
          <w:pgSz w:w="11900" w:h="16838" w:orient="portrait"/>
          <w:cols w:equalWidth="0" w:num="1">
            <w:col w:w="11420"/>
          </w:cols>
          <w:pgMar w:left="240" w:top="131" w:right="239" w:bottom="0" w:gutter="0" w:footer="0" w:header="0"/>
        </w:sectPr>
      </w:pPr>
    </w:p>
    <w:bookmarkStart w:id="2" w:name="page3"/>
    <w:bookmarkEnd w:id="2"/>
    <w:p>
      <w:pPr>
        <w:spacing w:after="0"/>
        <w:tabs>
          <w:tab w:leader="none" w:pos="700" w:val="left"/>
          <w:tab w:leader="none" w:pos="1940" w:val="left"/>
        </w:tabs>
        <w:rPr>
          <w:sz w:val="20"/>
          <w:szCs w:val="20"/>
          <w:color w:val="auto"/>
        </w:rPr>
      </w:pPr>
      <w:r>
        <w:rPr>
          <w:rFonts w:ascii="Arial" w:cs="Arial" w:eastAsia="Arial" w:hAnsi="Arial"/>
          <w:sz w:val="18"/>
          <w:szCs w:val="18"/>
          <w:b w:val="1"/>
          <w:bCs w:val="1"/>
          <w:color w:val="auto"/>
        </w:rPr>
        <w:t>Item 9.</w:t>
        <w:tab/>
        <w:t>Undertakings.</w:t>
      </w:r>
      <w:r>
        <w:rPr>
          <w:sz w:val="20"/>
          <w:szCs w:val="20"/>
          <w:color w:val="auto"/>
        </w:rPr>
        <w:tab/>
      </w:r>
      <w:r>
        <w:rPr>
          <w:rFonts w:ascii="Arial" w:cs="Arial" w:eastAsia="Arial" w:hAnsi="Arial"/>
          <w:sz w:val="16"/>
          <w:szCs w:val="16"/>
          <w:color w:val="auto"/>
        </w:rPr>
        <w:t>Undertakings required by Item 512 (a), (b) and (h) of Regulation S-K:</w:t>
      </w:r>
    </w:p>
    <w:p>
      <w:pPr>
        <w:spacing w:after="0" w:line="245" w:lineRule="exact"/>
        <w:rPr>
          <w:sz w:val="20"/>
          <w:szCs w:val="20"/>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38" w:lineRule="exact"/>
        <w:rPr>
          <w:rFonts w:ascii="Arial" w:cs="Arial" w:eastAsia="Arial" w:hAnsi="Arial"/>
          <w:sz w:val="18"/>
          <w:szCs w:val="18"/>
          <w:color w:val="auto"/>
        </w:rPr>
      </w:pPr>
    </w:p>
    <w:p>
      <w:pPr>
        <w:ind w:left="1620" w:hanging="532"/>
        <w:spacing w:after="0" w:line="290" w:lineRule="auto"/>
        <w:tabs>
          <w:tab w:leader="none" w:pos="1620" w:val="left"/>
        </w:tabs>
        <w:numPr>
          <w:ilvl w:val="2"/>
          <w:numId w:val="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99" w:lineRule="exact"/>
        <w:rPr>
          <w:rFonts w:ascii="Arial" w:cs="Arial" w:eastAsia="Arial" w:hAnsi="Arial"/>
          <w:sz w:val="16"/>
          <w:szCs w:val="16"/>
          <w:color w:val="auto"/>
        </w:rPr>
      </w:pPr>
    </w:p>
    <w:p>
      <w:pPr>
        <w:ind w:left="1620" w:right="200" w:hanging="532"/>
        <w:spacing w:after="0" w:line="268" w:lineRule="auto"/>
        <w:tabs>
          <w:tab w:leader="none" w:pos="162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6" w:lineRule="exact"/>
        <w:rPr>
          <w:sz w:val="20"/>
          <w:szCs w:val="20"/>
          <w:color w:val="auto"/>
        </w:rPr>
      </w:pPr>
    </w:p>
    <w:p>
      <w:pPr>
        <w:jc w:val="both"/>
        <w:ind w:left="540" w:right="160"/>
        <w:spacing w:after="0" w:line="259"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(a)(1)(i) and (a)(1)(ii)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periodic reports filed by the registrant pursuant to Section 13 or Section 15(d) of the Securities Exchange Act of 1934 that are incorporated by reference in the Registration Statement.</w:t>
      </w:r>
    </w:p>
    <w:p>
      <w:pPr>
        <w:spacing w:after="0" w:line="208" w:lineRule="exact"/>
        <w:rPr>
          <w:sz w:val="20"/>
          <w:szCs w:val="20"/>
          <w:color w:val="auto"/>
        </w:rPr>
      </w:pPr>
    </w:p>
    <w:p>
      <w:pPr>
        <w:ind w:left="1080" w:hanging="532"/>
        <w:spacing w:after="0" w:line="259" w:lineRule="auto"/>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7" w:lineRule="exact"/>
        <w:rPr>
          <w:rFonts w:ascii="Arial" w:cs="Arial" w:eastAsia="Arial" w:hAnsi="Arial"/>
          <w:sz w:val="18"/>
          <w:szCs w:val="18"/>
          <w:color w:val="auto"/>
        </w:rPr>
      </w:pPr>
    </w:p>
    <w:p>
      <w:pPr>
        <w:ind w:left="1080" w:right="40" w:hanging="532"/>
        <w:spacing w:after="0" w:line="268" w:lineRule="auto"/>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200" w:lineRule="exact"/>
        <w:rPr>
          <w:rFonts w:ascii="Arial" w:cs="Arial" w:eastAsia="Arial" w:hAnsi="Arial"/>
          <w:sz w:val="18"/>
          <w:szCs w:val="18"/>
          <w:color w:val="auto"/>
        </w:rPr>
      </w:pPr>
    </w:p>
    <w:p>
      <w:pPr>
        <w:spacing w:after="0" w:line="256" w:lineRule="exact"/>
        <w:rPr>
          <w:rFonts w:ascii="Arial" w:cs="Arial" w:eastAsia="Arial" w:hAnsi="Arial"/>
          <w:sz w:val="18"/>
          <w:szCs w:val="18"/>
          <w:color w:val="auto"/>
        </w:rPr>
      </w:pPr>
    </w:p>
    <w:p>
      <w:pPr>
        <w:ind w:left="540" w:hanging="532"/>
        <w:spacing w:after="0" w:line="255"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-866140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90" w:lineRule="exact"/>
        <w:rPr>
          <w:sz w:val="20"/>
          <w:szCs w:val="20"/>
          <w:color w:val="auto"/>
        </w:rPr>
      </w:pPr>
    </w:p>
    <w:p>
      <w:pPr>
        <w:ind w:left="540" w:right="480" w:hanging="532"/>
        <w:spacing w:after="0" w:line="332"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By-Laws of the Company and an existing insurance policy provide for the indemnification of members of the Board of Directors and Company officers for certain liabilities and costs incurred by them in connection with performance of their duties, including administration of the Plan.</w:t>
      </w:r>
    </w:p>
    <w:p>
      <w:pPr>
        <w:spacing w:after="0" w:line="139"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Minneapolis, State of Minnesota, on May 2, 2002.</w:t>
      </w:r>
    </w:p>
    <w:p>
      <w:pPr>
        <w:spacing w:after="0" w:line="200" w:lineRule="exact"/>
        <w:rPr>
          <w:sz w:val="20"/>
          <w:szCs w:val="20"/>
          <w:color w:val="auto"/>
        </w:rPr>
      </w:pPr>
    </w:p>
    <w:p>
      <w:pPr>
        <w:spacing w:after="0" w:line="23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HAWKINS, INC.</w:t>
      </w:r>
    </w:p>
    <w:p>
      <w:pPr>
        <w:spacing w:after="0" w:line="231" w:lineRule="exact"/>
        <w:rPr>
          <w:sz w:val="20"/>
          <w:szCs w:val="20"/>
          <w:color w:val="auto"/>
        </w:rPr>
      </w:pPr>
    </w:p>
    <w:p>
      <w:pPr>
        <w:ind w:left="5500"/>
        <w:spacing w:after="0"/>
        <w:tabs>
          <w:tab w:leader="none" w:pos="7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KURT R. NORMAN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77470</wp:posOffset>
            </wp:positionV>
            <wp:extent cx="32626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62630" cy="21590"/>
                    </a:xfrm>
                    <a:prstGeom prst="rect">
                      <a:avLst/>
                    </a:prstGeom>
                    <a:noFill/>
                  </pic:spPr>
                </pic:pic>
              </a:graphicData>
            </a:graphic>
          </wp:anchor>
        </w:drawing>
      </w:r>
    </w:p>
    <w:p>
      <w:pPr>
        <w:spacing w:after="0" w:line="232"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Kurt R. Norman, President</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Kurt R. Norman as his or her true and lawful attorney-in-fact and agent with full powers of substitution and resubstitution, for him and in his name, place and stead, in any and all capacities, to sign any or all amendments (including post-effective amendments) to this Registration Statement, and to file the same, with all exhibits thereto, and other documents in connection therewith, with the Securities and Exchange Commission, granting unto said attorney-in-fact and agent full power and authority to do and perform</w:t>
      </w:r>
    </w:p>
    <w:p>
      <w:pPr>
        <w:sectPr>
          <w:pgSz w:w="11900" w:h="16838" w:orient="portrait"/>
          <w:cols w:equalWidth="0" w:num="1">
            <w:col w:w="11420"/>
          </w:cols>
          <w:pgMar w:left="240" w:top="341" w:right="239" w:bottom="0" w:gutter="0" w:footer="0" w:header="0"/>
        </w:sectPr>
      </w:pPr>
    </w:p>
    <w:bookmarkStart w:id="3" w:name="page4"/>
    <w:bookmarkEnd w:id="3"/>
    <w:p>
      <w:pPr>
        <w:ind w:right="300"/>
        <w:spacing w:after="0" w:line="370" w:lineRule="auto"/>
        <w:rPr>
          <w:sz w:val="20"/>
          <w:szCs w:val="20"/>
          <w:color w:val="auto"/>
        </w:rPr>
      </w:pPr>
      <w:r>
        <w:rPr>
          <w:rFonts w:ascii="Arial" w:cs="Arial" w:eastAsia="Arial" w:hAnsi="Arial"/>
          <w:sz w:val="15"/>
          <w:szCs w:val="15"/>
          <w:color w:val="auto"/>
        </w:rPr>
        <w:t>each and every act and thing requisite or necessary to be done in and about the premises, as fully to all intents and purposes as he might or could do in person, hereby ratifying and confirming all that said attorney-in-fact and agent or his substitute or substitutes, may lawfully do or cause to be done by virtue thereof.</w:t>
      </w:r>
    </w:p>
    <w:p>
      <w:pPr>
        <w:spacing w:after="0" w:line="116"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on May 2, 2002 in the capacities indicated.</w:t>
      </w:r>
    </w:p>
    <w:p>
      <w:pPr>
        <w:spacing w:after="0" w:line="182" w:lineRule="exact"/>
        <w:rPr>
          <w:sz w:val="20"/>
          <w:szCs w:val="20"/>
          <w:color w:val="auto"/>
        </w:rPr>
      </w:pPr>
    </w:p>
    <w:p>
      <w:pPr>
        <w:ind w:left="2520"/>
        <w:spacing w:after="0"/>
        <w:tabs>
          <w:tab w:leader="none" w:pos="85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jc w:val="center"/>
              <w:ind w:right="172"/>
              <w:spacing w:after="0"/>
              <w:rPr>
                <w:sz w:val="20"/>
                <w:szCs w:val="20"/>
                <w:color w:val="auto"/>
              </w:rPr>
            </w:pPr>
            <w:r>
              <w:rPr>
                <w:rFonts w:ascii="Arial" w:cs="Arial" w:eastAsia="Arial" w:hAnsi="Arial"/>
                <w:sz w:val="18"/>
                <w:szCs w:val="18"/>
                <w:color w:val="auto"/>
                <w:w w:val="96"/>
              </w:rPr>
              <w:t>/s/ JOHN R. HAWKINS</w:t>
            </w:r>
          </w:p>
        </w:tc>
        <w:tc>
          <w:tcPr>
            <w:tcW w:w="5560" w:type="dxa"/>
            <w:vAlign w:val="bottom"/>
          </w:tcPr>
          <w:p>
            <w:pPr>
              <w:ind w:left="340"/>
              <w:spacing w:after="0"/>
              <w:rPr>
                <w:sz w:val="20"/>
                <w:szCs w:val="20"/>
                <w:color w:val="auto"/>
              </w:rPr>
            </w:pPr>
            <w:r>
              <w:rPr>
                <w:rFonts w:ascii="Arial" w:cs="Arial" w:eastAsia="Arial" w:hAnsi="Arial"/>
                <w:sz w:val="18"/>
                <w:szCs w:val="18"/>
                <w:color w:val="auto"/>
              </w:rPr>
              <w:t>Chief Executive Officer and</w:t>
            </w:r>
          </w:p>
        </w:tc>
        <w:tc>
          <w:tcPr>
            <w:tcW w:w="0" w:type="dxa"/>
            <w:vAlign w:val="bottom"/>
          </w:tcPr>
          <w:p>
            <w:pPr>
              <w:spacing w:after="0"/>
              <w:rPr>
                <w:sz w:val="1"/>
                <w:szCs w:val="1"/>
                <w:color w:val="auto"/>
              </w:rPr>
            </w:pPr>
          </w:p>
        </w:tc>
      </w:tr>
      <w:tr>
        <w:trPr>
          <w:trHeight w:val="154"/>
        </w:trPr>
        <w:tc>
          <w:tcPr>
            <w:tcW w:w="5600" w:type="dxa"/>
            <w:vAlign w:val="bottom"/>
            <w:tcBorders>
              <w:bottom w:val="single" w:sz="8" w:color="808080"/>
            </w:tcBorders>
          </w:tcPr>
          <w:p>
            <w:pPr>
              <w:spacing w:after="0"/>
              <w:rPr>
                <w:sz w:val="13"/>
                <w:szCs w:val="13"/>
                <w:color w:val="auto"/>
              </w:rPr>
            </w:pPr>
          </w:p>
        </w:tc>
        <w:tc>
          <w:tcPr>
            <w:tcW w:w="5560" w:type="dxa"/>
            <w:vAlign w:val="bottom"/>
          </w:tcPr>
          <w:p>
            <w:pPr>
              <w:ind w:left="340"/>
              <w:spacing w:after="0" w:line="154" w:lineRule="exact"/>
              <w:rPr>
                <w:sz w:val="20"/>
                <w:szCs w:val="20"/>
                <w:color w:val="auto"/>
              </w:rPr>
            </w:pPr>
            <w:r>
              <w:rPr>
                <w:rFonts w:ascii="Arial" w:cs="Arial" w:eastAsia="Arial" w:hAnsi="Arial"/>
                <w:sz w:val="16"/>
                <w:szCs w:val="16"/>
                <w:color w:val="auto"/>
              </w:rPr>
              <w:t>Director (principal executive officer)</w:t>
            </w:r>
          </w:p>
        </w:tc>
        <w:tc>
          <w:tcPr>
            <w:tcW w:w="0" w:type="dxa"/>
            <w:vAlign w:val="bottom"/>
          </w:tcPr>
          <w:p>
            <w:pPr>
              <w:spacing w:after="0"/>
              <w:rPr>
                <w:sz w:val="1"/>
                <w:szCs w:val="1"/>
                <w:color w:val="auto"/>
              </w:rPr>
            </w:pPr>
          </w:p>
        </w:tc>
      </w:tr>
      <w:tr>
        <w:trPr>
          <w:trHeight w:val="319"/>
        </w:trPr>
        <w:tc>
          <w:tcPr>
            <w:tcW w:w="5600" w:type="dxa"/>
            <w:vAlign w:val="bottom"/>
          </w:tcPr>
          <w:p>
            <w:pPr>
              <w:jc w:val="center"/>
              <w:spacing w:after="0"/>
              <w:rPr>
                <w:sz w:val="20"/>
                <w:szCs w:val="20"/>
                <w:color w:val="auto"/>
              </w:rPr>
            </w:pPr>
            <w:r>
              <w:rPr>
                <w:rFonts w:ascii="Arial" w:cs="Arial" w:eastAsia="Arial" w:hAnsi="Arial"/>
                <w:sz w:val="18"/>
                <w:szCs w:val="18"/>
                <w:color w:val="auto"/>
                <w:w w:val="88"/>
              </w:rPr>
              <w:t>John R. Hawkins</w:t>
            </w:r>
          </w:p>
        </w:tc>
        <w:tc>
          <w:tcPr>
            <w:tcW w:w="5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600" w:type="dxa"/>
            <w:vAlign w:val="bottom"/>
          </w:tcPr>
          <w:p>
            <w:pPr>
              <w:jc w:val="center"/>
              <w:ind w:right="172"/>
              <w:spacing w:after="0"/>
              <w:rPr>
                <w:sz w:val="20"/>
                <w:szCs w:val="20"/>
                <w:color w:val="auto"/>
              </w:rPr>
            </w:pPr>
            <w:r>
              <w:rPr>
                <w:rFonts w:ascii="Arial" w:cs="Arial" w:eastAsia="Arial" w:hAnsi="Arial"/>
                <w:sz w:val="18"/>
                <w:szCs w:val="18"/>
                <w:color w:val="auto"/>
                <w:w w:val="97"/>
              </w:rPr>
              <w:t>/s/ MARVIN E. DEE</w:t>
            </w:r>
          </w:p>
        </w:tc>
        <w:tc>
          <w:tcPr>
            <w:tcW w:w="5560" w:type="dxa"/>
            <w:vAlign w:val="bottom"/>
          </w:tcPr>
          <w:p>
            <w:pPr>
              <w:ind w:left="340"/>
              <w:spacing w:after="0"/>
              <w:rPr>
                <w:sz w:val="20"/>
                <w:szCs w:val="20"/>
                <w:color w:val="auto"/>
              </w:rPr>
            </w:pPr>
            <w:r>
              <w:rPr>
                <w:rFonts w:ascii="Arial" w:cs="Arial" w:eastAsia="Arial" w:hAnsi="Arial"/>
                <w:sz w:val="18"/>
                <w:szCs w:val="18"/>
                <w:color w:val="auto"/>
                <w:w w:val="88"/>
              </w:rPr>
              <w:t>Vice President, Chief Financial Officer, Secretary and Treasurer (principal</w:t>
            </w:r>
          </w:p>
        </w:tc>
        <w:tc>
          <w:tcPr>
            <w:tcW w:w="0" w:type="dxa"/>
            <w:vAlign w:val="bottom"/>
          </w:tcPr>
          <w:p>
            <w:pPr>
              <w:spacing w:after="0"/>
              <w:rPr>
                <w:sz w:val="1"/>
                <w:szCs w:val="1"/>
                <w:color w:val="auto"/>
              </w:rPr>
            </w:pPr>
          </w:p>
        </w:tc>
      </w:tr>
      <w:tr>
        <w:trPr>
          <w:trHeight w:val="127"/>
        </w:trPr>
        <w:tc>
          <w:tcPr>
            <w:tcW w:w="5600" w:type="dxa"/>
            <w:vAlign w:val="bottom"/>
            <w:tcBorders>
              <w:bottom w:val="single" w:sz="8" w:color="808080"/>
            </w:tcBorders>
          </w:tcPr>
          <w:p>
            <w:pPr>
              <w:spacing w:after="0"/>
              <w:rPr>
                <w:sz w:val="11"/>
                <w:szCs w:val="11"/>
                <w:color w:val="auto"/>
              </w:rPr>
            </w:pPr>
          </w:p>
        </w:tc>
        <w:tc>
          <w:tcPr>
            <w:tcW w:w="5560" w:type="dxa"/>
            <w:vAlign w:val="bottom"/>
            <w:vMerge w:val="restart"/>
          </w:tcPr>
          <w:p>
            <w:pPr>
              <w:ind w:left="340"/>
              <w:spacing w:after="0"/>
              <w:rPr>
                <w:sz w:val="20"/>
                <w:szCs w:val="20"/>
                <w:color w:val="auto"/>
              </w:rPr>
            </w:pPr>
            <w:r>
              <w:rPr>
                <w:rFonts w:ascii="Arial" w:cs="Arial" w:eastAsia="Arial" w:hAnsi="Arial"/>
                <w:sz w:val="18"/>
                <w:szCs w:val="18"/>
                <w:color w:val="auto"/>
              </w:rPr>
              <w:t>financial officer and principal accounting officer)</w:t>
            </w:r>
          </w:p>
        </w:tc>
        <w:tc>
          <w:tcPr>
            <w:tcW w:w="0" w:type="dxa"/>
            <w:vAlign w:val="bottom"/>
          </w:tcPr>
          <w:p>
            <w:pPr>
              <w:spacing w:after="0"/>
              <w:rPr>
                <w:sz w:val="1"/>
                <w:szCs w:val="1"/>
                <w:color w:val="auto"/>
              </w:rPr>
            </w:pPr>
          </w:p>
        </w:tc>
      </w:tr>
      <w:tr>
        <w:trPr>
          <w:trHeight w:val="76"/>
        </w:trPr>
        <w:tc>
          <w:tcPr>
            <w:tcW w:w="5600" w:type="dxa"/>
            <w:vAlign w:val="bottom"/>
            <w:vMerge w:val="restart"/>
          </w:tcPr>
          <w:p>
            <w:pPr>
              <w:jc w:val="center"/>
              <w:spacing w:after="0"/>
              <w:rPr>
                <w:sz w:val="20"/>
                <w:szCs w:val="20"/>
                <w:color w:val="auto"/>
              </w:rPr>
            </w:pPr>
            <w:r>
              <w:rPr>
                <w:rFonts w:ascii="Arial" w:cs="Arial" w:eastAsia="Arial" w:hAnsi="Arial"/>
                <w:sz w:val="18"/>
                <w:szCs w:val="18"/>
                <w:color w:val="auto"/>
                <w:w w:val="91"/>
              </w:rPr>
              <w:t>Marvin E. Dee</w:t>
            </w:r>
          </w:p>
        </w:tc>
        <w:tc>
          <w:tcPr>
            <w:tcW w:w="5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5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5600" w:type="dxa"/>
            <w:vAlign w:val="bottom"/>
          </w:tcPr>
          <w:p>
            <w:pPr>
              <w:jc w:val="center"/>
              <w:ind w:right="172"/>
              <w:spacing w:after="0"/>
              <w:rPr>
                <w:sz w:val="20"/>
                <w:szCs w:val="20"/>
                <w:color w:val="auto"/>
              </w:rPr>
            </w:pPr>
            <w:r>
              <w:rPr>
                <w:rFonts w:ascii="Arial" w:cs="Arial" w:eastAsia="Arial" w:hAnsi="Arial"/>
                <w:sz w:val="18"/>
                <w:szCs w:val="18"/>
                <w:color w:val="auto"/>
                <w:w w:val="96"/>
              </w:rPr>
              <w:t>/s/ KURT R. NORMAN</w:t>
            </w:r>
          </w:p>
        </w:tc>
        <w:tc>
          <w:tcPr>
            <w:tcW w:w="5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600" w:type="dxa"/>
            <w:vAlign w:val="bottom"/>
            <w:tcBorders>
              <w:bottom w:val="single" w:sz="8" w:color="808080"/>
            </w:tcBorders>
          </w:tcPr>
          <w:p>
            <w:pPr>
              <w:spacing w:after="0"/>
              <w:rPr>
                <w:sz w:val="10"/>
                <w:szCs w:val="10"/>
                <w:color w:val="auto"/>
              </w:rPr>
            </w:pPr>
          </w:p>
        </w:tc>
        <w:tc>
          <w:tcPr>
            <w:tcW w:w="5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600" w:type="dxa"/>
            <w:vAlign w:val="bottom"/>
          </w:tcPr>
          <w:p>
            <w:pPr>
              <w:jc w:val="center"/>
              <w:spacing w:after="0"/>
              <w:rPr>
                <w:sz w:val="20"/>
                <w:szCs w:val="20"/>
                <w:color w:val="auto"/>
              </w:rPr>
            </w:pPr>
            <w:r>
              <w:rPr>
                <w:rFonts w:ascii="Arial" w:cs="Arial" w:eastAsia="Arial" w:hAnsi="Arial"/>
                <w:sz w:val="18"/>
                <w:szCs w:val="18"/>
                <w:color w:val="auto"/>
                <w:w w:val="91"/>
              </w:rPr>
              <w:t>Kurt R. Norman</w:t>
            </w:r>
          </w:p>
        </w:tc>
        <w:tc>
          <w:tcPr>
            <w:tcW w:w="5560" w:type="dxa"/>
            <w:vAlign w:val="bottom"/>
          </w:tcPr>
          <w:p>
            <w:pPr>
              <w:ind w:left="340"/>
              <w:spacing w:after="0"/>
              <w:rPr>
                <w:sz w:val="20"/>
                <w:szCs w:val="20"/>
                <w:color w:val="auto"/>
              </w:rPr>
            </w:pPr>
            <w:r>
              <w:rPr>
                <w:rFonts w:ascii="Arial" w:cs="Arial" w:eastAsia="Arial" w:hAnsi="Arial"/>
                <w:sz w:val="18"/>
                <w:szCs w:val="18"/>
                <w:color w:val="auto"/>
              </w:rPr>
              <w:t>President and Director</w:t>
            </w:r>
          </w:p>
        </w:tc>
        <w:tc>
          <w:tcPr>
            <w:tcW w:w="0" w:type="dxa"/>
            <w:vAlign w:val="bottom"/>
          </w:tcPr>
          <w:p>
            <w:pPr>
              <w:spacing w:after="0"/>
              <w:rPr>
                <w:sz w:val="1"/>
                <w:szCs w:val="1"/>
                <w:color w:val="auto"/>
              </w:rPr>
            </w:pPr>
          </w:p>
        </w:tc>
      </w:tr>
      <w:tr>
        <w:trPr>
          <w:trHeight w:val="363"/>
        </w:trPr>
        <w:tc>
          <w:tcPr>
            <w:tcW w:w="5600" w:type="dxa"/>
            <w:vAlign w:val="bottom"/>
            <w:tcBorders>
              <w:bottom w:val="single" w:sz="8" w:color="808080"/>
            </w:tcBorders>
          </w:tcPr>
          <w:p>
            <w:pPr>
              <w:spacing w:after="0"/>
              <w:rPr>
                <w:sz w:val="24"/>
                <w:szCs w:val="24"/>
                <w:color w:val="auto"/>
              </w:rPr>
            </w:pPr>
          </w:p>
        </w:tc>
        <w:tc>
          <w:tcPr>
            <w:tcW w:w="5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5600" w:type="dxa"/>
            <w:vAlign w:val="bottom"/>
          </w:tcPr>
          <w:p>
            <w:pPr>
              <w:jc w:val="center"/>
              <w:spacing w:after="0"/>
              <w:rPr>
                <w:sz w:val="20"/>
                <w:szCs w:val="20"/>
                <w:color w:val="auto"/>
              </w:rPr>
            </w:pPr>
            <w:r>
              <w:rPr>
                <w:rFonts w:ascii="Arial" w:cs="Arial" w:eastAsia="Arial" w:hAnsi="Arial"/>
                <w:sz w:val="18"/>
                <w:szCs w:val="18"/>
                <w:color w:val="auto"/>
                <w:w w:val="89"/>
              </w:rPr>
              <w:t>Dean L. Hahn</w:t>
            </w:r>
          </w:p>
        </w:tc>
        <w:tc>
          <w:tcPr>
            <w:tcW w:w="55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63"/>
        </w:trPr>
        <w:tc>
          <w:tcPr>
            <w:tcW w:w="5600" w:type="dxa"/>
            <w:vAlign w:val="bottom"/>
            <w:tcBorders>
              <w:bottom w:val="single" w:sz="8" w:color="808080"/>
            </w:tcBorders>
          </w:tcPr>
          <w:p>
            <w:pPr>
              <w:spacing w:after="0"/>
              <w:rPr>
                <w:sz w:val="24"/>
                <w:szCs w:val="24"/>
                <w:color w:val="auto"/>
              </w:rPr>
            </w:pPr>
          </w:p>
        </w:tc>
        <w:tc>
          <w:tcPr>
            <w:tcW w:w="5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5600" w:type="dxa"/>
            <w:vAlign w:val="bottom"/>
          </w:tcPr>
          <w:p>
            <w:pPr>
              <w:jc w:val="center"/>
              <w:spacing w:after="0"/>
              <w:rPr>
                <w:sz w:val="20"/>
                <w:szCs w:val="20"/>
                <w:color w:val="auto"/>
              </w:rPr>
            </w:pPr>
            <w:r>
              <w:rPr>
                <w:rFonts w:ascii="Arial" w:cs="Arial" w:eastAsia="Arial" w:hAnsi="Arial"/>
                <w:sz w:val="18"/>
                <w:szCs w:val="18"/>
                <w:color w:val="auto"/>
                <w:w w:val="90"/>
              </w:rPr>
              <w:t>Donald L. Shipp</w:t>
            </w:r>
          </w:p>
        </w:tc>
        <w:tc>
          <w:tcPr>
            <w:tcW w:w="55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63"/>
        </w:trPr>
        <w:tc>
          <w:tcPr>
            <w:tcW w:w="5600" w:type="dxa"/>
            <w:vAlign w:val="bottom"/>
            <w:tcBorders>
              <w:bottom w:val="single" w:sz="8" w:color="808080"/>
            </w:tcBorders>
          </w:tcPr>
          <w:p>
            <w:pPr>
              <w:spacing w:after="0"/>
              <w:rPr>
                <w:sz w:val="24"/>
                <w:szCs w:val="24"/>
                <w:color w:val="auto"/>
              </w:rPr>
            </w:pPr>
          </w:p>
        </w:tc>
        <w:tc>
          <w:tcPr>
            <w:tcW w:w="5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5600" w:type="dxa"/>
            <w:vAlign w:val="bottom"/>
          </w:tcPr>
          <w:p>
            <w:pPr>
              <w:jc w:val="center"/>
              <w:spacing w:after="0"/>
              <w:rPr>
                <w:sz w:val="20"/>
                <w:szCs w:val="20"/>
                <w:color w:val="auto"/>
              </w:rPr>
            </w:pPr>
            <w:r>
              <w:rPr>
                <w:rFonts w:ascii="Arial" w:cs="Arial" w:eastAsia="Arial" w:hAnsi="Arial"/>
                <w:sz w:val="18"/>
                <w:szCs w:val="18"/>
                <w:color w:val="auto"/>
                <w:w w:val="92"/>
              </w:rPr>
              <w:t>Howard M. Hawkins</w:t>
            </w:r>
          </w:p>
        </w:tc>
        <w:tc>
          <w:tcPr>
            <w:tcW w:w="55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32"/>
        </w:trPr>
        <w:tc>
          <w:tcPr>
            <w:tcW w:w="5600" w:type="dxa"/>
            <w:vAlign w:val="bottom"/>
          </w:tcPr>
          <w:p>
            <w:pPr>
              <w:jc w:val="center"/>
              <w:ind w:right="172"/>
              <w:spacing w:after="0"/>
              <w:rPr>
                <w:sz w:val="20"/>
                <w:szCs w:val="20"/>
                <w:color w:val="auto"/>
              </w:rPr>
            </w:pPr>
            <w:r>
              <w:rPr>
                <w:rFonts w:ascii="Arial" w:cs="Arial" w:eastAsia="Arial" w:hAnsi="Arial"/>
                <w:sz w:val="18"/>
                <w:szCs w:val="18"/>
                <w:color w:val="auto"/>
                <w:w w:val="94"/>
              </w:rPr>
              <w:t>/s/ JOHN S. MCKEON</w:t>
            </w:r>
          </w:p>
        </w:tc>
        <w:tc>
          <w:tcPr>
            <w:tcW w:w="5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600" w:type="dxa"/>
            <w:vAlign w:val="bottom"/>
            <w:tcBorders>
              <w:bottom w:val="single" w:sz="8" w:color="808080"/>
            </w:tcBorders>
          </w:tcPr>
          <w:p>
            <w:pPr>
              <w:spacing w:after="0"/>
              <w:rPr>
                <w:sz w:val="10"/>
                <w:szCs w:val="10"/>
                <w:color w:val="auto"/>
              </w:rPr>
            </w:pPr>
          </w:p>
        </w:tc>
        <w:tc>
          <w:tcPr>
            <w:tcW w:w="5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600" w:type="dxa"/>
            <w:vAlign w:val="bottom"/>
          </w:tcPr>
          <w:p>
            <w:pPr>
              <w:jc w:val="center"/>
              <w:spacing w:after="0"/>
              <w:rPr>
                <w:sz w:val="20"/>
                <w:szCs w:val="20"/>
                <w:color w:val="auto"/>
              </w:rPr>
            </w:pPr>
            <w:r>
              <w:rPr>
                <w:rFonts w:ascii="Arial" w:cs="Arial" w:eastAsia="Arial" w:hAnsi="Arial"/>
                <w:sz w:val="18"/>
                <w:szCs w:val="18"/>
                <w:color w:val="auto"/>
                <w:w w:val="89"/>
              </w:rPr>
              <w:t>John S. McKeon</w:t>
            </w:r>
          </w:p>
        </w:tc>
        <w:tc>
          <w:tcPr>
            <w:tcW w:w="55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32"/>
        </w:trPr>
        <w:tc>
          <w:tcPr>
            <w:tcW w:w="5600" w:type="dxa"/>
            <w:vAlign w:val="bottom"/>
          </w:tcPr>
          <w:p>
            <w:pPr>
              <w:jc w:val="center"/>
              <w:ind w:right="152"/>
              <w:spacing w:after="0"/>
              <w:rPr>
                <w:sz w:val="20"/>
                <w:szCs w:val="20"/>
                <w:color w:val="auto"/>
              </w:rPr>
            </w:pPr>
            <w:r>
              <w:rPr>
                <w:rFonts w:ascii="Arial" w:cs="Arial" w:eastAsia="Arial" w:hAnsi="Arial"/>
                <w:sz w:val="18"/>
                <w:szCs w:val="18"/>
                <w:color w:val="auto"/>
                <w:w w:val="94"/>
              </w:rPr>
              <w:t>/s/ DUANE M. JERGENSON</w:t>
            </w:r>
          </w:p>
        </w:tc>
        <w:tc>
          <w:tcPr>
            <w:tcW w:w="5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600" w:type="dxa"/>
            <w:vAlign w:val="bottom"/>
            <w:tcBorders>
              <w:bottom w:val="single" w:sz="8" w:color="808080"/>
            </w:tcBorders>
          </w:tcPr>
          <w:p>
            <w:pPr>
              <w:spacing w:after="0"/>
              <w:rPr>
                <w:sz w:val="10"/>
                <w:szCs w:val="10"/>
                <w:color w:val="auto"/>
              </w:rPr>
            </w:pPr>
          </w:p>
        </w:tc>
        <w:tc>
          <w:tcPr>
            <w:tcW w:w="5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600" w:type="dxa"/>
            <w:vAlign w:val="bottom"/>
          </w:tcPr>
          <w:p>
            <w:pPr>
              <w:jc w:val="center"/>
              <w:spacing w:after="0"/>
              <w:rPr>
                <w:sz w:val="20"/>
                <w:szCs w:val="20"/>
                <w:color w:val="auto"/>
              </w:rPr>
            </w:pPr>
            <w:r>
              <w:rPr>
                <w:rFonts w:ascii="Arial" w:cs="Arial" w:eastAsia="Arial" w:hAnsi="Arial"/>
                <w:sz w:val="18"/>
                <w:szCs w:val="18"/>
                <w:color w:val="auto"/>
                <w:w w:val="86"/>
              </w:rPr>
              <w:t>Duane M. Jergenson</w:t>
            </w:r>
          </w:p>
        </w:tc>
        <w:tc>
          <w:tcPr>
            <w:tcW w:w="55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32"/>
        </w:trPr>
        <w:tc>
          <w:tcPr>
            <w:tcW w:w="5600" w:type="dxa"/>
            <w:vAlign w:val="bottom"/>
          </w:tcPr>
          <w:p>
            <w:pPr>
              <w:jc w:val="center"/>
              <w:ind w:right="172"/>
              <w:spacing w:after="0"/>
              <w:rPr>
                <w:sz w:val="20"/>
                <w:szCs w:val="20"/>
                <w:color w:val="auto"/>
              </w:rPr>
            </w:pPr>
            <w:r>
              <w:rPr>
                <w:rFonts w:ascii="Arial" w:cs="Arial" w:eastAsia="Arial" w:hAnsi="Arial"/>
                <w:sz w:val="18"/>
                <w:szCs w:val="18"/>
                <w:color w:val="auto"/>
                <w:w w:val="92"/>
              </w:rPr>
              <w:t>/s/ /S/ G. ROBERT GEY</w:t>
            </w:r>
          </w:p>
        </w:tc>
        <w:tc>
          <w:tcPr>
            <w:tcW w:w="5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600" w:type="dxa"/>
            <w:vAlign w:val="bottom"/>
            <w:tcBorders>
              <w:bottom w:val="single" w:sz="8" w:color="808080"/>
            </w:tcBorders>
          </w:tcPr>
          <w:p>
            <w:pPr>
              <w:spacing w:after="0"/>
              <w:rPr>
                <w:sz w:val="10"/>
                <w:szCs w:val="10"/>
                <w:color w:val="auto"/>
              </w:rPr>
            </w:pPr>
          </w:p>
        </w:tc>
        <w:tc>
          <w:tcPr>
            <w:tcW w:w="5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600" w:type="dxa"/>
            <w:vAlign w:val="bottom"/>
          </w:tcPr>
          <w:p>
            <w:pPr>
              <w:jc w:val="center"/>
              <w:spacing w:after="0"/>
              <w:rPr>
                <w:sz w:val="20"/>
                <w:szCs w:val="20"/>
                <w:color w:val="auto"/>
              </w:rPr>
            </w:pPr>
            <w:r>
              <w:rPr>
                <w:rFonts w:ascii="Arial" w:cs="Arial" w:eastAsia="Arial" w:hAnsi="Arial"/>
                <w:sz w:val="18"/>
                <w:szCs w:val="18"/>
                <w:color w:val="auto"/>
                <w:w w:val="89"/>
              </w:rPr>
              <w:t>G. Robert Gey</w:t>
            </w:r>
          </w:p>
        </w:tc>
        <w:tc>
          <w:tcPr>
            <w:tcW w:w="55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-4384675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-4384675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-3818890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-3818890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-3252470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-3252470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-2806700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-2806700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-2360930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-2360930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-1914525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-1914525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-1348740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-1348740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-782955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-782955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-216535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359410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/s/ DARYL I. SKAAR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35547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32" w:lineRule="exact"/>
        <w:rPr>
          <w:sz w:val="20"/>
          <w:szCs w:val="20"/>
          <w:color w:val="auto"/>
        </w:rPr>
      </w:pPr>
    </w:p>
    <w:p>
      <w:pPr>
        <w:ind w:left="2300"/>
        <w:spacing w:after="0"/>
        <w:tabs>
          <w:tab w:leader="none" w:pos="5920" w:val="left"/>
        </w:tabs>
        <w:rPr>
          <w:sz w:val="20"/>
          <w:szCs w:val="20"/>
          <w:color w:val="auto"/>
        </w:rPr>
      </w:pPr>
      <w:r>
        <w:rPr>
          <w:rFonts w:ascii="Arial" w:cs="Arial" w:eastAsia="Arial" w:hAnsi="Arial"/>
          <w:sz w:val="18"/>
          <w:szCs w:val="18"/>
          <w:color w:val="auto"/>
        </w:rPr>
        <w:t>Daryl I. Skaar</w:t>
      </w:r>
      <w:r>
        <w:rPr>
          <w:sz w:val="20"/>
          <w:szCs w:val="20"/>
          <w:color w:val="auto"/>
        </w:rPr>
        <w:tab/>
      </w:r>
      <w:r>
        <w:rPr>
          <w:rFonts w:ascii="Arial" w:cs="Arial" w:eastAsia="Arial" w:hAnsi="Arial"/>
          <w:sz w:val="16"/>
          <w:szCs w:val="16"/>
          <w:color w:val="auto"/>
        </w:rPr>
        <w:t>Director</w:t>
      </w:r>
    </w:p>
    <w:p>
      <w:pPr>
        <w:spacing w:after="0" w:line="225"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Plan has caused this Registration Statement to be signed on its behalf by the undersigned, thereunto duly authorized, in the City of Minneapolis, State of Minnesota, on May 2, 2002.</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20" w:type="dxa"/>
            <w:vAlign w:val="bottom"/>
            <w:gridSpan w:val="5"/>
          </w:tcPr>
          <w:p>
            <w:pPr>
              <w:ind w:left="3100"/>
              <w:spacing w:after="0"/>
              <w:rPr>
                <w:sz w:val="20"/>
                <w:szCs w:val="20"/>
                <w:color w:val="auto"/>
              </w:rPr>
            </w:pPr>
            <w:r>
              <w:rPr>
                <w:rFonts w:ascii="Arial" w:cs="Arial" w:eastAsia="Arial" w:hAnsi="Arial"/>
                <w:sz w:val="18"/>
                <w:szCs w:val="18"/>
                <w:b w:val="1"/>
                <w:bCs w:val="1"/>
                <w:color w:val="auto"/>
              </w:rPr>
              <w:t>HAWKINS, INC.</w:t>
            </w:r>
          </w:p>
        </w:tc>
        <w:tc>
          <w:tcPr>
            <w:tcW w:w="0" w:type="dxa"/>
            <w:vAlign w:val="bottom"/>
          </w:tcPr>
          <w:p>
            <w:pPr>
              <w:spacing w:after="0"/>
              <w:rPr>
                <w:sz w:val="1"/>
                <w:szCs w:val="1"/>
                <w:color w:val="auto"/>
              </w:rPr>
            </w:pPr>
          </w:p>
        </w:tc>
      </w:tr>
      <w:tr>
        <w:trPr>
          <w:trHeight w:val="432"/>
        </w:trPr>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gridSpan w:val="3"/>
          </w:tcPr>
          <w:p>
            <w:pPr>
              <w:ind w:left="3100"/>
              <w:spacing w:after="0"/>
              <w:rPr>
                <w:sz w:val="20"/>
                <w:szCs w:val="20"/>
                <w:color w:val="auto"/>
              </w:rPr>
            </w:pPr>
            <w:r>
              <w:rPr>
                <w:rFonts w:ascii="Arial" w:cs="Arial" w:eastAsia="Arial" w:hAnsi="Arial"/>
                <w:sz w:val="18"/>
                <w:szCs w:val="18"/>
                <w:color w:val="auto"/>
              </w:rPr>
              <w:t>By</w:t>
            </w:r>
          </w:p>
        </w:tc>
        <w:tc>
          <w:tcPr>
            <w:tcW w:w="4980" w:type="dxa"/>
            <w:vAlign w:val="bottom"/>
            <w:gridSpan w:val="2"/>
          </w:tcPr>
          <w:p>
            <w:pPr>
              <w:ind w:left="1400"/>
              <w:spacing w:after="0"/>
              <w:rPr>
                <w:sz w:val="20"/>
                <w:szCs w:val="20"/>
                <w:color w:val="auto"/>
              </w:rPr>
            </w:pPr>
            <w:r>
              <w:rPr>
                <w:rFonts w:ascii="Arial" w:cs="Arial" w:eastAsia="Arial" w:hAnsi="Arial"/>
                <w:sz w:val="18"/>
                <w:szCs w:val="18"/>
                <w:color w:val="auto"/>
              </w:rPr>
              <w:t>/s/ KURT R. NORMAN</w:t>
            </w:r>
          </w:p>
        </w:tc>
        <w:tc>
          <w:tcPr>
            <w:tcW w:w="0" w:type="dxa"/>
            <w:vAlign w:val="bottom"/>
          </w:tcPr>
          <w:p>
            <w:pPr>
              <w:spacing w:after="0"/>
              <w:rPr>
                <w:sz w:val="1"/>
                <w:szCs w:val="1"/>
                <w:color w:val="auto"/>
              </w:rPr>
            </w:pPr>
          </w:p>
        </w:tc>
      </w:tr>
      <w:tr>
        <w:trPr>
          <w:trHeight w:val="120"/>
        </w:trPr>
        <w:tc>
          <w:tcPr>
            <w:tcW w:w="1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7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80" w:type="dxa"/>
            <w:vAlign w:val="bottom"/>
            <w:gridSpan w:val="2"/>
          </w:tcPr>
          <w:p>
            <w:pPr>
              <w:ind w:left="1740"/>
              <w:spacing w:after="0"/>
              <w:rPr>
                <w:sz w:val="20"/>
                <w:szCs w:val="20"/>
                <w:color w:val="auto"/>
              </w:rPr>
            </w:pPr>
            <w:r>
              <w:rPr>
                <w:rFonts w:ascii="Arial" w:cs="Arial" w:eastAsia="Arial" w:hAnsi="Arial"/>
                <w:sz w:val="18"/>
                <w:szCs w:val="18"/>
                <w:i w:val="1"/>
                <w:iCs w:val="1"/>
                <w:color w:val="auto"/>
              </w:rPr>
              <w:t>Plan Administrator</w:t>
            </w:r>
          </w:p>
        </w:tc>
        <w:tc>
          <w:tcPr>
            <w:tcW w:w="0" w:type="dxa"/>
            <w:vAlign w:val="bottom"/>
          </w:tcPr>
          <w:p>
            <w:pPr>
              <w:spacing w:after="0"/>
              <w:rPr>
                <w:sz w:val="1"/>
                <w:szCs w:val="1"/>
                <w:color w:val="auto"/>
              </w:rPr>
            </w:pPr>
          </w:p>
        </w:tc>
      </w:tr>
      <w:tr>
        <w:trPr>
          <w:trHeight w:val="120"/>
        </w:trPr>
        <w:tc>
          <w:tcPr>
            <w:tcW w:w="1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8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gridSpan w:val="2"/>
          </w:tcPr>
          <w:p>
            <w:pPr>
              <w:spacing w:after="0"/>
              <w:rPr>
                <w:sz w:val="10"/>
                <w:szCs w:val="10"/>
                <w:color w:val="auto"/>
              </w:rPr>
            </w:pPr>
          </w:p>
        </w:tc>
        <w:tc>
          <w:tcPr>
            <w:tcW w:w="37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643"/>
        </w:trPr>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gridSpan w:val="3"/>
          </w:tcPr>
          <w:p>
            <w:pPr>
              <w:jc w:val="center"/>
              <w:ind w:left="2456"/>
              <w:spacing w:after="0"/>
              <w:rPr>
                <w:sz w:val="20"/>
                <w:szCs w:val="20"/>
                <w:color w:val="auto"/>
              </w:rPr>
            </w:pPr>
            <w:r>
              <w:rPr>
                <w:rFonts w:ascii="Arial" w:cs="Arial" w:eastAsia="Arial" w:hAnsi="Arial"/>
                <w:sz w:val="18"/>
                <w:szCs w:val="18"/>
                <w:b w:val="1"/>
                <w:bCs w:val="1"/>
                <w:color w:val="auto"/>
                <w:w w:val="98"/>
              </w:rPr>
              <w:t>HAWKINS, INC.</w:t>
            </w:r>
          </w:p>
        </w:tc>
        <w:tc>
          <w:tcPr>
            <w:tcW w:w="3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20" w:type="dxa"/>
            <w:vAlign w:val="bottom"/>
            <w:gridSpan w:val="5"/>
          </w:tcPr>
          <w:p>
            <w:pPr>
              <w:jc w:val="center"/>
              <w:ind w:right="2400"/>
              <w:spacing w:after="0"/>
              <w:rPr>
                <w:sz w:val="20"/>
                <w:szCs w:val="20"/>
                <w:color w:val="auto"/>
              </w:rPr>
            </w:pPr>
            <w:r>
              <w:rPr>
                <w:rFonts w:ascii="Arial" w:cs="Arial" w:eastAsia="Arial" w:hAnsi="Arial"/>
                <w:sz w:val="18"/>
                <w:szCs w:val="18"/>
                <w:b w:val="1"/>
                <w:bCs w:val="1"/>
                <w:color w:val="auto"/>
              </w:rPr>
              <w:t>EXHIBIT INDEX TO</w:t>
            </w:r>
          </w:p>
        </w:tc>
        <w:tc>
          <w:tcPr>
            <w:tcW w:w="0" w:type="dxa"/>
            <w:vAlign w:val="bottom"/>
          </w:tcPr>
          <w:p>
            <w:pPr>
              <w:spacing w:after="0"/>
              <w:rPr>
                <w:sz w:val="1"/>
                <w:szCs w:val="1"/>
                <w:color w:val="auto"/>
              </w:rPr>
            </w:pPr>
          </w:p>
        </w:tc>
      </w:tr>
      <w:tr>
        <w:trPr>
          <w:trHeight w:val="228"/>
        </w:trPr>
        <w:tc>
          <w:tcPr>
            <w:tcW w:w="1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20" w:type="dxa"/>
            <w:vAlign w:val="bottom"/>
            <w:gridSpan w:val="5"/>
          </w:tcPr>
          <w:p>
            <w:pPr>
              <w:jc w:val="center"/>
              <w:ind w:right="2440"/>
              <w:spacing w:after="0"/>
              <w:rPr>
                <w:sz w:val="20"/>
                <w:szCs w:val="20"/>
                <w:color w:val="auto"/>
              </w:rPr>
            </w:pPr>
            <w:r>
              <w:rPr>
                <w:rFonts w:ascii="Arial" w:cs="Arial" w:eastAsia="Arial" w:hAnsi="Arial"/>
                <w:sz w:val="18"/>
                <w:szCs w:val="18"/>
                <w:b w:val="1"/>
                <w:bCs w:val="1"/>
                <w:color w:val="auto"/>
                <w:w w:val="97"/>
              </w:rPr>
              <w:t>FORM S-8 REGISTRATION STATEMENT</w:t>
            </w:r>
          </w:p>
        </w:tc>
        <w:tc>
          <w:tcPr>
            <w:tcW w:w="0" w:type="dxa"/>
            <w:vAlign w:val="bottom"/>
          </w:tcPr>
          <w:p>
            <w:pPr>
              <w:spacing w:after="0"/>
              <w:rPr>
                <w:sz w:val="1"/>
                <w:szCs w:val="1"/>
                <w:color w:val="auto"/>
              </w:rPr>
            </w:pPr>
          </w:p>
        </w:tc>
      </w:tr>
      <w:tr>
        <w:trPr>
          <w:trHeight w:val="354"/>
        </w:trPr>
        <w:tc>
          <w:tcPr>
            <w:tcW w:w="122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220" w:type="dxa"/>
            <w:vAlign w:val="bottom"/>
          </w:tcPr>
          <w:p>
            <w:pPr>
              <w:spacing w:after="0"/>
              <w:rPr>
                <w:sz w:val="15"/>
                <w:szCs w:val="15"/>
                <w:color w:val="auto"/>
              </w:rPr>
            </w:pPr>
          </w:p>
        </w:tc>
        <w:tc>
          <w:tcPr>
            <w:tcW w:w="900" w:type="dxa"/>
            <w:vAlign w:val="bottom"/>
          </w:tcPr>
          <w:p>
            <w:pPr>
              <w:ind w:left="200"/>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5"/>
                <w:szCs w:val="15"/>
                <w:color w:val="auto"/>
              </w:rPr>
            </w:pPr>
          </w:p>
        </w:tc>
        <w:tc>
          <w:tcPr>
            <w:tcW w:w="4040" w:type="dxa"/>
            <w:vAlign w:val="bottom"/>
            <w:gridSpan w:val="3"/>
          </w:tcPr>
          <w:p>
            <w:pPr>
              <w:ind w:left="1600"/>
              <w:spacing w:after="0"/>
              <w:rPr>
                <w:sz w:val="20"/>
                <w:szCs w:val="20"/>
                <w:color w:val="auto"/>
              </w:rPr>
            </w:pPr>
            <w:r>
              <w:rPr>
                <w:rFonts w:ascii="Arial" w:cs="Arial" w:eastAsia="Arial" w:hAnsi="Arial"/>
                <w:sz w:val="14"/>
                <w:szCs w:val="14"/>
                <w:b w:val="1"/>
                <w:bCs w:val="1"/>
                <w:color w:val="auto"/>
              </w:rPr>
              <w:t>Description</w:t>
            </w:r>
          </w:p>
        </w:tc>
        <w:tc>
          <w:tcPr>
            <w:tcW w:w="3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220" w:type="dxa"/>
            <w:vAlign w:val="bottom"/>
          </w:tcPr>
          <w:p>
            <w:pPr>
              <w:spacing w:after="0"/>
              <w:rPr>
                <w:sz w:val="9"/>
                <w:szCs w:val="9"/>
                <w:color w:val="auto"/>
              </w:rPr>
            </w:pPr>
          </w:p>
        </w:tc>
        <w:tc>
          <w:tcPr>
            <w:tcW w:w="1180" w:type="dxa"/>
            <w:vAlign w:val="bottom"/>
            <w:gridSpan w:val="2"/>
          </w:tcPr>
          <w:p>
            <w:pPr>
              <w:spacing w:after="0"/>
              <w:rPr>
                <w:sz w:val="9"/>
                <w:szCs w:val="9"/>
                <w:color w:val="auto"/>
              </w:rPr>
            </w:pPr>
          </w:p>
        </w:tc>
        <w:tc>
          <w:tcPr>
            <w:tcW w:w="3860" w:type="dxa"/>
            <w:vAlign w:val="bottom"/>
          </w:tcPr>
          <w:p>
            <w:pPr>
              <w:spacing w:after="0"/>
              <w:rPr>
                <w:sz w:val="9"/>
                <w:szCs w:val="9"/>
                <w:color w:val="auto"/>
              </w:rPr>
            </w:pPr>
          </w:p>
        </w:tc>
        <w:tc>
          <w:tcPr>
            <w:tcW w:w="180" w:type="dxa"/>
            <w:vAlign w:val="bottom"/>
            <w:gridSpan w:val="2"/>
          </w:tcPr>
          <w:p>
            <w:pPr>
              <w:spacing w:after="0"/>
              <w:rPr>
                <w:sz w:val="9"/>
                <w:szCs w:val="9"/>
                <w:color w:val="auto"/>
              </w:rPr>
            </w:pPr>
          </w:p>
        </w:tc>
        <w:tc>
          <w:tcPr>
            <w:tcW w:w="37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20" w:type="dxa"/>
            <w:vAlign w:val="bottom"/>
          </w:tcPr>
          <w:p>
            <w:pPr>
              <w:spacing w:after="0"/>
              <w:rPr>
                <w:sz w:val="9"/>
                <w:szCs w:val="9"/>
                <w:color w:val="auto"/>
              </w:rPr>
            </w:pPr>
          </w:p>
        </w:tc>
        <w:tc>
          <w:tcPr>
            <w:tcW w:w="900" w:type="dxa"/>
            <w:vAlign w:val="bottom"/>
            <w:tcBorders>
              <w:top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3860" w:type="dxa"/>
            <w:vAlign w:val="bottom"/>
            <w:tcBorders>
              <w:top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2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220" w:type="dxa"/>
            <w:vAlign w:val="bottom"/>
          </w:tcPr>
          <w:p>
            <w:pPr>
              <w:spacing w:after="0"/>
              <w:rPr>
                <w:sz w:val="18"/>
                <w:szCs w:val="18"/>
                <w:color w:val="auto"/>
              </w:rPr>
            </w:pPr>
          </w:p>
        </w:tc>
        <w:tc>
          <w:tcPr>
            <w:tcW w:w="5220" w:type="dxa"/>
            <w:vAlign w:val="bottom"/>
            <w:gridSpan w:val="5"/>
            <w:shd w:val="clear" w:color="auto" w:fill="CCEEFF"/>
          </w:tcPr>
          <w:p>
            <w:pPr>
              <w:ind w:left="680"/>
              <w:spacing w:after="0"/>
              <w:rPr>
                <w:sz w:val="20"/>
                <w:szCs w:val="20"/>
                <w:color w:val="auto"/>
              </w:rPr>
            </w:pPr>
            <w:r>
              <w:rPr>
                <w:rFonts w:ascii="Arial" w:cs="Arial" w:eastAsia="Arial" w:hAnsi="Arial"/>
                <w:sz w:val="18"/>
                <w:szCs w:val="18"/>
                <w:color w:val="auto"/>
              </w:rPr>
              <w:t>4.1   Amended and Second Restated Articles of</w:t>
            </w:r>
          </w:p>
        </w:tc>
        <w:tc>
          <w:tcPr>
            <w:tcW w:w="37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1"/>
              </w:rPr>
              <w:t>Incorporated by reference to Exhibit 3.1 contained</w:t>
            </w: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3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w w:val="94"/>
              </w:rPr>
              <w:t>Incorporation as amended through February 27, 2001</w:t>
            </w:r>
          </w:p>
        </w:tc>
        <w:tc>
          <w:tcPr>
            <w:tcW w:w="37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5"/>
              </w:rPr>
              <w:t>in Hawkins' Annual Report on Form 10-K for the</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2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year ended September 30, 2001.</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-2018665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-2018665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-1727200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1332230</wp:posOffset>
            </wp:positionH>
            <wp:positionV relativeFrom="paragraph">
              <wp:posOffset>-492760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766445</wp:posOffset>
            </wp:positionH>
            <wp:positionV relativeFrom="paragraph">
              <wp:posOffset>-492760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-492760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1520825</wp:posOffset>
            </wp:positionH>
            <wp:positionV relativeFrom="paragraph">
              <wp:posOffset>-492760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8" w:lineRule="exact"/>
        <w:rPr>
          <w:sz w:val="20"/>
          <w:szCs w:val="20"/>
          <w:color w:val="auto"/>
        </w:rPr>
      </w:pPr>
    </w:p>
    <w:p>
      <w:pPr>
        <w:ind w:left="1900"/>
        <w:spacing w:after="0"/>
        <w:tabs>
          <w:tab w:leader="none" w:pos="2380" w:val="left"/>
          <w:tab w:leader="none" w:pos="65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Second Amended and Superseding By-Laws as</w:t>
      </w:r>
      <w:r>
        <w:rPr>
          <w:sz w:val="20"/>
          <w:szCs w:val="20"/>
          <w:color w:val="auto"/>
        </w:rPr>
        <w:tab/>
      </w:r>
      <w:r>
        <w:rPr>
          <w:rFonts w:ascii="Arial" w:cs="Arial" w:eastAsia="Arial" w:hAnsi="Arial"/>
          <w:sz w:val="15"/>
          <w:szCs w:val="15"/>
          <w:color w:val="auto"/>
        </w:rPr>
        <w:t>Incorporated by reference to Exhibit 3.2 contained</w:t>
      </w:r>
    </w:p>
    <w:p>
      <w:pPr>
        <w:spacing w:after="0" w:line="1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amended through February 15, 1995</w:t>
      </w:r>
    </w:p>
    <w:p>
      <w:pPr>
        <w:sectPr>
          <w:pgSz w:w="11900" w:h="16838" w:orient="portrait"/>
          <w:cols w:equalWidth="0" w:num="1">
            <w:col w:w="11420"/>
          </w:cols>
          <w:pgMar w:left="240" w:top="131" w:right="239"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040" w:type="dxa"/>
            <w:vAlign w:val="bottom"/>
          </w:tcPr>
          <w:p>
            <w:pPr>
              <w:ind w:left="360"/>
              <w:spacing w:after="0"/>
              <w:rPr>
                <w:sz w:val="20"/>
                <w:szCs w:val="20"/>
                <w:color w:val="auto"/>
              </w:rPr>
            </w:pPr>
            <w:r>
              <w:rPr>
                <w:rFonts w:ascii="Arial" w:cs="Arial" w:eastAsia="Arial" w:hAnsi="Arial"/>
                <w:sz w:val="18"/>
                <w:szCs w:val="18"/>
                <w:color w:val="auto"/>
                <w:w w:val="95"/>
              </w:rPr>
              <w:t>in Hawkins' Annual Report on Form 10-K for the</w:t>
            </w:r>
          </w:p>
        </w:tc>
        <w:tc>
          <w:tcPr>
            <w:tcW w:w="1200" w:type="dxa"/>
            <w:vAlign w:val="bottom"/>
          </w:tcPr>
          <w:p>
            <w:pPr>
              <w:spacing w:after="0"/>
              <w:rPr>
                <w:sz w:val="18"/>
                <w:szCs w:val="18"/>
                <w:color w:val="auto"/>
              </w:rPr>
            </w:pPr>
          </w:p>
        </w:tc>
      </w:tr>
      <w:tr>
        <w:trPr>
          <w:trHeight w:val="223"/>
        </w:trPr>
        <w:tc>
          <w:tcPr>
            <w:tcW w:w="1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040" w:type="dxa"/>
            <w:vAlign w:val="bottom"/>
          </w:tcPr>
          <w:p>
            <w:pPr>
              <w:ind w:left="360"/>
              <w:spacing w:after="0"/>
              <w:rPr>
                <w:sz w:val="20"/>
                <w:szCs w:val="20"/>
                <w:color w:val="auto"/>
              </w:rPr>
            </w:pPr>
            <w:r>
              <w:rPr>
                <w:rFonts w:ascii="Arial" w:cs="Arial" w:eastAsia="Arial" w:hAnsi="Arial"/>
                <w:sz w:val="18"/>
                <w:szCs w:val="18"/>
                <w:color w:val="auto"/>
              </w:rPr>
              <w:t>year ended September 30, 1995</w:t>
            </w:r>
          </w:p>
        </w:tc>
        <w:tc>
          <w:tcPr>
            <w:tcW w:w="1200" w:type="dxa"/>
            <w:vAlign w:val="bottom"/>
          </w:tcPr>
          <w:p>
            <w:pPr>
              <w:spacing w:after="0"/>
              <w:rPr>
                <w:sz w:val="19"/>
                <w:szCs w:val="19"/>
                <w:color w:val="auto"/>
              </w:rPr>
            </w:pPr>
          </w:p>
        </w:tc>
      </w:tr>
      <w:tr>
        <w:trPr>
          <w:trHeight w:val="425"/>
        </w:trPr>
        <w:tc>
          <w:tcPr>
            <w:tcW w:w="1220" w:type="dxa"/>
            <w:vAlign w:val="bottom"/>
          </w:tcPr>
          <w:p>
            <w:pPr>
              <w:spacing w:after="0"/>
              <w:rPr>
                <w:sz w:val="24"/>
                <w:szCs w:val="24"/>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4.3</w:t>
            </w:r>
          </w:p>
        </w:tc>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Hawkins, Inc. Employee Stock Purchase Plan, as</w:t>
            </w:r>
          </w:p>
        </w:tc>
        <w:tc>
          <w:tcPr>
            <w:tcW w:w="4040" w:type="dxa"/>
            <w:vAlign w:val="bottom"/>
            <w:shd w:val="clear" w:color="auto" w:fill="CCEEFF"/>
          </w:tcPr>
          <w:p>
            <w:pPr>
              <w:spacing w:after="0"/>
              <w:rPr>
                <w:sz w:val="24"/>
                <w:szCs w:val="24"/>
                <w:color w:val="auto"/>
              </w:rPr>
            </w:pPr>
          </w:p>
        </w:tc>
        <w:tc>
          <w:tcPr>
            <w:tcW w:w="1200" w:type="dxa"/>
            <w:vAlign w:val="bottom"/>
          </w:tcPr>
          <w:p>
            <w:pPr>
              <w:spacing w:after="0"/>
              <w:rPr>
                <w:sz w:val="24"/>
                <w:szCs w:val="24"/>
                <w:color w:val="auto"/>
              </w:rPr>
            </w:pPr>
          </w:p>
        </w:tc>
      </w:tr>
      <w:tr>
        <w:trPr>
          <w:trHeight w:val="224"/>
        </w:trPr>
        <w:tc>
          <w:tcPr>
            <w:tcW w:w="1220" w:type="dxa"/>
            <w:vAlign w:val="bottom"/>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Amended and Restated</w:t>
            </w:r>
          </w:p>
        </w:tc>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Filed herewith.</w:t>
            </w:r>
          </w:p>
        </w:tc>
        <w:tc>
          <w:tcPr>
            <w:tcW w:w="1200" w:type="dxa"/>
            <w:vAlign w:val="bottom"/>
          </w:tcPr>
          <w:p>
            <w:pPr>
              <w:spacing w:after="0"/>
              <w:rPr>
                <w:sz w:val="19"/>
                <w:szCs w:val="19"/>
                <w:color w:val="auto"/>
              </w:rPr>
            </w:pPr>
          </w:p>
        </w:tc>
      </w:tr>
      <w:tr>
        <w:trPr>
          <w:trHeight w:val="431"/>
        </w:trPr>
        <w:tc>
          <w:tcPr>
            <w:tcW w:w="1220" w:type="dxa"/>
            <w:vAlign w:val="bottom"/>
          </w:tcPr>
          <w:p>
            <w:pPr>
              <w:spacing w:after="0"/>
              <w:rPr>
                <w:sz w:val="24"/>
                <w:szCs w:val="24"/>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23.1</w:t>
            </w:r>
          </w:p>
        </w:tc>
        <w:tc>
          <w:tcPr>
            <w:tcW w:w="3920" w:type="dxa"/>
            <w:vAlign w:val="bottom"/>
          </w:tcPr>
          <w:p>
            <w:pPr>
              <w:ind w:left="140"/>
              <w:spacing w:after="0"/>
              <w:rPr>
                <w:sz w:val="20"/>
                <w:szCs w:val="20"/>
                <w:color w:val="auto"/>
              </w:rPr>
            </w:pPr>
            <w:r>
              <w:rPr>
                <w:rFonts w:ascii="Arial" w:cs="Arial" w:eastAsia="Arial" w:hAnsi="Arial"/>
                <w:sz w:val="18"/>
                <w:szCs w:val="18"/>
                <w:color w:val="auto"/>
              </w:rPr>
              <w:t>Consent of Deloitte &amp; Touche LLP</w:t>
            </w:r>
          </w:p>
        </w:tc>
        <w:tc>
          <w:tcPr>
            <w:tcW w:w="4040" w:type="dxa"/>
            <w:vAlign w:val="bottom"/>
          </w:tcPr>
          <w:p>
            <w:pPr>
              <w:ind w:left="360"/>
              <w:spacing w:after="0"/>
              <w:rPr>
                <w:sz w:val="20"/>
                <w:szCs w:val="20"/>
                <w:color w:val="auto"/>
              </w:rPr>
            </w:pPr>
            <w:r>
              <w:rPr>
                <w:rFonts w:ascii="Arial" w:cs="Arial" w:eastAsia="Arial" w:hAnsi="Arial"/>
                <w:sz w:val="18"/>
                <w:szCs w:val="18"/>
                <w:color w:val="auto"/>
              </w:rPr>
              <w:t>Filed herewith.</w:t>
            </w:r>
          </w:p>
        </w:tc>
        <w:tc>
          <w:tcPr>
            <w:tcW w:w="1200" w:type="dxa"/>
            <w:vAlign w:val="bottom"/>
          </w:tcPr>
          <w:p>
            <w:pPr>
              <w:spacing w:after="0"/>
              <w:rPr>
                <w:sz w:val="24"/>
                <w:szCs w:val="24"/>
                <w:color w:val="auto"/>
              </w:rPr>
            </w:pPr>
          </w:p>
        </w:tc>
      </w:tr>
      <w:tr>
        <w:trPr>
          <w:trHeight w:val="433"/>
        </w:trPr>
        <w:tc>
          <w:tcPr>
            <w:tcW w:w="1220" w:type="dxa"/>
            <w:vAlign w:val="bottom"/>
          </w:tcPr>
          <w:p>
            <w:pPr>
              <w:spacing w:after="0"/>
              <w:rPr>
                <w:sz w:val="24"/>
                <w:szCs w:val="24"/>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24.1</w:t>
            </w:r>
          </w:p>
        </w:tc>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Power of Attorney</w:t>
            </w:r>
          </w:p>
        </w:tc>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See signature page.</w:t>
            </w:r>
          </w:p>
        </w:tc>
        <w:tc>
          <w:tcPr>
            <w:tcW w:w="1200" w:type="dxa"/>
            <w:vAlign w:val="bottom"/>
          </w:tcPr>
          <w:p>
            <w:pPr>
              <w:spacing w:after="0"/>
              <w:rPr>
                <w:sz w:val="24"/>
                <w:szCs w:val="24"/>
                <w:color w:val="auto"/>
              </w:rPr>
            </w:pPr>
          </w:p>
        </w:tc>
      </w:tr>
      <w:tr>
        <w:trPr>
          <w:trHeight w:val="118"/>
        </w:trPr>
        <w:tc>
          <w:tcPr>
            <w:tcW w:w="12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920" w:type="dxa"/>
            <w:vAlign w:val="bottom"/>
            <w:tcBorders>
              <w:bottom w:val="single" w:sz="8" w:color="808080"/>
            </w:tcBorders>
          </w:tcPr>
          <w:p>
            <w:pPr>
              <w:spacing w:after="0"/>
              <w:rPr>
                <w:sz w:val="10"/>
                <w:szCs w:val="10"/>
                <w:color w:val="auto"/>
              </w:rPr>
            </w:pPr>
          </w:p>
        </w:tc>
        <w:tc>
          <w:tcPr>
            <w:tcW w:w="40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PART I INFORMATION REQUIRED IN THE SECTION 10(a) PROSPECTUS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PART II INFORMATION REQUIRED IN THE REGISTRATION STATEMENT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3. Incorporation of Documents by Reference.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5. Interests of Named Experts and Counsel</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6. Indemnification of Directors and Officers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8 Exhibits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9. Undertakings.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POWER OF ATTORNEY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HAWKINS, INC. EXHIBIT INDEX TO FORM S-8 REGISTRATION STATEMENT</w:t>
        </w:r>
      </w:hyperlink>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22"/>
          <w:szCs w:val="22"/>
          <w:color w:val="0000EE"/>
        </w:rPr>
      </w:pPr>
      <w:hyperlink w:anchor="page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ind w:left="10400"/>
        <w:spacing w:after="0"/>
        <w:rPr>
          <w:sz w:val="20"/>
          <w:szCs w:val="20"/>
          <w:color w:val="auto"/>
        </w:rPr>
      </w:pPr>
      <w:r>
        <w:rPr>
          <w:rFonts w:ascii="Arial" w:cs="Arial" w:eastAsia="Arial" w:hAnsi="Arial"/>
          <w:sz w:val="18"/>
          <w:szCs w:val="18"/>
          <w:b w:val="1"/>
          <w:bCs w:val="1"/>
          <w:color w:val="auto"/>
        </w:rPr>
        <w:t>EXHIBIT 4.3</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HAWKINS,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EMPLOYEE STOCK PURCHASE PLAN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Amended and Restated Effective May 1, 2002</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constitute the provisions of the Employee Stock Purchase Plan of Hawkins, Inc., a Minnesota corporation.</w:t>
      </w:r>
    </w:p>
    <w:p>
      <w:pPr>
        <w:spacing w:after="0" w:line="225" w:lineRule="exact"/>
        <w:rPr>
          <w:sz w:val="20"/>
          <w:szCs w:val="20"/>
          <w:color w:val="auto"/>
        </w:rPr>
      </w:pPr>
    </w:p>
    <w:p>
      <w:pPr>
        <w:jc w:val="both"/>
        <w:ind w:right="220" w:firstLine="359"/>
        <w:spacing w:after="0" w:line="259" w:lineRule="auto"/>
        <w:tabs>
          <w:tab w:leader="none" w:pos="658"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Purpose. </w:t>
      </w:r>
      <w:r>
        <w:rPr>
          <w:rFonts w:ascii="Arial" w:cs="Arial" w:eastAsia="Arial" w:hAnsi="Arial"/>
          <w:sz w:val="18"/>
          <w:szCs w:val="18"/>
          <w:color w:val="auto"/>
        </w:rPr>
        <w:t>The purpose of the Plan is to provide Employees of the Company and Participating Subsidiaries and Eligible Directors of the Company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opportunity to purchase common stock of the Company. In addition, the Company and any Participating Subsidiary may provide a matching contribution as an incentive for such individuals to purchase common stock of the Company.</w:t>
      </w:r>
    </w:p>
    <w:p>
      <w:pPr>
        <w:spacing w:after="0" w:line="194" w:lineRule="exact"/>
        <w:rPr>
          <w:rFonts w:ascii="Arial" w:cs="Arial" w:eastAsia="Arial" w:hAnsi="Arial"/>
          <w:sz w:val="18"/>
          <w:szCs w:val="18"/>
          <w:b w:val="1"/>
          <w:bCs w:val="1"/>
          <w:color w:val="auto"/>
        </w:rPr>
      </w:pPr>
    </w:p>
    <w:p>
      <w:pPr>
        <w:ind w:right="500" w:firstLine="359"/>
        <w:spacing w:after="0" w:line="268" w:lineRule="auto"/>
        <w:tabs>
          <w:tab w:leader="none" w:pos="658"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Definitions. </w:t>
      </w:r>
      <w:r>
        <w:rPr>
          <w:rFonts w:ascii="Arial" w:cs="Arial" w:eastAsia="Arial" w:hAnsi="Arial"/>
          <w:sz w:val="18"/>
          <w:szCs w:val="18"/>
          <w:color w:val="auto"/>
        </w:rPr>
        <w:t>Unless the context requires otherwise, when capitalized the terms listed below shall have the following meanings when used in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or other parts of the Plan:</w:t>
      </w:r>
    </w:p>
    <w:p>
      <w:pPr>
        <w:spacing w:after="0" w:line="193" w:lineRule="exact"/>
        <w:rPr>
          <w:rFonts w:ascii="Arial" w:cs="Arial" w:eastAsia="Arial" w:hAnsi="Arial"/>
          <w:sz w:val="18"/>
          <w:szCs w:val="18"/>
          <w:b w:val="1"/>
          <w:bCs w:val="1"/>
          <w:color w:val="auto"/>
        </w:rPr>
      </w:pPr>
    </w:p>
    <w:p>
      <w:pPr>
        <w:ind w:left="1080" w:right="260" w:hanging="532"/>
        <w:spacing w:after="0" w:line="262" w:lineRule="auto"/>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"Account" </w:t>
      </w:r>
      <w:r>
        <w:rPr>
          <w:rFonts w:ascii="Arial" w:cs="Arial" w:eastAsia="Arial" w:hAnsi="Arial"/>
          <w:sz w:val="18"/>
          <w:szCs w:val="18"/>
          <w:color w:val="auto"/>
        </w:rPr>
        <w:t>means the bookkeeping account, maintained in accordance with the Plan and Depository Agreement, which records the amount</w:t>
      </w:r>
      <w:r>
        <w:rPr>
          <w:rFonts w:ascii="Arial" w:cs="Arial" w:eastAsia="Arial" w:hAnsi="Arial"/>
          <w:sz w:val="18"/>
          <w:szCs w:val="18"/>
          <w:b w:val="1"/>
          <w:bCs w:val="1"/>
          <w:color w:val="auto"/>
        </w:rPr>
        <w:t xml:space="preserve"> </w:t>
      </w:r>
      <w:r>
        <w:rPr>
          <w:rFonts w:ascii="Arial" w:cs="Arial" w:eastAsia="Arial" w:hAnsi="Arial"/>
          <w:sz w:val="18"/>
          <w:szCs w:val="18"/>
          <w:color w:val="auto"/>
        </w:rPr>
        <w:t>withheld from each Participant through payroll deductions or otherwise from time to time and which reflects the number of Participant's Shares held under the Plan.</w:t>
      </w:r>
    </w:p>
    <w:p>
      <w:pPr>
        <w:spacing w:after="0" w:line="213" w:lineRule="exact"/>
        <w:rPr>
          <w:rFonts w:ascii="Arial" w:cs="Arial" w:eastAsia="Arial" w:hAnsi="Arial"/>
          <w:sz w:val="18"/>
          <w:szCs w:val="18"/>
          <w:color w:val="auto"/>
        </w:rPr>
      </w:pPr>
    </w:p>
    <w:p>
      <w:pPr>
        <w:ind w:left="1080" w:hanging="53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means the board of directors of the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Hawkins, Inc., a Minnesota corporation.</w:t>
      </w:r>
    </w:p>
    <w:p>
      <w:pPr>
        <w:spacing w:after="0" w:line="238" w:lineRule="exact"/>
        <w:rPr>
          <w:rFonts w:ascii="Arial" w:cs="Arial" w:eastAsia="Arial" w:hAnsi="Arial"/>
          <w:sz w:val="18"/>
          <w:szCs w:val="18"/>
          <w:color w:val="auto"/>
        </w:rPr>
      </w:pPr>
    </w:p>
    <w:p>
      <w:pPr>
        <w:ind w:left="1080" w:hanging="532"/>
        <w:spacing w:after="0" w:line="275" w:lineRule="auto"/>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"Compensation" </w:t>
      </w:r>
      <w:r>
        <w:rPr>
          <w:rFonts w:ascii="Arial" w:cs="Arial" w:eastAsia="Arial" w:hAnsi="Arial"/>
          <w:sz w:val="18"/>
          <w:szCs w:val="18"/>
          <w:color w:val="auto"/>
        </w:rPr>
        <w:t>means cash wages paid by the Employer subject to income tax withholding in the case of an Employee, and cash annual retainer</w:t>
      </w:r>
      <w:r>
        <w:rPr>
          <w:rFonts w:ascii="Arial" w:cs="Arial" w:eastAsia="Arial" w:hAnsi="Arial"/>
          <w:sz w:val="18"/>
          <w:szCs w:val="18"/>
          <w:b w:val="1"/>
          <w:bCs w:val="1"/>
          <w:color w:val="auto"/>
        </w:rPr>
        <w:t xml:space="preserve"> </w:t>
      </w:r>
      <w:r>
        <w:rPr>
          <w:rFonts w:ascii="Arial" w:cs="Arial" w:eastAsia="Arial" w:hAnsi="Arial"/>
          <w:sz w:val="18"/>
          <w:szCs w:val="18"/>
          <w:color w:val="auto"/>
        </w:rPr>
        <w:t>or meeting fees paid by the Company in the case of an Eligible Director.</w:t>
      </w:r>
    </w:p>
    <w:p>
      <w:pPr>
        <w:spacing w:after="0" w:line="200" w:lineRule="exact"/>
        <w:rPr>
          <w:rFonts w:ascii="Arial" w:cs="Arial" w:eastAsia="Arial" w:hAnsi="Arial"/>
          <w:sz w:val="18"/>
          <w:szCs w:val="18"/>
          <w:color w:val="auto"/>
        </w:rPr>
      </w:pPr>
    </w:p>
    <w:p>
      <w:pPr>
        <w:ind w:left="1080" w:right="660" w:hanging="532"/>
        <w:spacing w:after="0" w:line="275" w:lineRule="auto"/>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"Participating Subsidiary" </w:t>
      </w:r>
      <w:r>
        <w:rPr>
          <w:rFonts w:ascii="Arial" w:cs="Arial" w:eastAsia="Arial" w:hAnsi="Arial"/>
          <w:sz w:val="18"/>
          <w:szCs w:val="18"/>
          <w:color w:val="auto"/>
        </w:rPr>
        <w:t>means a Subsidiary which the Company elects from time to time, by resolution duly adopted by its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to participate in this Plan.</w:t>
      </w:r>
    </w:p>
    <w:p>
      <w:pPr>
        <w:spacing w:after="0" w:line="187" w:lineRule="exact"/>
        <w:rPr>
          <w:rFonts w:ascii="Arial" w:cs="Arial" w:eastAsia="Arial" w:hAnsi="Arial"/>
          <w:sz w:val="18"/>
          <w:szCs w:val="18"/>
          <w:color w:val="auto"/>
        </w:rPr>
      </w:pPr>
    </w:p>
    <w:p>
      <w:pPr>
        <w:ind w:left="1080" w:right="100" w:hanging="532"/>
        <w:spacing w:after="0" w:line="275" w:lineRule="auto"/>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"Eligible Director" </w:t>
      </w:r>
      <w:r>
        <w:rPr>
          <w:rFonts w:ascii="Arial" w:cs="Arial" w:eastAsia="Arial" w:hAnsi="Arial"/>
          <w:sz w:val="18"/>
          <w:szCs w:val="18"/>
          <w:color w:val="auto"/>
        </w:rPr>
        <w:t>means (i) a member of the Board who is not an Employee or (ii) a former member of the Board who is not an Employee and</w:t>
      </w:r>
      <w:r>
        <w:rPr>
          <w:rFonts w:ascii="Arial" w:cs="Arial" w:eastAsia="Arial" w:hAnsi="Arial"/>
          <w:sz w:val="18"/>
          <w:szCs w:val="18"/>
          <w:b w:val="1"/>
          <w:bCs w:val="1"/>
          <w:color w:val="auto"/>
        </w:rPr>
        <w:t xml:space="preserve"> </w:t>
      </w:r>
      <w:r>
        <w:rPr>
          <w:rFonts w:ascii="Arial" w:cs="Arial" w:eastAsia="Arial" w:hAnsi="Arial"/>
          <w:sz w:val="18"/>
          <w:szCs w:val="18"/>
          <w:color w:val="auto"/>
        </w:rPr>
        <w:t>who is paid annual or meeting fees as an advisor to the Board.</w:t>
      </w:r>
    </w:p>
    <w:p>
      <w:pPr>
        <w:spacing w:after="0" w:line="187" w:lineRule="exact"/>
        <w:rPr>
          <w:rFonts w:ascii="Arial" w:cs="Arial" w:eastAsia="Arial" w:hAnsi="Arial"/>
          <w:sz w:val="18"/>
          <w:szCs w:val="18"/>
          <w:color w:val="auto"/>
        </w:rPr>
      </w:pPr>
    </w:p>
    <w:p>
      <w:pPr>
        <w:ind w:left="1080" w:hanging="53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"Eligible Employee" </w:t>
      </w:r>
      <w:r>
        <w:rPr>
          <w:rFonts w:ascii="Arial" w:cs="Arial" w:eastAsia="Arial" w:hAnsi="Arial"/>
          <w:sz w:val="18"/>
          <w:szCs w:val="18"/>
          <w:color w:val="auto"/>
        </w:rPr>
        <w:t>means an Employee who has attained age 18 and who has completed ninety (90) days of employment.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"Employee" </w:t>
      </w:r>
      <w:r>
        <w:rPr>
          <w:rFonts w:ascii="Arial" w:cs="Arial" w:eastAsia="Arial" w:hAnsi="Arial"/>
          <w:sz w:val="16"/>
          <w:szCs w:val="16"/>
          <w:color w:val="auto"/>
        </w:rPr>
        <w:t>means an individual treated by the Employer as a common law employee of the Company or a Participating Subsidiary.</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"Employer" </w:t>
      </w:r>
      <w:r>
        <w:rPr>
          <w:rFonts w:ascii="Arial" w:cs="Arial" w:eastAsia="Arial" w:hAnsi="Arial"/>
          <w:sz w:val="18"/>
          <w:szCs w:val="18"/>
          <w:color w:val="auto"/>
        </w:rPr>
        <w:t>means the Company or a Participating Subsidiary.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"Hardship Withdrawal" </w:t>
      </w:r>
      <w:r>
        <w:rPr>
          <w:rFonts w:ascii="Arial" w:cs="Arial" w:eastAsia="Arial" w:hAnsi="Arial"/>
          <w:sz w:val="18"/>
          <w:szCs w:val="18"/>
          <w:color w:val="auto"/>
        </w:rPr>
        <w:t>means a withdrawal or sale of Shares allocated to a Participant's account by a Participant where:</w:t>
      </w:r>
    </w:p>
    <w:p>
      <w:pPr>
        <w:spacing w:after="0" w:line="200" w:lineRule="exact"/>
        <w:rPr>
          <w:rFonts w:ascii="Arial" w:cs="Arial" w:eastAsia="Arial" w:hAnsi="Arial"/>
          <w:sz w:val="18"/>
          <w:szCs w:val="18"/>
          <w:color w:val="auto"/>
        </w:rPr>
      </w:pPr>
    </w:p>
    <w:p>
      <w:pPr>
        <w:spacing w:after="0" w:line="274" w:lineRule="exact"/>
        <w:rPr>
          <w:rFonts w:ascii="Arial" w:cs="Arial" w:eastAsia="Arial" w:hAnsi="Arial"/>
          <w:sz w:val="18"/>
          <w:szCs w:val="18"/>
          <w:color w:val="auto"/>
        </w:rPr>
      </w:pPr>
    </w:p>
    <w:p>
      <w:pPr>
        <w:ind w:left="1620" w:right="600" w:hanging="532"/>
        <w:spacing w:after="0" w:line="268" w:lineRule="auto"/>
        <w:tabs>
          <w:tab w:leader="none" w:pos="1620" w:val="left"/>
        </w:tabs>
        <w:numPr>
          <w:ilvl w:val="2"/>
          <w:numId w:val="8"/>
        </w:numPr>
        <w:rPr>
          <w:rFonts w:ascii="Arial" w:cs="Arial" w:eastAsia="Arial" w:hAnsi="Arial"/>
          <w:sz w:val="18"/>
          <w:szCs w:val="18"/>
          <w:color w:val="auto"/>
        </w:rPr>
      </w:pPr>
      <w:r>
        <w:rPr>
          <w:rFonts w:ascii="Arial" w:cs="Arial" w:eastAsia="Arial" w:hAnsi="Arial"/>
          <w:sz w:val="18"/>
          <w:szCs w:val="18"/>
          <w:color w:val="auto"/>
        </w:rPr>
        <w:t>the withdrawal or sale is requested on account of, and does not exceed the amount necessary to satisfy, a hardship of the individual concerned;</w:t>
      </w:r>
    </w:p>
    <w:p>
      <w:pPr>
        <w:spacing w:after="0" w:line="199" w:lineRule="exact"/>
        <w:rPr>
          <w:rFonts w:ascii="Arial" w:cs="Arial" w:eastAsia="Arial" w:hAnsi="Arial"/>
          <w:sz w:val="18"/>
          <w:szCs w:val="18"/>
          <w:color w:val="auto"/>
        </w:rPr>
      </w:pPr>
    </w:p>
    <w:p>
      <w:pPr>
        <w:ind w:left="1620" w:right="500" w:hanging="532"/>
        <w:spacing w:after="0" w:line="268" w:lineRule="auto"/>
        <w:tabs>
          <w:tab w:leader="none" w:pos="1620" w:val="left"/>
        </w:tabs>
        <w:numPr>
          <w:ilvl w:val="2"/>
          <w:numId w:val="8"/>
        </w:numPr>
        <w:rPr>
          <w:rFonts w:ascii="Arial" w:cs="Arial" w:eastAsia="Arial" w:hAnsi="Arial"/>
          <w:sz w:val="18"/>
          <w:szCs w:val="18"/>
          <w:color w:val="auto"/>
        </w:rPr>
      </w:pPr>
      <w:r>
        <w:rPr>
          <w:rFonts w:ascii="Arial" w:cs="Arial" w:eastAsia="Arial" w:hAnsi="Arial"/>
          <w:sz w:val="18"/>
          <w:szCs w:val="18"/>
          <w:color w:val="auto"/>
        </w:rPr>
        <w:t>the nature of the hardship is described in safe harbor provisions specified in Treasury Regulations under Section 401(k)(2)(B)(I)(IV) (currently, Reg. §1.401(k)-1(d)(2)(iv)(A) and (C)), as amended; and</w:t>
      </w:r>
    </w:p>
    <w:p>
      <w:pPr>
        <w:spacing w:after="0" w:line="199" w:lineRule="exact"/>
        <w:rPr>
          <w:rFonts w:ascii="Arial" w:cs="Arial" w:eastAsia="Arial" w:hAnsi="Arial"/>
          <w:sz w:val="18"/>
          <w:szCs w:val="18"/>
          <w:color w:val="auto"/>
        </w:rPr>
      </w:pPr>
    </w:p>
    <w:p>
      <w:pPr>
        <w:ind w:left="1620" w:right="220" w:hanging="532"/>
        <w:spacing w:after="0" w:line="268" w:lineRule="auto"/>
        <w:tabs>
          <w:tab w:leader="none" w:pos="1620" w:val="left"/>
        </w:tabs>
        <w:numPr>
          <w:ilvl w:val="2"/>
          <w:numId w:val="8"/>
        </w:numPr>
        <w:rPr>
          <w:rFonts w:ascii="Arial" w:cs="Arial" w:eastAsia="Arial" w:hAnsi="Arial"/>
          <w:sz w:val="18"/>
          <w:szCs w:val="18"/>
          <w:color w:val="auto"/>
        </w:rPr>
      </w:pPr>
      <w:r>
        <w:rPr>
          <w:rFonts w:ascii="Arial" w:cs="Arial" w:eastAsia="Arial" w:hAnsi="Arial"/>
          <w:sz w:val="18"/>
          <w:szCs w:val="18"/>
          <w:color w:val="auto"/>
        </w:rPr>
        <w:t>the individual concerned, prior to making such withdrawal or sale, has established in writing to the satisfaction of the Plan administrator the nature of the hardship, and the amount necessary to satisfy the hardship.</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6" w:lineRule="exact"/>
        <w:rPr>
          <w:rFonts w:ascii="Arial" w:cs="Arial" w:eastAsia="Arial" w:hAnsi="Arial"/>
          <w:sz w:val="18"/>
          <w:szCs w:val="18"/>
          <w:color w:val="auto"/>
        </w:rPr>
      </w:pPr>
    </w:p>
    <w:p>
      <w:pPr>
        <w:ind w:left="1080" w:hanging="532"/>
        <w:spacing w:after="0"/>
        <w:tabs>
          <w:tab w:leader="none" w:pos="1080" w:val="left"/>
        </w:tabs>
        <w:numPr>
          <w:ilvl w:val="1"/>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"Participant" </w:t>
      </w:r>
      <w:r>
        <w:rPr>
          <w:rFonts w:ascii="Arial" w:cs="Arial" w:eastAsia="Arial" w:hAnsi="Arial"/>
          <w:sz w:val="16"/>
          <w:szCs w:val="16"/>
          <w:color w:val="auto"/>
        </w:rPr>
        <w:t>means an Eligible Employee or Eligible Director who has elected to participate in the Plan in the manner set forth in Section 3.</w:t>
      </w:r>
    </w:p>
    <w:p>
      <w:pPr>
        <w:spacing w:after="0" w:line="200" w:lineRule="exact"/>
        <w:rPr>
          <w:rFonts w:ascii="Arial" w:cs="Arial" w:eastAsia="Arial" w:hAnsi="Arial"/>
          <w:sz w:val="16"/>
          <w:szCs w:val="16"/>
          <w:color w:val="auto"/>
        </w:rPr>
      </w:pPr>
    </w:p>
    <w:p>
      <w:pPr>
        <w:spacing w:after="0" w:line="304" w:lineRule="exact"/>
        <w:rPr>
          <w:rFonts w:ascii="Arial" w:cs="Arial" w:eastAsia="Arial" w:hAnsi="Arial"/>
          <w:sz w:val="16"/>
          <w:szCs w:val="16"/>
          <w:color w:val="auto"/>
        </w:rPr>
      </w:pPr>
    </w:p>
    <w:p>
      <w:pPr>
        <w:ind w:left="1080" w:hanging="53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means the Hawkins, Inc. Employee Stock Purchase Plan as described herein and as it may be amended in the future.</w:t>
      </w:r>
    </w:p>
    <w:p>
      <w:pPr>
        <w:spacing w:after="0" w:line="252" w:lineRule="exact"/>
        <w:rPr>
          <w:rFonts w:ascii="Arial" w:cs="Arial" w:eastAsia="Arial" w:hAnsi="Arial"/>
          <w:sz w:val="18"/>
          <w:szCs w:val="18"/>
          <w:color w:val="auto"/>
        </w:rPr>
      </w:pPr>
    </w:p>
    <w:p>
      <w:pPr>
        <w:ind w:left="1080" w:hanging="532"/>
        <w:spacing w:after="0" w:line="275" w:lineRule="auto"/>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"Prospectus" </w:t>
      </w:r>
      <w:r>
        <w:rPr>
          <w:rFonts w:ascii="Arial" w:cs="Arial" w:eastAsia="Arial" w:hAnsi="Arial"/>
          <w:sz w:val="18"/>
          <w:szCs w:val="18"/>
          <w:color w:val="auto"/>
        </w:rPr>
        <w:t>means the prospectus, as in effect from or after May 1, 2002, delivered to eligible Participants with respect to the purchase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Common Stock under the Plan.</w:t>
      </w:r>
    </w:p>
    <w:p>
      <w:pPr>
        <w:spacing w:after="0" w:line="187" w:lineRule="exact"/>
        <w:rPr>
          <w:rFonts w:ascii="Arial" w:cs="Arial" w:eastAsia="Arial" w:hAnsi="Arial"/>
          <w:sz w:val="18"/>
          <w:szCs w:val="18"/>
          <w:color w:val="auto"/>
        </w:rPr>
      </w:pPr>
    </w:p>
    <w:p>
      <w:pPr>
        <w:ind w:left="1080" w:hanging="532"/>
        <w:spacing w:after="0"/>
        <w:tabs>
          <w:tab w:leader="none" w:pos="1080" w:val="left"/>
        </w:tabs>
        <w:numPr>
          <w:ilvl w:val="1"/>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 Period"</w:t>
      </w:r>
      <w:r>
        <w:rPr>
          <w:rFonts w:ascii="Arial" w:cs="Arial" w:eastAsia="Arial" w:hAnsi="Arial"/>
          <w:sz w:val="16"/>
          <w:szCs w:val="16"/>
          <w:color w:val="auto"/>
        </w:rPr>
        <w:t xml:space="preserve"> means each calendar month starting on the first business day and ending on the last business day of such calendar month.</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1"/>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"Shares" </w:t>
      </w:r>
      <w:r>
        <w:rPr>
          <w:rFonts w:ascii="Arial" w:cs="Arial" w:eastAsia="Arial" w:hAnsi="Arial"/>
          <w:sz w:val="16"/>
          <w:szCs w:val="16"/>
          <w:color w:val="auto"/>
        </w:rPr>
        <w:t>means the common stock, par value $.05 per share (or as such par value may be adjusted from time to time), of the Company.</w:t>
      </w:r>
    </w:p>
    <w:p>
      <w:pPr>
        <w:spacing w:after="0" w:line="275" w:lineRule="exact"/>
        <w:rPr>
          <w:rFonts w:ascii="Arial" w:cs="Arial" w:eastAsia="Arial" w:hAnsi="Arial"/>
          <w:sz w:val="16"/>
          <w:szCs w:val="16"/>
          <w:color w:val="auto"/>
        </w:rPr>
      </w:pPr>
    </w:p>
    <w:p>
      <w:pPr>
        <w:ind w:left="1080" w:hanging="532"/>
        <w:spacing w:after="0" w:line="275" w:lineRule="auto"/>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means a corporation or other business entity in which the Company owns, directly or indirectly through other such business entities,</w:t>
      </w:r>
      <w:r>
        <w:rPr>
          <w:rFonts w:ascii="Arial" w:cs="Arial" w:eastAsia="Arial" w:hAnsi="Arial"/>
          <w:sz w:val="18"/>
          <w:szCs w:val="18"/>
          <w:b w:val="1"/>
          <w:bCs w:val="1"/>
          <w:color w:val="auto"/>
        </w:rPr>
        <w:t xml:space="preserve"> </w:t>
      </w:r>
      <w:r>
        <w:rPr>
          <w:rFonts w:ascii="Arial" w:cs="Arial" w:eastAsia="Arial" w:hAnsi="Arial"/>
          <w:sz w:val="18"/>
          <w:szCs w:val="18"/>
          <w:color w:val="auto"/>
        </w:rPr>
        <w:t>at least eighty percent (80%) of the voting shares or similar equity interests.</w:t>
      </w:r>
    </w:p>
    <w:p>
      <w:pPr>
        <w:spacing w:after="0" w:line="187" w:lineRule="exact"/>
        <w:rPr>
          <w:rFonts w:ascii="Arial" w:cs="Arial" w:eastAsia="Arial" w:hAnsi="Arial"/>
          <w:sz w:val="18"/>
          <w:szCs w:val="18"/>
          <w:color w:val="auto"/>
        </w:rPr>
      </w:pPr>
    </w:p>
    <w:p>
      <w:pPr>
        <w:ind w:left="1080" w:hanging="53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"Year" </w:t>
      </w:r>
      <w:r>
        <w:rPr>
          <w:rFonts w:ascii="Arial" w:cs="Arial" w:eastAsia="Arial" w:hAnsi="Arial"/>
          <w:sz w:val="18"/>
          <w:szCs w:val="18"/>
          <w:color w:val="auto"/>
        </w:rPr>
        <w:t>means the calendar year, except that the period from May 1, 2002 through December 31, 2002 shall be treated as a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-1993265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0" w:gutter="0" w:footer="0" w:header="0"/>
        </w:sectPr>
      </w:pPr>
    </w:p>
    <w:bookmarkStart w:id="6" w:name="page7"/>
    <w:bookmarkEnd w:id="6"/>
    <w:p>
      <w:pPr>
        <w:ind w:right="140" w:firstLine="359"/>
        <w:spacing w:after="0" w:line="256" w:lineRule="auto"/>
        <w:tabs>
          <w:tab w:leader="none" w:pos="658"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Electing to Participate. </w:t>
      </w:r>
      <w:r>
        <w:rPr>
          <w:rFonts w:ascii="Arial" w:cs="Arial" w:eastAsia="Arial" w:hAnsi="Arial"/>
          <w:sz w:val="18"/>
          <w:szCs w:val="18"/>
          <w:color w:val="auto"/>
        </w:rPr>
        <w:t>Participation in the Plan is entirely voluntary on the part of Eligible Employees and Eligible Directors. Each Eligible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and Eligible Director should understand that there are risks involving stock ownership and the Company is making no recommendations to them regarding the purchase of Shares. To be eligible to participate in the Plan for a given Purchase Period, an individual must be an Eligible Employee or an Eligible Director as of the first day of the Purchase Period.</w:t>
      </w:r>
    </w:p>
    <w:p>
      <w:pPr>
        <w:spacing w:after="0" w:line="197" w:lineRule="exact"/>
        <w:rPr>
          <w:rFonts w:ascii="Arial" w:cs="Arial" w:eastAsia="Arial" w:hAnsi="Arial"/>
          <w:sz w:val="18"/>
          <w:szCs w:val="18"/>
          <w:b w:val="1"/>
          <w:bCs w:val="1"/>
          <w:color w:val="auto"/>
        </w:rPr>
      </w:pPr>
    </w:p>
    <w:p>
      <w:pPr>
        <w:ind w:left="540" w:right="20" w:firstLine="359"/>
        <w:spacing w:after="0" w:line="291" w:lineRule="auto"/>
        <w:tabs>
          <w:tab w:leader="none" w:pos="1262" w:val="left"/>
        </w:tabs>
        <w:numPr>
          <w:ilvl w:val="1"/>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Eligible Employees. </w:t>
      </w:r>
      <w:r>
        <w:rPr>
          <w:rFonts w:ascii="Arial" w:cs="Arial" w:eastAsia="Arial" w:hAnsi="Arial"/>
          <w:sz w:val="16"/>
          <w:szCs w:val="16"/>
          <w:color w:val="auto"/>
        </w:rPr>
        <w:t>An Eligible Employee may become a Participant in the Plan by delivering to the Employer at least five business days</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the first day of a Purchase Period (i) a completed authorization form as prescribed from time to time by the Employer for payroll deductions from Compensation for each paycheck issued during the Purchase Period, and (ii) the necessary completed forms authorizing the Depository Agent to establish an Account for and to purchase Shares on behalf of the Eligible Employee. An Eligible Employee who delivers the authorization forms within the last five business days of a Purchase Period shall be deemed to have elected to participate in the Plan commencing on the first day of the second following Purchase Period. (For example, if forms are delivered on June 29 of a year, the participation will commence on August 1 of that year).</w:t>
      </w:r>
    </w:p>
    <w:p>
      <w:pPr>
        <w:spacing w:after="0" w:line="174" w:lineRule="exact"/>
        <w:rPr>
          <w:rFonts w:ascii="Arial" w:cs="Arial" w:eastAsia="Arial" w:hAnsi="Arial"/>
          <w:sz w:val="16"/>
          <w:szCs w:val="16"/>
          <w:color w:val="auto"/>
        </w:rPr>
      </w:pPr>
    </w:p>
    <w:p>
      <w:pPr>
        <w:ind w:left="540" w:right="100" w:firstLine="359"/>
        <w:spacing w:after="0" w:line="291" w:lineRule="auto"/>
        <w:tabs>
          <w:tab w:leader="none" w:pos="1271" w:val="left"/>
        </w:tabs>
        <w:numPr>
          <w:ilvl w:val="1"/>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Eligible Directors. </w:t>
      </w:r>
      <w:r>
        <w:rPr>
          <w:rFonts w:ascii="Arial" w:cs="Arial" w:eastAsia="Arial" w:hAnsi="Arial"/>
          <w:sz w:val="16"/>
          <w:szCs w:val="16"/>
          <w:color w:val="auto"/>
        </w:rPr>
        <w:t>An Eligible Director may become a Participant in the Plan at any time by delivering to the Company at least five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days prior to the first day of a Purchase Period (i) a completed form of authorization as prescribed from time to time by the Company for withholding from Compensation, and (ii) the necessary completed forms authorizing the Depository Agent to establish an Account for and to purchase Shares on behalf of the Eligible Director. An Eligible Director who delivers the authorization forms within the last five business days of a Purchase Period shall be deemed to have elected to participate in the Plan commencing on the first day of the second following Purchase Period. (For example, if forms are delivered on June 29 of a year, the participation will commence on August 1 of that year).</w:t>
      </w:r>
    </w:p>
    <w:p>
      <w:pPr>
        <w:spacing w:after="0" w:line="174" w:lineRule="exact"/>
        <w:rPr>
          <w:rFonts w:ascii="Arial" w:cs="Arial" w:eastAsia="Arial" w:hAnsi="Arial"/>
          <w:sz w:val="16"/>
          <w:szCs w:val="16"/>
          <w:color w:val="auto"/>
        </w:rPr>
      </w:pPr>
    </w:p>
    <w:p>
      <w:pPr>
        <w:ind w:right="160" w:firstLine="359"/>
        <w:spacing w:after="0" w:line="259" w:lineRule="auto"/>
        <w:tabs>
          <w:tab w:leader="none" w:pos="658"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Participant Contributions. </w:t>
      </w:r>
      <w:r>
        <w:rPr>
          <w:rFonts w:ascii="Arial" w:cs="Arial" w:eastAsia="Arial" w:hAnsi="Arial"/>
          <w:sz w:val="18"/>
          <w:szCs w:val="18"/>
          <w:color w:val="auto"/>
        </w:rPr>
        <w:t>(a)</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Eligible Employees.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monthly payroll withholding deduction shall be as determined by the Eligible Employee, but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must be in whole dollars and cannot be less than ten dollars ($10), nor more than the lesser of the scheduled Compensation payment (without regard to such withholding) and five hundred dollars ($500) per month.</w:t>
      </w:r>
    </w:p>
    <w:p>
      <w:pPr>
        <w:spacing w:after="0" w:line="194" w:lineRule="exact"/>
        <w:rPr>
          <w:rFonts w:ascii="Arial" w:cs="Arial" w:eastAsia="Arial" w:hAnsi="Arial"/>
          <w:sz w:val="18"/>
          <w:szCs w:val="18"/>
          <w:b w:val="1"/>
          <w:bCs w:val="1"/>
          <w:color w:val="auto"/>
        </w:rPr>
      </w:pPr>
    </w:p>
    <w:p>
      <w:pPr>
        <w:ind w:left="540" w:right="40" w:firstLine="359"/>
        <w:spacing w:after="0" w:line="259" w:lineRule="auto"/>
        <w:tabs>
          <w:tab w:leader="none" w:pos="1271"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Eligible Directors. </w:t>
      </w:r>
      <w:r>
        <w:rPr>
          <w:rFonts w:ascii="Arial" w:cs="Arial" w:eastAsia="Arial" w:hAnsi="Arial"/>
          <w:sz w:val="18"/>
          <w:szCs w:val="18"/>
          <w:color w:val="auto"/>
        </w:rPr>
        <w:t>The monthly withholding deduction, which shall be made from scheduled Compensation payments, shall be as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Eligible Director but must be in whole dollars and cannot be less than ten dollars ($10), nor more than the lesser of the scheduled Compensation payment (without regard to such withholding) and five hundred dollars ($500) per month.</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right="240" w:firstLine="359"/>
        <w:spacing w:after="0" w:line="255" w:lineRule="auto"/>
        <w:tabs>
          <w:tab w:leader="none" w:pos="658"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Matching Bonus. </w:t>
      </w:r>
      <w:r>
        <w:rPr>
          <w:rFonts w:ascii="Arial" w:cs="Arial" w:eastAsia="Arial" w:hAnsi="Arial"/>
          <w:sz w:val="18"/>
          <w:szCs w:val="18"/>
          <w:color w:val="auto"/>
        </w:rPr>
        <w:t>(a)</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General.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as provided below, each Purchase Period, and at the same time as Compensation withholding deductions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paid to the Depository Agent, the Employer shall pay to the Depository Agent, for the Account of each eligible Participant, a matching bonus equal to seventy-five percent (75%) of the amount contributed by such Participant for that Purchase Period. For each Participant who is an Eligible Employee, to the extent possible the appropriate tax withholding related to the payment of such bonus amount shall be made by the Employer from the other wages paid to such Participant in such pay period.</w:t>
      </w:r>
    </w:p>
    <w:p>
      <w:pPr>
        <w:spacing w:after="0" w:line="196" w:lineRule="exact"/>
        <w:rPr>
          <w:rFonts w:ascii="Arial" w:cs="Arial" w:eastAsia="Arial" w:hAnsi="Arial"/>
          <w:sz w:val="18"/>
          <w:szCs w:val="18"/>
          <w:b w:val="1"/>
          <w:bCs w:val="1"/>
          <w:color w:val="auto"/>
        </w:rPr>
      </w:pPr>
    </w:p>
    <w:p>
      <w:pPr>
        <w:ind w:left="540" w:right="40" w:firstLine="359"/>
        <w:spacing w:after="0" w:line="298" w:lineRule="auto"/>
        <w:tabs>
          <w:tab w:leader="none" w:pos="1271" w:val="left"/>
        </w:tabs>
        <w:numPr>
          <w:ilvl w:val="1"/>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Discontinuation of Match. </w:t>
      </w:r>
      <w:r>
        <w:rPr>
          <w:rFonts w:ascii="Arial" w:cs="Arial" w:eastAsia="Arial" w:hAnsi="Arial"/>
          <w:sz w:val="16"/>
          <w:szCs w:val="16"/>
          <w:color w:val="auto"/>
        </w:rPr>
        <w:t>If during a Year, a Participant makes any withdrawal or sale of Shares purchased during that year (other than</w:t>
      </w:r>
      <w:r>
        <w:rPr>
          <w:rFonts w:ascii="Arial" w:cs="Arial" w:eastAsia="Arial" w:hAnsi="Arial"/>
          <w:sz w:val="16"/>
          <w:szCs w:val="16"/>
          <w:i w:val="1"/>
          <w:iCs w:val="1"/>
          <w:color w:val="auto"/>
        </w:rPr>
        <w:t xml:space="preserve"> </w:t>
      </w:r>
      <w:r>
        <w:rPr>
          <w:rFonts w:ascii="Arial" w:cs="Arial" w:eastAsia="Arial" w:hAnsi="Arial"/>
          <w:sz w:val="16"/>
          <w:szCs w:val="16"/>
          <w:color w:val="auto"/>
        </w:rPr>
        <w:t>Hardship Withdrawals), the Employer shall pay no further matching bonuses on behalf of such Participant for the period commencing as of the date of the sale or withdrawal, and ending on the last day of next following Year. For purposes of this Section 5(b), sales or withdrawals will be deemed to be made first from a Participant's Shares, if any, purchased in prior Years and next from Shares purchased during the current Year.</w:t>
      </w:r>
    </w:p>
    <w:p>
      <w:pPr>
        <w:spacing w:after="0" w:line="166" w:lineRule="exact"/>
        <w:rPr>
          <w:rFonts w:ascii="Arial" w:cs="Arial" w:eastAsia="Arial" w:hAnsi="Arial"/>
          <w:sz w:val="16"/>
          <w:szCs w:val="16"/>
          <w:color w:val="auto"/>
        </w:rPr>
      </w:pPr>
    </w:p>
    <w:p>
      <w:pPr>
        <w:jc w:val="both"/>
        <w:ind w:right="160" w:firstLine="359"/>
        <w:spacing w:after="0" w:line="256" w:lineRule="auto"/>
        <w:tabs>
          <w:tab w:leader="none" w:pos="658"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Discontinuation of or Changes in Contributions. </w:t>
      </w:r>
      <w:r>
        <w:rPr>
          <w:rFonts w:ascii="Arial" w:cs="Arial" w:eastAsia="Arial" w:hAnsi="Arial"/>
          <w:sz w:val="18"/>
          <w:szCs w:val="18"/>
          <w:color w:val="auto"/>
        </w:rPr>
        <w:t>(a)</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General.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 more than once each calendar quarter, an Eligible Employee or Eligible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in writing discontinue any withholding deductions or, through completion of new authorization forms, change such withholding deductions, subject to the applicable minimum and maximums described in Section 4. A Participant may also completely withdraw from participation in the Plan as provided in Section 7 herein.</w:t>
      </w:r>
    </w:p>
    <w:p>
      <w:pPr>
        <w:spacing w:after="0" w:line="197" w:lineRule="exact"/>
        <w:rPr>
          <w:rFonts w:ascii="Arial" w:cs="Arial" w:eastAsia="Arial" w:hAnsi="Arial"/>
          <w:sz w:val="18"/>
          <w:szCs w:val="18"/>
          <w:b w:val="1"/>
          <w:bCs w:val="1"/>
          <w:color w:val="auto"/>
        </w:rPr>
      </w:pPr>
    </w:p>
    <w:p>
      <w:pPr>
        <w:ind w:left="540" w:right="200" w:firstLine="359"/>
        <w:spacing w:after="0" w:line="335" w:lineRule="auto"/>
        <w:tabs>
          <w:tab w:leader="none" w:pos="1268" w:val="left"/>
        </w:tabs>
        <w:numPr>
          <w:ilvl w:val="1"/>
          <w:numId w:val="11"/>
        </w:numPr>
        <w:rPr>
          <w:rFonts w:ascii="Arial" w:cs="Arial" w:eastAsia="Arial" w:hAnsi="Arial"/>
          <w:sz w:val="15"/>
          <w:szCs w:val="15"/>
          <w:color w:val="auto"/>
        </w:rPr>
      </w:pPr>
      <w:r>
        <w:rPr>
          <w:rFonts w:ascii="Arial" w:cs="Arial" w:eastAsia="Arial" w:hAnsi="Arial"/>
          <w:sz w:val="15"/>
          <w:szCs w:val="15"/>
          <w:i w:val="1"/>
          <w:iCs w:val="1"/>
          <w:color w:val="auto"/>
        </w:rPr>
        <w:t xml:space="preserve">Automatic Cessation of Contributions upon Termination of Status. </w:t>
      </w:r>
      <w:r>
        <w:rPr>
          <w:rFonts w:ascii="Arial" w:cs="Arial" w:eastAsia="Arial" w:hAnsi="Arial"/>
          <w:sz w:val="15"/>
          <w:szCs w:val="15"/>
          <w:color w:val="auto"/>
        </w:rPr>
        <w:t>Withholdings from Compensation shall automatically cease once an</w:t>
      </w:r>
      <w:r>
        <w:rPr>
          <w:rFonts w:ascii="Arial" w:cs="Arial" w:eastAsia="Arial" w:hAnsi="Arial"/>
          <w:sz w:val="15"/>
          <w:szCs w:val="15"/>
          <w:i w:val="1"/>
          <w:iCs w:val="1"/>
          <w:color w:val="auto"/>
        </w:rPr>
        <w:t xml:space="preserve"> </w:t>
      </w:r>
      <w:r>
        <w:rPr>
          <w:rFonts w:ascii="Arial" w:cs="Arial" w:eastAsia="Arial" w:hAnsi="Arial"/>
          <w:sz w:val="15"/>
          <w:szCs w:val="15"/>
          <w:color w:val="auto"/>
        </w:rPr>
        <w:t>individual ceases to be an Eligible Employee or ceases to be an Eligible Director; provided, however, that upon a change in status (e.g., retirement as an Employee but becoming or continuing as a member of the Board) the individual may elect to continue to participate in the Plan pursuant to Section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-2804795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22" w:lineRule="exact"/>
        <w:rPr>
          <w:sz w:val="20"/>
          <w:szCs w:val="20"/>
          <w:color w:val="auto"/>
        </w:rPr>
      </w:pPr>
    </w:p>
    <w:p>
      <w:pPr>
        <w:ind w:right="420" w:firstLine="348"/>
        <w:spacing w:after="0" w:line="332" w:lineRule="auto"/>
        <w:rPr>
          <w:sz w:val="20"/>
          <w:szCs w:val="20"/>
          <w:color w:val="auto"/>
        </w:rPr>
      </w:pPr>
      <w:r>
        <w:rPr>
          <w:rFonts w:ascii="Arial" w:cs="Arial" w:eastAsia="Arial" w:hAnsi="Arial"/>
          <w:sz w:val="16"/>
          <w:szCs w:val="16"/>
          <w:color w:val="auto"/>
        </w:rPr>
        <w:t>The cessation of or change in withholdings from Compensation pursuant to this Section 6 shall be implemented as soon as reasonably possible after the relevant event and in no event later than the first day of the Purchase Period immediately following the calendar month in which such event occurred.</w:t>
      </w:r>
    </w:p>
    <w:p>
      <w:pPr>
        <w:spacing w:after="0" w:line="139" w:lineRule="exact"/>
        <w:rPr>
          <w:sz w:val="20"/>
          <w:szCs w:val="20"/>
          <w:color w:val="auto"/>
        </w:rPr>
      </w:pPr>
    </w:p>
    <w:p>
      <w:pPr>
        <w:ind w:firstLine="359"/>
        <w:spacing w:after="0" w:line="294" w:lineRule="auto"/>
        <w:tabs>
          <w:tab w:leader="none" w:pos="658"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Changes in Participation. </w:t>
      </w:r>
      <w:r>
        <w:rPr>
          <w:rFonts w:ascii="Arial" w:cs="Arial" w:eastAsia="Arial" w:hAnsi="Arial"/>
          <w:sz w:val="16"/>
          <w:szCs w:val="16"/>
          <w:color w:val="auto"/>
        </w:rPr>
        <w:t>A Participant may withdraw from participation in the Plan at any time by giving written notice to the Company. Upon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withdrawal, any amounts theretofore withheld from Compensation by the Employer and not delivered to the Depository Agent or used to purchase Shares, shall be paid over to the Participant. At the request of the withdrawing Participant, the Depository Agent will deliver to the Participant certificates for whole Shares held for the Participant's account, with the value of any fractional Shares paid in cash to the Participant. A withdrawal shall prohibit re-entry into the Plan until the entry date set from time to time by the Board of Directors; provided, however, that such entry date shall be more than one year from the date of withdrawal.</w:t>
      </w:r>
    </w:p>
    <w:p>
      <w:pPr>
        <w:spacing w:after="0" w:line="170" w:lineRule="exact"/>
        <w:rPr>
          <w:sz w:val="20"/>
          <w:szCs w:val="20"/>
          <w:color w:val="auto"/>
        </w:rPr>
      </w:pPr>
    </w:p>
    <w:p>
      <w:pPr>
        <w:ind w:right="260" w:firstLine="341"/>
        <w:spacing w:after="0" w:line="255" w:lineRule="auto"/>
        <w:rPr>
          <w:sz w:val="20"/>
          <w:szCs w:val="20"/>
          <w:color w:val="auto"/>
        </w:rPr>
      </w:pPr>
      <w:r>
        <w:rPr>
          <w:rFonts w:ascii="Arial" w:cs="Arial" w:eastAsia="Arial" w:hAnsi="Arial"/>
          <w:sz w:val="18"/>
          <w:szCs w:val="18"/>
          <w:color w:val="auto"/>
        </w:rPr>
        <w:t>A participating Eligible Employee's termination of employment with the Employer or a participating Eligible Director's withdrawal from the Board of Directors shall terminate participation in the Plan; provided, however, that upon a change in status in which the individual remains eligible under a different category (e.g., retirement as an Employee but becoming or continuing as a member of the Board) the individual may elect to continue to participate in the Plan pursuant to Section 3. Upon any such termination of participation in the Plan, the Depository Agent will deliver certificates and make remittances to the Participant as though he or she had withdrawn from the Plan.</w:t>
      </w:r>
    </w:p>
    <w:p>
      <w:pPr>
        <w:spacing w:after="0" w:line="197" w:lineRule="exact"/>
        <w:rPr>
          <w:sz w:val="20"/>
          <w:szCs w:val="20"/>
          <w:color w:val="auto"/>
        </w:rPr>
      </w:pPr>
    </w:p>
    <w:p>
      <w:pPr>
        <w:ind w:right="720" w:firstLine="359"/>
        <w:spacing w:after="0" w:line="268" w:lineRule="auto"/>
        <w:tabs>
          <w:tab w:leader="none" w:pos="658"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Interest. </w:t>
      </w:r>
      <w:r>
        <w:rPr>
          <w:rFonts w:ascii="Arial" w:cs="Arial" w:eastAsia="Arial" w:hAnsi="Arial"/>
          <w:sz w:val="18"/>
          <w:szCs w:val="18"/>
          <w:color w:val="auto"/>
        </w:rPr>
        <w:t>No interest shall accrue on the amounts withheld for contribution to the Plan or amounts contributed to the Plan by or on behalf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w:t>
      </w:r>
    </w:p>
    <w:p>
      <w:pPr>
        <w:spacing w:after="0" w:line="185" w:lineRule="exact"/>
        <w:rPr>
          <w:rFonts w:ascii="Arial" w:cs="Arial" w:eastAsia="Arial" w:hAnsi="Arial"/>
          <w:sz w:val="18"/>
          <w:szCs w:val="18"/>
          <w:b w:val="1"/>
          <w:bCs w:val="1"/>
          <w:color w:val="auto"/>
        </w:rPr>
      </w:pPr>
    </w:p>
    <w:p>
      <w:pPr>
        <w:ind w:right="220" w:firstLine="359"/>
        <w:spacing w:after="0" w:line="306" w:lineRule="auto"/>
        <w:tabs>
          <w:tab w:leader="none" w:pos="658"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Depository Agent. </w:t>
      </w:r>
      <w:r>
        <w:rPr>
          <w:rFonts w:ascii="Arial" w:cs="Arial" w:eastAsia="Arial" w:hAnsi="Arial"/>
          <w:sz w:val="16"/>
          <w:szCs w:val="16"/>
          <w:color w:val="auto"/>
        </w:rPr>
        <w:t>(a)</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General.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Amounts withheld from Employees and Eligible Directors shall be paid over by the Employer once each Purchase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to the Depository Agent. The Account terms and conditions established by the Depository Agent from time to time shall govern all relevant transactions until the Participant terminates participation. The Depository Agent shall maintain an Account for each Participant.</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354" w:lineRule="exact"/>
        <w:rPr>
          <w:rFonts w:ascii="Arial" w:cs="Arial" w:eastAsia="Arial" w:hAnsi="Arial"/>
          <w:sz w:val="16"/>
          <w:szCs w:val="16"/>
          <w:b w:val="1"/>
          <w:bCs w:val="1"/>
          <w:color w:val="auto"/>
        </w:rPr>
      </w:pPr>
    </w:p>
    <w:p>
      <w:pPr>
        <w:ind w:left="540" w:right="140" w:firstLine="359"/>
        <w:spacing w:after="0" w:line="306" w:lineRule="auto"/>
        <w:tabs>
          <w:tab w:leader="none" w:pos="1271" w:val="left"/>
        </w:tabs>
        <w:numPr>
          <w:ilvl w:val="1"/>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Plan Shares/Withdrawal of Plan Shares. </w:t>
      </w:r>
      <w:r>
        <w:rPr>
          <w:rFonts w:ascii="Arial" w:cs="Arial" w:eastAsia="Arial" w:hAnsi="Arial"/>
          <w:sz w:val="16"/>
          <w:szCs w:val="16"/>
          <w:color w:val="auto"/>
        </w:rPr>
        <w:t>Unless otherwise requested in writing by the Participant, the Depository Agent shall hold all Shares</w:t>
      </w:r>
      <w:r>
        <w:rPr>
          <w:rFonts w:ascii="Arial" w:cs="Arial" w:eastAsia="Arial" w:hAnsi="Arial"/>
          <w:sz w:val="16"/>
          <w:szCs w:val="16"/>
          <w:i w:val="1"/>
          <w:iCs w:val="1"/>
          <w:color w:val="auto"/>
        </w:rPr>
        <w:t xml:space="preserve"> </w:t>
      </w:r>
      <w:r>
        <w:rPr>
          <w:rFonts w:ascii="Arial" w:cs="Arial" w:eastAsia="Arial" w:hAnsi="Arial"/>
          <w:sz w:val="16"/>
          <w:szCs w:val="16"/>
          <w:color w:val="auto"/>
        </w:rPr>
        <w:t>allocable to the Participant's Account in the name of the Depository Agent as nominee. Upon a written request of withdrawal (made by filing the appropriate form with the Company), shares certificates for the number of whole Shares purchased on behalf of a Participant will be delivered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-820420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7" w:name="page8"/>
    <w:bookmarkEnd w:id="7"/>
    <w:p>
      <w:pPr>
        <w:ind w:left="181" w:right="60"/>
        <w:spacing w:after="0" w:line="268" w:lineRule="auto"/>
        <w:rPr>
          <w:sz w:val="20"/>
          <w:szCs w:val="20"/>
          <w:color w:val="auto"/>
        </w:rPr>
      </w:pPr>
      <w:r>
        <w:rPr>
          <w:rFonts w:ascii="Arial" w:cs="Arial" w:eastAsia="Arial" w:hAnsi="Arial"/>
          <w:sz w:val="18"/>
          <w:szCs w:val="18"/>
          <w:color w:val="auto"/>
        </w:rPr>
        <w:t>Participant, registered in the form directed by the Participant. No fractional shares will be issued. Instead, upon termination of participation from the Plan, Participants will receive a cash distribution representing any fractional shares.</w:t>
      </w:r>
    </w:p>
    <w:p>
      <w:pPr>
        <w:spacing w:after="0" w:line="186" w:lineRule="exact"/>
        <w:rPr>
          <w:sz w:val="20"/>
          <w:szCs w:val="20"/>
          <w:color w:val="auto"/>
        </w:rPr>
      </w:pPr>
    </w:p>
    <w:p>
      <w:pPr>
        <w:ind w:left="181" w:right="40" w:firstLine="359"/>
        <w:spacing w:after="0" w:line="255" w:lineRule="auto"/>
        <w:tabs>
          <w:tab w:leader="none" w:pos="902" w:val="left"/>
        </w:tabs>
        <w:numPr>
          <w:ilvl w:val="2"/>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Purchase of Shares. </w:t>
      </w:r>
      <w:r>
        <w:rPr>
          <w:rFonts w:ascii="Arial" w:cs="Arial" w:eastAsia="Arial" w:hAnsi="Arial"/>
          <w:sz w:val="18"/>
          <w:szCs w:val="18"/>
          <w:color w:val="auto"/>
        </w:rPr>
        <w:t>The Depository Agent shall purchase Shares at the lowest prices obtainable at the time of receipt of funds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Employer. The Depository Agent will allocate Shares to a Participant's Account by dividing the sum of a Participant's contribution and related matching bonus by the average price of the Shares acquired with respect to funds received for the Purchase Period. Fractional Shares allocated to Accounts shall be computed to three decimal places. Such matters as confirmation of purchases and monthly account statements shall be the responsibility of the Depository Agent.</w:t>
      </w:r>
    </w:p>
    <w:p>
      <w:pPr>
        <w:spacing w:after="0" w:line="196" w:lineRule="exact"/>
        <w:rPr>
          <w:rFonts w:ascii="Arial" w:cs="Arial" w:eastAsia="Arial" w:hAnsi="Arial"/>
          <w:sz w:val="18"/>
          <w:szCs w:val="18"/>
          <w:color w:val="auto"/>
        </w:rPr>
      </w:pPr>
    </w:p>
    <w:p>
      <w:pPr>
        <w:ind w:left="401" w:hanging="401"/>
        <w:spacing w:after="0"/>
        <w:tabs>
          <w:tab w:leader="none" w:pos="401"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Vesting.  </w:t>
      </w:r>
      <w:r>
        <w:rPr>
          <w:rFonts w:ascii="Arial" w:cs="Arial" w:eastAsia="Arial" w:hAnsi="Arial"/>
          <w:sz w:val="18"/>
          <w:szCs w:val="18"/>
          <w:color w:val="auto"/>
        </w:rPr>
        <w:t>All Shares and other amounts allocable to an Account shall be fully vested at all times.</w:t>
      </w:r>
    </w:p>
    <w:p>
      <w:pPr>
        <w:spacing w:after="0" w:line="225" w:lineRule="exact"/>
        <w:rPr>
          <w:rFonts w:ascii="Arial" w:cs="Arial" w:eastAsia="Arial" w:hAnsi="Arial"/>
          <w:sz w:val="18"/>
          <w:szCs w:val="18"/>
          <w:b w:val="1"/>
          <w:bCs w:val="1"/>
          <w:color w:val="auto"/>
        </w:rPr>
      </w:pPr>
    </w:p>
    <w:p>
      <w:pPr>
        <w:ind w:left="-359" w:right="140" w:firstLine="359"/>
        <w:spacing w:after="0" w:line="268" w:lineRule="auto"/>
        <w:tabs>
          <w:tab w:leader="none" w:pos="377"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Participant Deposit of Shares to Plan. </w:t>
      </w:r>
      <w:r>
        <w:rPr>
          <w:rFonts w:ascii="Arial" w:cs="Arial" w:eastAsia="Arial" w:hAnsi="Arial"/>
          <w:sz w:val="18"/>
          <w:szCs w:val="18"/>
          <w:color w:val="auto"/>
        </w:rPr>
        <w:t>(a)</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Deposit of Shares Discontinued.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May 1, 2002, Participants will no longer be allowed to deposit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held outside the Plan with the Depository Agent for allocation to such Participants' Accounts.</w:t>
      </w:r>
    </w:p>
    <w:p>
      <w:pPr>
        <w:spacing w:after="0" w:line="185" w:lineRule="exact"/>
        <w:rPr>
          <w:rFonts w:ascii="Arial" w:cs="Arial" w:eastAsia="Arial" w:hAnsi="Arial"/>
          <w:sz w:val="18"/>
          <w:szCs w:val="18"/>
          <w:b w:val="1"/>
          <w:bCs w:val="1"/>
          <w:color w:val="auto"/>
        </w:rPr>
      </w:pPr>
    </w:p>
    <w:p>
      <w:pPr>
        <w:ind w:left="181" w:right="60" w:firstLine="359"/>
        <w:spacing w:after="0" w:line="290" w:lineRule="auto"/>
        <w:tabs>
          <w:tab w:leader="none" w:pos="912" w:val="left"/>
        </w:tabs>
        <w:numPr>
          <w:ilvl w:val="2"/>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Sale of Shares Allocated to Accounts to Plan. </w:t>
      </w:r>
      <w:r>
        <w:rPr>
          <w:rFonts w:ascii="Arial" w:cs="Arial" w:eastAsia="Arial" w:hAnsi="Arial"/>
          <w:sz w:val="16"/>
          <w:szCs w:val="16"/>
          <w:color w:val="auto"/>
        </w:rPr>
        <w:t>A Participant who is otherwise actively participating in the Plan may advise the Company in</w:t>
      </w:r>
      <w:r>
        <w:rPr>
          <w:rFonts w:ascii="Arial" w:cs="Arial" w:eastAsia="Arial" w:hAnsi="Arial"/>
          <w:sz w:val="16"/>
          <w:szCs w:val="16"/>
          <w:i w:val="1"/>
          <w:iCs w:val="1"/>
          <w:color w:val="auto"/>
        </w:rPr>
        <w:t xml:space="preserve"> </w:t>
      </w:r>
      <w:r>
        <w:rPr>
          <w:rFonts w:ascii="Arial" w:cs="Arial" w:eastAsia="Arial" w:hAnsi="Arial"/>
          <w:sz w:val="16"/>
          <w:szCs w:val="16"/>
          <w:color w:val="auto"/>
        </w:rPr>
        <w:t>writing that some or all Shares allocated to such individual's Account are available for purchase by the Depository Agent in connection with the operation of the Plan. The Depository Agent shall not purchase more than fifty percent (50%) of the Shares to be purchased for the Plan each Purchase Period from such Participants. The aggregate number of Shares so purchased from such Participants during the Purchase Period shall be divided equally among those Participants desiring to sell Shares pursuant to this paragraph and not pro rata according to the number of Shares offered for purchase. The amount paid for Shares purchased in this manner by the Depository Agent shall be the average price of shares purchased by the Depository Agent in market transactions during such Purchase Period.</w:t>
      </w:r>
    </w:p>
    <w:p>
      <w:pPr>
        <w:spacing w:after="0" w:line="172" w:lineRule="exact"/>
        <w:rPr>
          <w:rFonts w:ascii="Arial" w:cs="Arial" w:eastAsia="Arial" w:hAnsi="Arial"/>
          <w:sz w:val="16"/>
          <w:szCs w:val="16"/>
          <w:color w:val="auto"/>
        </w:rPr>
      </w:pPr>
    </w:p>
    <w:p>
      <w:pPr>
        <w:ind w:left="-359" w:right="220" w:firstLine="359"/>
        <w:spacing w:after="0" w:line="294" w:lineRule="auto"/>
        <w:tabs>
          <w:tab w:leader="none" w:pos="387"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Commissions/Administrative Fee. </w:t>
      </w:r>
      <w:r>
        <w:rPr>
          <w:rFonts w:ascii="Arial" w:cs="Arial" w:eastAsia="Arial" w:hAnsi="Arial"/>
          <w:sz w:val="16"/>
          <w:szCs w:val="16"/>
          <w:color w:val="auto"/>
        </w:rPr>
        <w:t>Except as provided below, the Company shall pay commissions on purchases made and such other charges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(excluding commissions on sales) by the Depository Agent as may be agreed upon by the Company and the Depository Agent and the Participant shall not be required to pay any commission or charge. The Company will charge the Participant with an administrative fee of $100.00 for each sale or withdrawal transaction requested by a Participant in Plan Shares. Each Participant agrees that such Administrative fee may be netted against and withheld from Compensation otherwise due the Participant or may be charged against deposits made on behalf of the Participant under the Plan.</w:t>
      </w:r>
    </w:p>
    <w:p>
      <w:pPr>
        <w:spacing w:after="0" w:line="169" w:lineRule="exact"/>
        <w:rPr>
          <w:rFonts w:ascii="Arial" w:cs="Arial" w:eastAsia="Arial" w:hAnsi="Arial"/>
          <w:sz w:val="16"/>
          <w:szCs w:val="16"/>
          <w:b w:val="1"/>
          <w:bCs w:val="1"/>
          <w:color w:val="auto"/>
        </w:rPr>
      </w:pPr>
    </w:p>
    <w:p>
      <w:pPr>
        <w:jc w:val="both"/>
        <w:ind w:left="-359" w:firstLine="359"/>
        <w:spacing w:after="0" w:line="256" w:lineRule="auto"/>
        <w:tabs>
          <w:tab w:leader="none" w:pos="387"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Shares received as a dividend or in a stock split with respect to Shares allocated to an Account shall be credited to that Account. Except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otherwise determined by the Board or as may be necessary to comply with applicable law, if rights to purchase additional Shares are issued at any time such rights shall be sold by the Depository Agent. All cash dividends, and proceeds from the sale of such rights with respect to Shares allocable to an Account, shall be applied by the Depository Agent to purchase additional Shares for that Account.</w:t>
      </w:r>
    </w:p>
    <w:p>
      <w:pPr>
        <w:spacing w:after="0" w:line="197" w:lineRule="exact"/>
        <w:rPr>
          <w:rFonts w:ascii="Arial" w:cs="Arial" w:eastAsia="Arial" w:hAnsi="Arial"/>
          <w:sz w:val="18"/>
          <w:szCs w:val="18"/>
          <w:b w:val="1"/>
          <w:bCs w:val="1"/>
          <w:color w:val="auto"/>
        </w:rPr>
      </w:pPr>
    </w:p>
    <w:p>
      <w:pPr>
        <w:ind w:left="-359" w:right="260" w:firstLine="359"/>
        <w:spacing w:after="0" w:line="306" w:lineRule="auto"/>
        <w:tabs>
          <w:tab w:leader="none" w:pos="387"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Notices to Participants. </w:t>
      </w:r>
      <w:r>
        <w:rPr>
          <w:rFonts w:ascii="Arial" w:cs="Arial" w:eastAsia="Arial" w:hAnsi="Arial"/>
          <w:sz w:val="16"/>
          <w:szCs w:val="16"/>
          <w:color w:val="auto"/>
        </w:rPr>
        <w:t>The Depository Agent shall deliver to each Participant, copies of notices of meetings of shareholders of the Company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proxy statements that are distributed by the Company to its shareholders. Shares allocated to a Participant's Account shall be voted in accordance with the Participant's signed proxy instructions delivered to the Depository Agent or as otherwise provided by law.</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354" w:lineRule="exact"/>
        <w:rPr>
          <w:rFonts w:ascii="Arial" w:cs="Arial" w:eastAsia="Arial" w:hAnsi="Arial"/>
          <w:sz w:val="16"/>
          <w:szCs w:val="16"/>
          <w:b w:val="1"/>
          <w:bCs w:val="1"/>
          <w:color w:val="auto"/>
        </w:rPr>
      </w:pPr>
    </w:p>
    <w:p>
      <w:pPr>
        <w:ind w:left="401" w:hanging="401"/>
        <w:spacing w:after="0"/>
        <w:tabs>
          <w:tab w:leader="none" w:pos="401"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Death Benefits.  </w:t>
      </w:r>
      <w:r>
        <w:rPr>
          <w:rFonts w:ascii="Arial" w:cs="Arial" w:eastAsia="Arial" w:hAnsi="Arial"/>
          <w:sz w:val="18"/>
          <w:szCs w:val="18"/>
          <w:color w:val="auto"/>
        </w:rPr>
        <w:t>Upon the death of the Participant, his or her Account shall be paid as follows:</w:t>
      </w:r>
    </w:p>
    <w:p>
      <w:pPr>
        <w:spacing w:after="0" w:line="238" w:lineRule="exact"/>
        <w:rPr>
          <w:rFonts w:ascii="Arial" w:cs="Arial" w:eastAsia="Arial" w:hAnsi="Arial"/>
          <w:sz w:val="18"/>
          <w:szCs w:val="18"/>
          <w:b w:val="1"/>
          <w:bCs w:val="1"/>
          <w:color w:val="auto"/>
        </w:rPr>
      </w:pPr>
    </w:p>
    <w:p>
      <w:pPr>
        <w:ind w:left="721" w:hanging="532"/>
        <w:spacing w:after="0"/>
        <w:tabs>
          <w:tab w:leader="none" w:pos="721" w:val="left"/>
        </w:tabs>
        <w:numPr>
          <w:ilvl w:val="1"/>
          <w:numId w:val="15"/>
        </w:numPr>
        <w:rPr>
          <w:rFonts w:ascii="Arial" w:cs="Arial" w:eastAsia="Arial" w:hAnsi="Arial"/>
          <w:sz w:val="18"/>
          <w:szCs w:val="18"/>
          <w:color w:val="auto"/>
        </w:rPr>
      </w:pPr>
      <w:r>
        <w:rPr>
          <w:rFonts w:ascii="Arial" w:cs="Arial" w:eastAsia="Arial" w:hAnsi="Arial"/>
          <w:sz w:val="18"/>
          <w:szCs w:val="18"/>
          <w:color w:val="auto"/>
        </w:rPr>
        <w:t>if the Participant's Plan benefits are in a joint account with the right of survivorship; then to the survivor; or</w:t>
      </w:r>
    </w:p>
    <w:p>
      <w:pPr>
        <w:spacing w:after="0" w:line="252" w:lineRule="exact"/>
        <w:rPr>
          <w:rFonts w:ascii="Arial" w:cs="Arial" w:eastAsia="Arial" w:hAnsi="Arial"/>
          <w:sz w:val="18"/>
          <w:szCs w:val="18"/>
          <w:color w:val="auto"/>
        </w:rPr>
      </w:pPr>
    </w:p>
    <w:p>
      <w:pPr>
        <w:jc w:val="both"/>
        <w:ind w:left="721" w:right="200" w:hanging="532"/>
        <w:spacing w:after="0" w:line="332" w:lineRule="auto"/>
        <w:tabs>
          <w:tab w:leader="none" w:pos="721" w:val="left"/>
        </w:tabs>
        <w:numPr>
          <w:ilvl w:val="1"/>
          <w:numId w:val="15"/>
        </w:numPr>
        <w:rPr>
          <w:rFonts w:ascii="Arial" w:cs="Arial" w:eastAsia="Arial" w:hAnsi="Arial"/>
          <w:sz w:val="16"/>
          <w:szCs w:val="16"/>
          <w:color w:val="auto"/>
        </w:rPr>
      </w:pPr>
      <w:r>
        <w:rPr>
          <w:rFonts w:ascii="Arial" w:cs="Arial" w:eastAsia="Arial" w:hAnsi="Arial"/>
          <w:sz w:val="16"/>
          <w:szCs w:val="16"/>
          <w:color w:val="auto"/>
        </w:rPr>
        <w:t>if there is no joint account with the right of survivorship, to the Participant's designated Beneficiary(is) who shall be the individual(s) named by the Participant on a written beneficiary designation form approved by the Company and filed with the Company prior to a Participant's death; or</w:t>
      </w:r>
    </w:p>
    <w:p>
      <w:pPr>
        <w:spacing w:after="0" w:line="152" w:lineRule="exact"/>
        <w:rPr>
          <w:rFonts w:ascii="Arial" w:cs="Arial" w:eastAsia="Arial" w:hAnsi="Arial"/>
          <w:sz w:val="16"/>
          <w:szCs w:val="16"/>
          <w:color w:val="auto"/>
        </w:rPr>
      </w:pPr>
    </w:p>
    <w:p>
      <w:pPr>
        <w:ind w:left="721" w:hanging="532"/>
        <w:spacing w:after="0"/>
        <w:tabs>
          <w:tab w:leader="none" w:pos="721" w:val="left"/>
        </w:tabs>
        <w:numPr>
          <w:ilvl w:val="1"/>
          <w:numId w:val="15"/>
        </w:numPr>
        <w:rPr>
          <w:rFonts w:ascii="Arial" w:cs="Arial" w:eastAsia="Arial" w:hAnsi="Arial"/>
          <w:sz w:val="18"/>
          <w:szCs w:val="18"/>
          <w:color w:val="auto"/>
        </w:rPr>
      </w:pPr>
      <w:r>
        <w:rPr>
          <w:rFonts w:ascii="Arial" w:cs="Arial" w:eastAsia="Arial" w:hAnsi="Arial"/>
          <w:sz w:val="18"/>
          <w:szCs w:val="18"/>
          <w:color w:val="auto"/>
        </w:rPr>
        <w:t>if the Participant dies without a valid beneficiary designation, to the Participant's estate.</w:t>
      </w:r>
    </w:p>
    <w:p>
      <w:pPr>
        <w:spacing w:after="0" w:line="225" w:lineRule="exact"/>
        <w:rPr>
          <w:rFonts w:ascii="Arial" w:cs="Arial" w:eastAsia="Arial" w:hAnsi="Arial"/>
          <w:sz w:val="18"/>
          <w:szCs w:val="18"/>
          <w:color w:val="auto"/>
        </w:rPr>
      </w:pPr>
    </w:p>
    <w:p>
      <w:pPr>
        <w:ind w:left="401" w:hanging="401"/>
        <w:spacing w:after="0"/>
        <w:tabs>
          <w:tab w:leader="none" w:pos="401"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Reports.  </w:t>
      </w:r>
      <w:r>
        <w:rPr>
          <w:rFonts w:ascii="Arial" w:cs="Arial" w:eastAsia="Arial" w:hAnsi="Arial"/>
          <w:sz w:val="18"/>
          <w:szCs w:val="18"/>
          <w:color w:val="auto"/>
        </w:rPr>
        <w:t>The Depository Agent shall report the following information to each Participant for each month:</w:t>
      </w:r>
    </w:p>
    <w:p>
      <w:pPr>
        <w:spacing w:after="0" w:line="238" w:lineRule="exact"/>
        <w:rPr>
          <w:rFonts w:ascii="Arial" w:cs="Arial" w:eastAsia="Arial" w:hAnsi="Arial"/>
          <w:sz w:val="18"/>
          <w:szCs w:val="18"/>
          <w:b w:val="1"/>
          <w:bCs w:val="1"/>
          <w:color w:val="auto"/>
        </w:rPr>
      </w:pPr>
    </w:p>
    <w:p>
      <w:pPr>
        <w:ind w:left="721" w:hanging="532"/>
        <w:spacing w:after="0"/>
        <w:tabs>
          <w:tab w:leader="none" w:pos="721"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aggregate total amount contributed by the Participant and the Employer pursuant to the Plan;</w:t>
      </w:r>
    </w:p>
    <w:p>
      <w:pPr>
        <w:spacing w:after="0" w:line="252" w:lineRule="exact"/>
        <w:rPr>
          <w:rFonts w:ascii="Arial" w:cs="Arial" w:eastAsia="Arial" w:hAnsi="Arial"/>
          <w:sz w:val="18"/>
          <w:szCs w:val="18"/>
          <w:color w:val="auto"/>
        </w:rPr>
      </w:pPr>
    </w:p>
    <w:p>
      <w:pPr>
        <w:ind w:left="721" w:hanging="532"/>
        <w:spacing w:after="0"/>
        <w:tabs>
          <w:tab w:leader="none" w:pos="721"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total number of Shares purchased during the Purchase Period</w:t>
      </w:r>
      <w:r>
        <w:rPr>
          <w:rFonts w:ascii="Arial" w:cs="Arial" w:eastAsia="Arial" w:hAnsi="Arial"/>
          <w:sz w:val="18"/>
          <w:szCs w:val="18"/>
          <w:i w:val="1"/>
          <w:iCs w:val="1"/>
          <w:color w:val="auto"/>
        </w:rPr>
        <w:t>;</w:t>
      </w:r>
      <w:r>
        <w:rPr>
          <w:rFonts w:ascii="Arial" w:cs="Arial" w:eastAsia="Arial" w:hAnsi="Arial"/>
          <w:sz w:val="18"/>
          <w:szCs w:val="18"/>
          <w:color w:val="auto"/>
        </w:rPr>
        <w:t xml:space="preserve"> and</w:t>
      </w:r>
    </w:p>
    <w:p>
      <w:pPr>
        <w:spacing w:after="0" w:line="238" w:lineRule="exact"/>
        <w:rPr>
          <w:rFonts w:ascii="Arial" w:cs="Arial" w:eastAsia="Arial" w:hAnsi="Arial"/>
          <w:sz w:val="18"/>
          <w:szCs w:val="18"/>
          <w:color w:val="auto"/>
        </w:rPr>
      </w:pPr>
    </w:p>
    <w:p>
      <w:pPr>
        <w:ind w:left="721" w:hanging="532"/>
        <w:spacing w:after="0"/>
        <w:tabs>
          <w:tab w:leader="none" w:pos="721"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total number of Shares allocated to the Participant's Account,</w:t>
      </w:r>
    </w:p>
    <w:p>
      <w:pPr>
        <w:spacing w:after="0" w:line="225" w:lineRule="exact"/>
        <w:rPr>
          <w:rFonts w:ascii="Arial" w:cs="Arial" w:eastAsia="Arial" w:hAnsi="Arial"/>
          <w:sz w:val="18"/>
          <w:szCs w:val="18"/>
          <w:color w:val="auto"/>
        </w:rPr>
      </w:pPr>
    </w:p>
    <w:p>
      <w:pPr>
        <w:ind w:left="-359" w:right="80" w:firstLine="359"/>
        <w:spacing w:after="0" w:line="294" w:lineRule="auto"/>
        <w:tabs>
          <w:tab w:leader="none" w:pos="387"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Administration. </w:t>
      </w:r>
      <w:r>
        <w:rPr>
          <w:rFonts w:ascii="Arial" w:cs="Arial" w:eastAsia="Arial" w:hAnsi="Arial"/>
          <w:sz w:val="16"/>
          <w:szCs w:val="16"/>
          <w:color w:val="auto"/>
        </w:rPr>
        <w:t>The Board, or a committee named by the Board, shall supervise and administer the Plan and shall have full power to adopt, amend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rescind any rules deemed desirable and appropriate for the administration of the Plan and not inconsistent with the Plan, to construe and interpret the Plan, and to make all other determinations necessary or advisable for the administration of the Plan. The Board's determinations made in good faith on matters referred to in this Plan shall be final, binding and conclusive on all persons having or claiming any interest under this Plan. No member of the Board of Directors or a committee named by the Board shall be liable of any action or determination made in good faith with respect to the Plan.</w:t>
      </w:r>
    </w:p>
    <w:p>
      <w:pPr>
        <w:spacing w:after="0" w:line="169" w:lineRule="exact"/>
        <w:rPr>
          <w:rFonts w:ascii="Arial" w:cs="Arial" w:eastAsia="Arial" w:hAnsi="Arial"/>
          <w:sz w:val="16"/>
          <w:szCs w:val="16"/>
          <w:b w:val="1"/>
          <w:bCs w:val="1"/>
          <w:color w:val="auto"/>
        </w:rPr>
      </w:pPr>
    </w:p>
    <w:p>
      <w:pPr>
        <w:ind w:left="-359" w:right="260" w:firstLine="359"/>
        <w:spacing w:after="0" w:line="256" w:lineRule="auto"/>
        <w:tabs>
          <w:tab w:leader="none" w:pos="387"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Transferability. </w:t>
      </w:r>
      <w:r>
        <w:rPr>
          <w:rFonts w:ascii="Arial" w:cs="Arial" w:eastAsia="Arial" w:hAnsi="Arial"/>
          <w:sz w:val="18"/>
          <w:szCs w:val="18"/>
          <w:color w:val="auto"/>
        </w:rPr>
        <w:t>Neither payroll deductions credited to a Participant's account nor any rights with regard to any right to purchase Shares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may be assigned, transferred, pledged or otherwise disposed of in any way (other than by will, the laws of descent and distribution, or as provided in Section 15) by the Participant. Any such attempt at assignment, transfer, pledge or other disposition shall be without effect, except that the Company may treat such act as an election to withdraw Shares for purposes of Sections 5 (b) and 12.</w:t>
      </w:r>
    </w:p>
    <w:p>
      <w:pPr>
        <w:spacing w:after="0" w:line="197" w:lineRule="exact"/>
        <w:rPr>
          <w:rFonts w:ascii="Arial" w:cs="Arial" w:eastAsia="Arial" w:hAnsi="Arial"/>
          <w:sz w:val="18"/>
          <w:szCs w:val="18"/>
          <w:b w:val="1"/>
          <w:bCs w:val="1"/>
          <w:color w:val="auto"/>
        </w:rPr>
      </w:pPr>
    </w:p>
    <w:p>
      <w:pPr>
        <w:ind w:left="-359" w:right="160" w:firstLine="359"/>
        <w:spacing w:after="0" w:line="268" w:lineRule="auto"/>
        <w:tabs>
          <w:tab w:leader="none" w:pos="387"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Use of Funds. </w:t>
      </w:r>
      <w:r>
        <w:rPr>
          <w:rFonts w:ascii="Arial" w:cs="Arial" w:eastAsia="Arial" w:hAnsi="Arial"/>
          <w:sz w:val="18"/>
          <w:szCs w:val="18"/>
          <w:color w:val="auto"/>
        </w:rPr>
        <w:t>All payroll deductions received or held by the Company under the Plan may be used by the Company for any corporate purpose,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shall not be obligated to segregate such amounts from its other assets.</w:t>
      </w:r>
    </w:p>
    <w:p>
      <w:pPr>
        <w:spacing w:after="0" w:line="185" w:lineRule="exact"/>
        <w:rPr>
          <w:rFonts w:ascii="Arial" w:cs="Arial" w:eastAsia="Arial" w:hAnsi="Arial"/>
          <w:sz w:val="18"/>
          <w:szCs w:val="18"/>
          <w:b w:val="1"/>
          <w:bCs w:val="1"/>
          <w:color w:val="auto"/>
        </w:rPr>
      </w:pPr>
    </w:p>
    <w:p>
      <w:pPr>
        <w:ind w:left="-359" w:right="340" w:firstLine="359"/>
        <w:spacing w:after="0" w:line="332" w:lineRule="auto"/>
        <w:tabs>
          <w:tab w:leader="none" w:pos="387"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Notices. </w:t>
      </w:r>
      <w:r>
        <w:rPr>
          <w:rFonts w:ascii="Arial" w:cs="Arial" w:eastAsia="Arial" w:hAnsi="Arial"/>
          <w:sz w:val="16"/>
          <w:szCs w:val="16"/>
          <w:color w:val="auto"/>
        </w:rPr>
        <w:t>All notices or other communications by a Participant to the Company under or in connection with the Plan shall be deemed to have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duly given when received in the form specified by the Company at the location, or by the person, designated by the Company for the receipt thereof.</w:t>
      </w:r>
    </w:p>
    <w:p>
      <w:pPr>
        <w:spacing w:after="0" w:line="139" w:lineRule="exact"/>
        <w:rPr>
          <w:rFonts w:ascii="Arial" w:cs="Arial" w:eastAsia="Arial" w:hAnsi="Arial"/>
          <w:sz w:val="16"/>
          <w:szCs w:val="16"/>
          <w:b w:val="1"/>
          <w:bCs w:val="1"/>
          <w:color w:val="auto"/>
        </w:rPr>
      </w:pPr>
    </w:p>
    <w:p>
      <w:pPr>
        <w:ind w:left="-359" w:right="340" w:firstLine="359"/>
        <w:spacing w:after="0" w:line="268" w:lineRule="auto"/>
        <w:tabs>
          <w:tab w:leader="none" w:pos="387"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Amendment or Termination. </w:t>
      </w:r>
      <w:r>
        <w:rPr>
          <w:rFonts w:ascii="Arial" w:cs="Arial" w:eastAsia="Arial" w:hAnsi="Arial"/>
          <w:sz w:val="18"/>
          <w:szCs w:val="18"/>
          <w:color w:val="auto"/>
        </w:rPr>
        <w:t>The Company reserves the right, in its discretion, to amend this Plan in any respect whatsoever. The Company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terminate this Plan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-5400675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1"/>
          </w:cols>
          <w:pgMar w:left="599" w:top="131" w:right="239" w:bottom="0" w:gutter="0" w:footer="0" w:header="0"/>
        </w:sectPr>
      </w:pPr>
    </w:p>
    <w:bookmarkStart w:id="8" w:name="page9"/>
    <w:bookmarkEnd w:id="8"/>
    <w:p>
      <w:pPr>
        <w:ind w:firstLine="359"/>
        <w:spacing w:after="0" w:line="268" w:lineRule="auto"/>
        <w:tabs>
          <w:tab w:leader="none" w:pos="746"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Each Participant shall be deemed to have accepted all the conditions of this Plan and the terms and conditions set forth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Depository Agent and shall be fully bound thereby.</w:t>
      </w:r>
    </w:p>
    <w:p>
      <w:pPr>
        <w:spacing w:after="0" w:line="185" w:lineRule="exact"/>
        <w:rPr>
          <w:rFonts w:ascii="Arial" w:cs="Arial" w:eastAsia="Arial" w:hAnsi="Arial"/>
          <w:sz w:val="18"/>
          <w:szCs w:val="18"/>
          <w:b w:val="1"/>
          <w:bCs w:val="1"/>
          <w:color w:val="auto"/>
        </w:rPr>
      </w:pPr>
    </w:p>
    <w:p>
      <w:pPr>
        <w:ind w:left="760" w:hanging="401"/>
        <w:spacing w:after="0"/>
        <w:tabs>
          <w:tab w:leader="none" w:pos="7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Governing Law.  </w:t>
      </w:r>
      <w:r>
        <w:rPr>
          <w:rFonts w:ascii="Arial" w:cs="Arial" w:eastAsia="Arial" w:hAnsi="Arial"/>
          <w:sz w:val="18"/>
          <w:szCs w:val="18"/>
          <w:color w:val="auto"/>
        </w:rPr>
        <w:t>This Plan shall be construed in accordance with the laws of the State of 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HAWKINS, INC. EMPLOYEE STOCK PURCHASE PLAN As Amended and Restated Effective May 1, 2002</w:t>
        </w:r>
      </w:hyperlink>
    </w:p>
    <w:p>
      <w:pPr>
        <w:sectPr>
          <w:pgSz w:w="11900" w:h="16838" w:orient="portrait"/>
          <w:cols w:equalWidth="0" w:num="1">
            <w:col w:w="10820"/>
          </w:cols>
          <w:pgMar w:left="240" w:top="131" w:right="839" w:bottom="1440" w:gutter="0" w:footer="0" w:header="0"/>
        </w:sectPr>
      </w:pPr>
    </w:p>
    <w:bookmarkStart w:id="9" w:name="page10"/>
    <w:bookmarkEnd w:id="9"/>
    <w:p>
      <w:pPr>
        <w:spacing w:after="0"/>
        <w:rPr>
          <w:rFonts w:ascii="Arial" w:cs="Arial" w:eastAsia="Arial" w:hAnsi="Arial"/>
          <w:sz w:val="22"/>
          <w:szCs w:val="22"/>
          <w:color w:val="0000EE"/>
        </w:rPr>
      </w:pPr>
      <w:hyperlink w:anchor="page1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INDEPENDENT AUDITORS' CONSENT</w:t>
      </w:r>
    </w:p>
    <w:p>
      <w:pPr>
        <w:spacing w:after="0" w:line="231" w:lineRule="exact"/>
        <w:rPr>
          <w:sz w:val="20"/>
          <w:szCs w:val="20"/>
          <w:color w:val="auto"/>
        </w:rPr>
      </w:pPr>
    </w:p>
    <w:p>
      <w:pPr>
        <w:ind w:right="420" w:firstLine="348"/>
        <w:spacing w:after="0" w:line="332" w:lineRule="auto"/>
        <w:rPr>
          <w:sz w:val="20"/>
          <w:szCs w:val="20"/>
          <w:color w:val="auto"/>
        </w:rPr>
      </w:pPr>
      <w:r>
        <w:rPr>
          <w:rFonts w:ascii="Arial" w:cs="Arial" w:eastAsia="Arial" w:hAnsi="Arial"/>
          <w:sz w:val="16"/>
          <w:szCs w:val="16"/>
          <w:color w:val="auto"/>
        </w:rPr>
        <w:t>We consent to the incorporation by reference in this Registration Statement of Hawkins, Inc. on Form S-8 of our report dated December 6, 2001, on the financial statements appearing in the Annual Report on Form 10-K of Hawkins, Inc. for the year ended September 30, 2001.</w:t>
      </w:r>
    </w:p>
    <w:p>
      <w:pPr>
        <w:spacing w:after="0" w:line="1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DELOITTE &amp; TOUCHE LLP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2,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INDEPENDENT AUDITORS' CONSENT</w:t>
        </w:r>
      </w:hyperlink>
    </w:p>
    <w:sectPr>
      <w:pgSz w:w="11900" w:h="16838" w:orient="portrait"/>
      <w:cols w:equalWidth="0" w:num="1">
        <w:col w:w="11420"/>
      </w:cols>
      <w:pgMar w:left="240" w:top="3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216231B"/>
    <w:multiLevelType w:val="hybridMultilevel"/>
    <w:lvl w:ilvl="0">
      <w:lvlJc w:val="left"/>
      <w:lvlText w:val="%1"/>
      <w:numFmt w:val="lowerLetter"/>
      <w:start w:val="1"/>
    </w:lvl>
    <w:lvl w:ilvl="1">
      <w:lvlJc w:val="left"/>
      <w:lvlText w:val="(%2)"/>
      <w:numFmt w:val="decimal"/>
      <w:start w:val="2"/>
    </w:lvl>
  </w:abstractNum>
  <w:abstractNum w:abstractNumId="5">
    <w:nsid w:val="1F16E9E8"/>
    <w:multiLevelType w:val="hybridMultilevel"/>
    <w:lvl w:ilvl="0">
      <w:lvlJc w:val="left"/>
      <w:lvlText w:val="(%1)"/>
      <w:numFmt w:val="lowerLetter"/>
      <w:start w:val="2"/>
    </w:lvl>
    <w:lvl w:ilvl="1">
      <w:lvlJc w:val="left"/>
      <w:lvlText w:val="%2"/>
      <w:numFmt w:val="decimal"/>
      <w:start w:val="1"/>
    </w:lvl>
  </w:abstractNum>
  <w:abstractNum w:abstractNumId="6">
    <w:nsid w:val="1190CDE7"/>
    <w:multiLevelType w:val="hybridMultilevel"/>
    <w:lvl w:ilvl="0">
      <w:lvlJc w:val="left"/>
      <w:lvlText w:val="(%1)"/>
      <w:numFmt w:val="lowerLetter"/>
      <w:start w:val="8"/>
    </w:lvl>
  </w:abstractNum>
  <w:abstractNum w:abstractNumId="7">
    <w:nsid w:val="66EF438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
    <w:nsid w:val="140E0F76"/>
    <w:multiLevelType w:val="hybridMultilevel"/>
    <w:lvl w:ilvl="0">
      <w:lvlJc w:val="left"/>
      <w:lvlText w:val="%1."/>
      <w:numFmt w:val="decimal"/>
      <w:start w:val="3"/>
    </w:lvl>
    <w:lvl w:ilvl="1">
      <w:lvlJc w:val="left"/>
      <w:lvlText w:val="(%2)"/>
      <w:numFmt w:val="lowerLetter"/>
      <w:start w:val="1"/>
    </w:lvl>
  </w:abstractNum>
  <w:abstractNum w:abstractNumId="9">
    <w:nsid w:val="3352255A"/>
    <w:multiLevelType w:val="hybridMultilevel"/>
    <w:lvl w:ilvl="0">
      <w:lvlJc w:val="left"/>
      <w:lvlText w:val="%1"/>
      <w:numFmt w:val="decimal"/>
      <w:start w:val="1"/>
    </w:lvl>
    <w:lvl w:ilvl="1">
      <w:lvlJc w:val="left"/>
      <w:lvlText w:val="(%2)"/>
      <w:numFmt w:val="lowerLetter"/>
      <w:start w:val="2"/>
    </w:lvl>
  </w:abstractNum>
  <w:abstractNum w:abstractNumId="10">
    <w:nsid w:val="109CF92E"/>
    <w:multiLevelType w:val="hybridMultilevel"/>
    <w:lvl w:ilvl="0">
      <w:lvlJc w:val="left"/>
      <w:lvlText w:val="%1."/>
      <w:numFmt w:val="decimal"/>
      <w:start w:val="5"/>
    </w:lvl>
    <w:lvl w:ilvl="1">
      <w:lvlJc w:val="left"/>
      <w:lvlText w:val="(%2)"/>
      <w:numFmt w:val="lowerLetter"/>
      <w:start w:val="2"/>
    </w:lvl>
  </w:abstractNum>
  <w:abstractNum w:abstractNumId="11">
    <w:nsid w:val="DED7263"/>
    <w:multiLevelType w:val="hybridMultilevel"/>
    <w:lvl w:ilvl="0">
      <w:lvlJc w:val="left"/>
      <w:lvlText w:val="%1."/>
      <w:numFmt w:val="decimal"/>
      <w:start w:val="7"/>
    </w:lvl>
  </w:abstractNum>
  <w:abstractNum w:abstractNumId="12">
    <w:nsid w:val="7FDCC233"/>
    <w:multiLevelType w:val="hybridMultilevel"/>
    <w:lvl w:ilvl="0">
      <w:lvlJc w:val="left"/>
      <w:lvlText w:val="%1."/>
      <w:numFmt w:val="decimal"/>
      <w:start w:val="8"/>
    </w:lvl>
    <w:lvl w:ilvl="1">
      <w:lvlJc w:val="left"/>
      <w:lvlText w:val="(%2)"/>
      <w:numFmt w:val="lowerLetter"/>
      <w:start w:val="2"/>
    </w:lvl>
  </w:abstractNum>
  <w:abstractNum w:abstractNumId="13">
    <w:nsid w:val="1BEFD79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14">
    <w:nsid w:val="41A7C4C9"/>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2"/>
    </w:lvl>
  </w:abstractNum>
  <w:abstractNum w:abstractNumId="15">
    <w:nsid w:val="6B68079A"/>
    <w:multiLevelType w:val="hybridMultilevel"/>
    <w:lvl w:ilvl="0">
      <w:lvlJc w:val="left"/>
      <w:lvlText w:val="%1."/>
      <w:numFmt w:val="decimal"/>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2019-12-13T01:47:35Z</dcterms:created>
  <dcterms:modified xsi:type="dcterms:W3CDTF">2019-12-13T01:47:35Z</dcterms:modified>
</cp:coreProperties>
</file>