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32"/>
          <w:szCs w:val="32"/>
          <w:b w:val="1"/>
          <w:bCs w:val="1"/>
          <w:color w:val="auto"/>
        </w:rPr>
        <w:t>UNITED STATES</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Washington, D.C. 20549</w:t>
      </w: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FORM 8-K</w:t>
      </w: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Calibri" w:cs="Calibri" w:eastAsia="Calibri" w:hAnsi="Calibri"/>
          <w:sz w:val="25"/>
          <w:szCs w:val="25"/>
          <w:b w:val="1"/>
          <w:bCs w:val="1"/>
          <w:color w:val="auto"/>
        </w:rPr>
        <w:t>CURRENT REPORT</w:t>
      </w:r>
    </w:p>
    <w:p>
      <w:pPr>
        <w:spacing w:after="0" w:line="169"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Pursuant to Secton 13 or 15(d) of the</w:t>
      </w:r>
    </w:p>
    <w:p>
      <w:pPr>
        <w:jc w:val="center"/>
        <w:spacing w:after="0" w:line="229" w:lineRule="auto"/>
        <w:rPr>
          <w:sz w:val="20"/>
          <w:szCs w:val="20"/>
          <w:color w:val="auto"/>
        </w:rPr>
      </w:pPr>
      <w:r>
        <w:rPr>
          <w:rFonts w:ascii="Calibri" w:cs="Calibri" w:eastAsia="Calibri" w:hAnsi="Calibri"/>
          <w:sz w:val="22"/>
          <w:szCs w:val="22"/>
          <w:b w:val="1"/>
          <w:bCs w:val="1"/>
          <w:color w:val="auto"/>
        </w:rPr>
        <w:t>Securites Exchange Act of 1934</w:t>
      </w:r>
    </w:p>
    <w:p>
      <w:pPr>
        <w:spacing w:after="0" w:line="161" w:lineRule="exact"/>
        <w:rPr>
          <w:sz w:val="24"/>
          <w:szCs w:val="24"/>
          <w:color w:val="auto"/>
        </w:rPr>
      </w:pPr>
    </w:p>
    <w:p>
      <w:pPr>
        <w:jc w:val="center"/>
        <w:spacing w:after="0"/>
        <w:rPr>
          <w:sz w:val="20"/>
          <w:szCs w:val="20"/>
          <w:color w:val="auto"/>
        </w:rPr>
      </w:pPr>
      <w:r>
        <w:rPr>
          <w:rFonts w:ascii="Calibri" w:cs="Calibri" w:eastAsia="Calibri" w:hAnsi="Calibri"/>
          <w:sz w:val="21"/>
          <w:szCs w:val="21"/>
          <w:b w:val="1"/>
          <w:bCs w:val="1"/>
          <w:color w:val="auto"/>
        </w:rPr>
        <w:t>Date of Report (Date of earliest event reported) October 30, 2024</w:t>
      </w:r>
    </w:p>
    <w:p>
      <w:pPr>
        <w:spacing w:after="0" w:line="354" w:lineRule="exact"/>
        <w:rPr>
          <w:sz w:val="24"/>
          <w:szCs w:val="24"/>
          <w:color w:val="auto"/>
        </w:rPr>
      </w:pPr>
    </w:p>
    <w:p>
      <w:pPr>
        <w:jc w:val="center"/>
        <w:spacing w:after="0"/>
        <w:rPr>
          <w:sz w:val="20"/>
          <w:szCs w:val="20"/>
          <w:color w:val="auto"/>
        </w:rPr>
      </w:pPr>
      <w:r>
        <w:rPr>
          <w:rFonts w:ascii="Calibri" w:cs="Calibri" w:eastAsia="Calibri" w:hAnsi="Calibri"/>
          <w:sz w:val="43"/>
          <w:szCs w:val="43"/>
          <w:b w:val="1"/>
          <w:bCs w:val="1"/>
          <w:color w:val="auto"/>
        </w:rPr>
        <w:t>Hawkins, Inc.</w:t>
      </w:r>
    </w:p>
    <w:p>
      <w:pPr>
        <w:spacing w:after="0" w:line="27"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ectPr>
          <w:pgSz w:w="11900" w:h="16838" w:orient="portrait"/>
          <w:cols w:equalWidth="0" w:num="1">
            <w:col w:w="11240"/>
          </w:cols>
          <w:pgMar w:left="320" w:top="1030" w:right="339" w:bottom="1440" w:gutter="0" w:footer="0" w:header="0"/>
        </w:sectPr>
      </w:pPr>
    </w:p>
    <w:p>
      <w:pPr>
        <w:spacing w:after="0" w:line="42" w:lineRule="exact"/>
        <w:rPr>
          <w:sz w:val="24"/>
          <w:szCs w:val="24"/>
          <w:color w:val="auto"/>
        </w:rPr>
      </w:pPr>
    </w:p>
    <w:p>
      <w:pPr>
        <w:ind w:left="1200"/>
        <w:spacing w:after="0"/>
        <w:rPr>
          <w:sz w:val="20"/>
          <w:szCs w:val="20"/>
          <w:color w:val="auto"/>
        </w:rPr>
      </w:pPr>
      <w:r>
        <w:rPr>
          <w:rFonts w:ascii="Calibri" w:cs="Calibri" w:eastAsia="Calibri" w:hAnsi="Calibri"/>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2320"/>
        <w:spacing w:after="0"/>
        <w:rPr>
          <w:sz w:val="20"/>
          <w:szCs w:val="20"/>
          <w:color w:val="auto"/>
        </w:rPr>
      </w:pPr>
      <w:r>
        <w:rPr>
          <w:rFonts w:ascii="Calibri" w:cs="Calibri" w:eastAsia="Calibri" w:hAnsi="Calibri"/>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41-0771293</w:t>
      </w:r>
    </w:p>
    <w:p>
      <w:pPr>
        <w:spacing w:after="0" w:line="16" w:lineRule="exact"/>
        <w:rPr>
          <w:sz w:val="24"/>
          <w:szCs w:val="24"/>
          <w:color w:val="auto"/>
        </w:rPr>
      </w:pPr>
    </w:p>
    <w:p>
      <w:pPr>
        <w:sectPr>
          <w:pgSz w:w="11900" w:h="16838" w:orient="portrait"/>
          <w:cols w:equalWidth="0" w:num="3">
            <w:col w:w="4540" w:space="720"/>
            <w:col w:w="2820" w:space="720"/>
            <w:col w:w="2440"/>
          </w:cols>
          <w:pgMar w:left="320" w:top="1030" w:right="339" w:bottom="1440" w:gutter="0" w:footer="0" w:header="0"/>
          <w:type w:val="continuous"/>
        </w:sectPr>
      </w:pPr>
    </w:p>
    <w:p>
      <w:pPr>
        <w:ind w:left="900"/>
        <w:spacing w:after="0"/>
        <w:rPr>
          <w:sz w:val="20"/>
          <w:szCs w:val="20"/>
          <w:color w:val="auto"/>
        </w:rPr>
      </w:pPr>
      <w:r>
        <w:rPr>
          <w:rFonts w:ascii="Calibri" w:cs="Calibri" w:eastAsia="Calibri" w:hAnsi="Calibri"/>
          <w:sz w:val="14"/>
          <w:szCs w:val="14"/>
          <w:b w:val="1"/>
          <w:bCs w:val="1"/>
          <w:color w:val="auto"/>
        </w:rPr>
        <w:t>(State of Incorporaton)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(IRS Employer Identfcaton No.)</w:t>
      </w:r>
    </w:p>
    <w:p>
      <w:pPr>
        <w:spacing w:after="0" w:line="200" w:lineRule="exact"/>
        <w:rPr>
          <w:sz w:val="24"/>
          <w:szCs w:val="24"/>
          <w:color w:val="auto"/>
        </w:rPr>
      </w:pPr>
    </w:p>
    <w:p>
      <w:pPr>
        <w:sectPr>
          <w:pgSz w:w="11900" w:h="16838" w:orient="portrait"/>
          <w:cols w:equalWidth="0" w:num="3">
            <w:col w:w="4000" w:space="720"/>
            <w:col w:w="2820" w:space="720"/>
            <w:col w:w="2980"/>
          </w:cols>
          <w:pgMar w:left="320" w:top="1030" w:right="339" w:bottom="1440" w:gutter="0" w:footer="0" w:header="0"/>
          <w:type w:val="continuous"/>
        </w:sectPr>
      </w:pPr>
    </w:p>
    <w:p>
      <w:pPr>
        <w:spacing w:after="0" w:line="27" w:lineRule="exact"/>
        <w:rPr>
          <w:sz w:val="24"/>
          <w:szCs w:val="24"/>
          <w:color w:val="auto"/>
        </w:rPr>
      </w:pPr>
    </w:p>
    <w:p>
      <w:pPr>
        <w:ind w:left="900"/>
        <w:spacing w:after="0"/>
        <w:rPr>
          <w:sz w:val="20"/>
          <w:szCs w:val="20"/>
          <w:color w:val="auto"/>
        </w:rPr>
      </w:pPr>
      <w:r>
        <w:rPr>
          <w:rFonts w:ascii="Calibri" w:cs="Calibri" w:eastAsia="Calibri" w:hAnsi="Calibri"/>
          <w:sz w:val="17"/>
          <w:szCs w:val="17"/>
          <w:b w:val="1"/>
          <w:bCs w:val="1"/>
          <w:color w:val="auto"/>
        </w:rPr>
        <w:t>2381 Rosegate, Roseville,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Calibri" w:cs="Calibri" w:eastAsia="Calibri" w:hAnsi="Calibri"/>
          <w:sz w:val="18"/>
          <w:szCs w:val="18"/>
          <w:b w:val="1"/>
          <w:bCs w:val="1"/>
          <w:color w:val="auto"/>
        </w:rPr>
        <w:t>55113</w:t>
      </w:r>
    </w:p>
    <w:p>
      <w:pPr>
        <w:spacing w:after="0" w:line="8" w:lineRule="exact"/>
        <w:rPr>
          <w:sz w:val="24"/>
          <w:szCs w:val="24"/>
          <w:color w:val="auto"/>
        </w:rPr>
      </w:pPr>
    </w:p>
    <w:p>
      <w:pPr>
        <w:sectPr>
          <w:pgSz w:w="11900" w:h="16838" w:orient="portrait"/>
          <w:cols w:equalWidth="0" w:num="3">
            <w:col w:w="2740" w:space="380"/>
            <w:col w:w="5480" w:space="720"/>
            <w:col w:w="1920"/>
          </w:cols>
          <w:pgMar w:left="320" w:top="1030" w:right="339" w:bottom="1440" w:gutter="0" w:footer="0" w:header="0"/>
          <w:type w:val="continuous"/>
        </w:sectPr>
      </w:pPr>
    </w:p>
    <w:p>
      <w:pPr>
        <w:ind w:left="1200"/>
        <w:spacing w:after="0"/>
        <w:rPr>
          <w:sz w:val="20"/>
          <w:szCs w:val="20"/>
          <w:color w:val="auto"/>
        </w:rPr>
      </w:pPr>
      <w:r>
        <w:rPr>
          <w:rFonts w:ascii="Calibri" w:cs="Calibri" w:eastAsia="Calibri" w:hAnsi="Calibri"/>
          <w:sz w:val="14"/>
          <w:szCs w:val="14"/>
          <w:b w:val="1"/>
          <w:bCs w:val="1"/>
          <w:color w:val="auto"/>
        </w:rPr>
        <w:t>(Address of Principal Executve Ofces)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(Zip Code)</w:t>
      </w:r>
    </w:p>
    <w:p>
      <w:pPr>
        <w:spacing w:after="0" w:line="200" w:lineRule="exact"/>
        <w:rPr>
          <w:sz w:val="24"/>
          <w:szCs w:val="24"/>
          <w:color w:val="auto"/>
        </w:rPr>
      </w:pPr>
    </w:p>
    <w:p>
      <w:pPr>
        <w:sectPr>
          <w:pgSz w:w="11900" w:h="16838" w:orient="portrait"/>
          <w:cols w:equalWidth="0" w:num="2">
            <w:col w:w="8520" w:space="720"/>
            <w:col w:w="2000"/>
          </w:cols>
          <w:pgMar w:left="320" w:top="1030" w:right="339" w:bottom="1440" w:gutter="0" w:footer="0" w:header="0"/>
          <w:type w:val="continuous"/>
        </w:sectPr>
      </w:pPr>
    </w:p>
    <w:p>
      <w:pPr>
        <w:spacing w:after="0" w:line="306"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Registrant’s Telephone Number, Including Area Code (612) 331-6910</w:t>
      </w:r>
    </w:p>
    <w:p>
      <w:pPr>
        <w:spacing w:after="0" w:line="325" w:lineRule="exact"/>
        <w:rPr>
          <w:sz w:val="24"/>
          <w:szCs w:val="24"/>
          <w:color w:val="auto"/>
        </w:rPr>
      </w:pPr>
    </w:p>
    <w:p>
      <w:pPr>
        <w:ind w:right="500" w:firstLine="445"/>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 (</w:t>
      </w:r>
      <w:r>
        <w:rPr>
          <w:rFonts w:ascii="Calibri" w:cs="Calibri" w:eastAsia="Calibri" w:hAnsi="Calibri"/>
          <w:sz w:val="18"/>
          <w:szCs w:val="18"/>
          <w:i w:val="1"/>
          <w:iCs w:val="1"/>
          <w:color w:val="auto"/>
        </w:rPr>
        <w:t>see</w:t>
      </w:r>
      <w:r>
        <w:rPr>
          <w:rFonts w:ascii="Calibri" w:cs="Calibri" w:eastAsia="Calibri" w:hAnsi="Calibri"/>
          <w:sz w:val="18"/>
          <w:szCs w:val="18"/>
          <w:color w:val="auto"/>
        </w:rPr>
        <w:t xml:space="preserve"> General Instructon A.2. below):</w:t>
      </w:r>
    </w:p>
    <w:p>
      <w:pPr>
        <w:spacing w:after="0" w:line="3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w:t>
      </w:r>
    </w:p>
    <w:p>
      <w:pPr>
        <w:spacing w:after="0" w:line="253" w:lineRule="exact"/>
        <w:rPr>
          <w:sz w:val="24"/>
          <w:szCs w:val="24"/>
          <w:color w:val="auto"/>
        </w:rPr>
      </w:pPr>
    </w:p>
    <w:p>
      <w:pPr>
        <w:spacing w:after="0"/>
        <w:rPr>
          <w:sz w:val="20"/>
          <w:szCs w:val="20"/>
          <w:color w:val="auto"/>
        </w:rPr>
      </w:pPr>
      <w:r>
        <w:rPr>
          <w:rFonts w:ascii="Calibri" w:cs="Calibri" w:eastAsia="Calibri" w:hAnsi="Calibri"/>
          <w:sz w:val="18"/>
          <w:szCs w:val="18"/>
          <w:color w:val="auto"/>
        </w:rPr>
        <w:t>Securites registered pursuant to Secton 12(b) of the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ind w:left="1160"/>
              <w:spacing w:after="0"/>
              <w:rPr>
                <w:sz w:val="20"/>
                <w:szCs w:val="20"/>
                <w:color w:val="auto"/>
              </w:rPr>
            </w:pPr>
            <w:r>
              <w:rPr>
                <w:rFonts w:ascii="Calibri" w:cs="Calibri" w:eastAsia="Calibri" w:hAnsi="Calibri"/>
                <w:sz w:val="16"/>
                <w:szCs w:val="16"/>
                <w:b w:val="1"/>
                <w:bCs w:val="1"/>
                <w:color w:val="auto"/>
              </w:rPr>
              <w:t>Title of each class</w:t>
            </w:r>
          </w:p>
        </w:tc>
        <w:tc>
          <w:tcPr>
            <w:tcW w:w="3080" w:type="dxa"/>
            <w:vAlign w:val="bottom"/>
          </w:tcPr>
          <w:p>
            <w:pPr>
              <w:jc w:val="center"/>
              <w:ind w:left="79"/>
              <w:spacing w:after="0"/>
              <w:rPr>
                <w:sz w:val="20"/>
                <w:szCs w:val="20"/>
                <w:color w:val="auto"/>
              </w:rPr>
            </w:pPr>
            <w:r>
              <w:rPr>
                <w:rFonts w:ascii="Calibri" w:cs="Calibri" w:eastAsia="Calibri" w:hAnsi="Calibri"/>
                <w:sz w:val="16"/>
                <w:szCs w:val="16"/>
                <w:b w:val="1"/>
                <w:bCs w:val="1"/>
                <w:color w:val="auto"/>
              </w:rPr>
              <w:t>Trading Symbol(s)</w:t>
            </w:r>
          </w:p>
        </w:tc>
        <w:tc>
          <w:tcPr>
            <w:tcW w:w="4240" w:type="dxa"/>
            <w:vAlign w:val="bottom"/>
          </w:tcPr>
          <w:p>
            <w:pPr>
              <w:jc w:val="center"/>
              <w:ind w:left="319"/>
              <w:spacing w:after="0"/>
              <w:rPr>
                <w:sz w:val="20"/>
                <w:szCs w:val="20"/>
                <w:color w:val="auto"/>
              </w:rPr>
            </w:pPr>
            <w:r>
              <w:rPr>
                <w:rFonts w:ascii="Calibri" w:cs="Calibri" w:eastAsia="Calibri" w:hAnsi="Calibri"/>
                <w:sz w:val="16"/>
                <w:szCs w:val="16"/>
                <w:b w:val="1"/>
                <w:bCs w:val="1"/>
                <w:color w:val="auto"/>
              </w:rPr>
              <w:t>Name of each exchange on which registered</w:t>
            </w:r>
          </w:p>
        </w:tc>
      </w:tr>
      <w:tr>
        <w:trPr>
          <w:trHeight w:val="55"/>
        </w:trPr>
        <w:tc>
          <w:tcPr>
            <w:tcW w:w="370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r>
      <w:tr>
        <w:trPr>
          <w:trHeight w:val="187"/>
        </w:trPr>
        <w:tc>
          <w:tcPr>
            <w:tcW w:w="3700" w:type="dxa"/>
            <w:vAlign w:val="bottom"/>
          </w:tcPr>
          <w:p>
            <w:pPr>
              <w:ind w:left="20"/>
              <w:spacing w:after="0" w:line="187" w:lineRule="exact"/>
              <w:rPr>
                <w:sz w:val="20"/>
                <w:szCs w:val="20"/>
                <w:color w:val="auto"/>
              </w:rPr>
            </w:pPr>
            <w:r>
              <w:rPr>
                <w:rFonts w:ascii="Calibri" w:cs="Calibri" w:eastAsia="Calibri" w:hAnsi="Calibri"/>
                <w:sz w:val="16"/>
                <w:szCs w:val="16"/>
                <w:color w:val="auto"/>
              </w:rPr>
              <w:t>Common Stock, par value $.01 per share</w:t>
            </w:r>
          </w:p>
        </w:tc>
        <w:tc>
          <w:tcPr>
            <w:tcW w:w="3080" w:type="dxa"/>
            <w:vAlign w:val="bottom"/>
          </w:tcPr>
          <w:p>
            <w:pPr>
              <w:jc w:val="center"/>
              <w:ind w:left="99"/>
              <w:spacing w:after="0" w:line="187" w:lineRule="exact"/>
              <w:rPr>
                <w:sz w:val="20"/>
                <w:szCs w:val="20"/>
                <w:color w:val="auto"/>
              </w:rPr>
            </w:pPr>
            <w:r>
              <w:rPr>
                <w:rFonts w:ascii="Calibri" w:cs="Calibri" w:eastAsia="Calibri" w:hAnsi="Calibri"/>
                <w:sz w:val="16"/>
                <w:szCs w:val="16"/>
                <w:color w:val="auto"/>
                <w:w w:val="97"/>
              </w:rPr>
              <w:t>HWKN</w:t>
            </w:r>
          </w:p>
        </w:tc>
        <w:tc>
          <w:tcPr>
            <w:tcW w:w="4240" w:type="dxa"/>
            <w:vAlign w:val="bottom"/>
          </w:tcPr>
          <w:p>
            <w:pPr>
              <w:jc w:val="center"/>
              <w:ind w:left="299"/>
              <w:spacing w:after="0" w:line="187" w:lineRule="exact"/>
              <w:rPr>
                <w:sz w:val="20"/>
                <w:szCs w:val="20"/>
                <w:color w:val="auto"/>
              </w:rPr>
            </w:pPr>
            <w:r>
              <w:rPr>
                <w:rFonts w:ascii="Calibri" w:cs="Calibri" w:eastAsia="Calibri" w:hAnsi="Calibri"/>
                <w:sz w:val="16"/>
                <w:szCs w:val="16"/>
                <w:color w:val="auto"/>
              </w:rPr>
              <w:t>Nasdaq Stock Market LLC</w:t>
            </w:r>
          </w:p>
        </w:tc>
      </w:tr>
    </w:tbl>
    <w:p>
      <w:pPr>
        <w:spacing w:after="0" w:line="365" w:lineRule="exact"/>
        <w:rPr>
          <w:sz w:val="24"/>
          <w:szCs w:val="24"/>
          <w:color w:val="auto"/>
        </w:rPr>
      </w:pPr>
    </w:p>
    <w:p>
      <w:pPr>
        <w:ind w:right="12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(17 CFR 230.405) or Rule 12b-2 of the Exchange Act (17 CFR 240.12b 2).</w:t>
      </w:r>
    </w:p>
    <w:p>
      <w:pPr>
        <w:spacing w:after="0" w:line="203" w:lineRule="exact"/>
        <w:rPr>
          <w:sz w:val="24"/>
          <w:szCs w:val="24"/>
          <w:color w:val="auto"/>
        </w:rPr>
      </w:pPr>
    </w:p>
    <w:p>
      <w:pPr>
        <w:ind w:left="8980"/>
        <w:spacing w:after="0" w:line="220" w:lineRule="exact"/>
        <w:tabs>
          <w:tab w:leader="none" w:pos="11060" w:val="left"/>
        </w:tabs>
        <w:rPr>
          <w:sz w:val="20"/>
          <w:szCs w:val="20"/>
          <w:color w:val="auto"/>
        </w:rPr>
      </w:pPr>
      <w:r>
        <w:rPr>
          <w:rFonts w:ascii="Calibri" w:cs="Calibri" w:eastAsia="Calibri" w:hAnsi="Calibri"/>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86" w:lineRule="exact"/>
        <w:rPr>
          <w:sz w:val="24"/>
          <w:szCs w:val="24"/>
          <w:color w:val="auto"/>
        </w:rPr>
      </w:pPr>
    </w:p>
    <w:p>
      <w:pPr>
        <w:ind w:right="100"/>
        <w:spacing w:after="0" w:line="241"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8"/>
          <w:szCs w:val="18"/>
          <w:b w:val="1"/>
          <w:bCs w:val="1"/>
          <w:color w:val="auto"/>
        </w:rPr>
        <w:t>Item 2.02. Results of Operatons and Financial Conditon.</w:t>
      </w:r>
    </w:p>
    <w:p>
      <w:pPr>
        <w:spacing w:after="0" w:line="96" w:lineRule="exact"/>
        <w:rPr>
          <w:sz w:val="20"/>
          <w:szCs w:val="20"/>
          <w:color w:val="auto"/>
        </w:rPr>
      </w:pPr>
    </w:p>
    <w:p>
      <w:pPr>
        <w:ind w:right="180" w:firstLine="405"/>
        <w:spacing w:after="0" w:line="235" w:lineRule="auto"/>
        <w:rPr>
          <w:sz w:val="20"/>
          <w:szCs w:val="20"/>
          <w:color w:val="auto"/>
        </w:rPr>
      </w:pPr>
      <w:r>
        <w:rPr>
          <w:rFonts w:ascii="Calibri" w:cs="Calibri" w:eastAsia="Calibri" w:hAnsi="Calibri"/>
          <w:sz w:val="18"/>
          <w:szCs w:val="18"/>
          <w:color w:val="auto"/>
        </w:rPr>
        <w:t>On October 30, 2024, Hawkins, Inc. issued a press release announcing fnancial results for its fscal 2025 second quarter ended September 29, 2024. A copy of the press release issued by the Registrant is furnished herewith as Exhibit 99.1 hereto and is incorporated herein by reference.</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9.01. Financial Statements and Exhibits.</w:t>
      </w:r>
    </w:p>
    <w:p>
      <w:pPr>
        <w:spacing w:after="0" w:line="104"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 xml:space="preserve">(d) </w:t>
      </w:r>
      <w:r>
        <w:rPr>
          <w:rFonts w:ascii="Calibri" w:cs="Calibri" w:eastAsia="Calibri" w:hAnsi="Calibri"/>
          <w:sz w:val="18"/>
          <w:szCs w:val="18"/>
          <w:u w:val="single" w:color="auto"/>
          <w:color w:val="auto"/>
        </w:rPr>
        <w:t>Exhibits</w:t>
      </w:r>
      <w:r>
        <w:rPr>
          <w:rFonts w:ascii="Calibri" w:cs="Calibri" w:eastAsia="Calibri" w:hAnsi="Calibri"/>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gridSpan w:val="4"/>
          </w:tcPr>
          <w:p>
            <w:pPr>
              <w:ind w:left="20"/>
              <w:spacing w:after="0"/>
              <w:rPr>
                <w:sz w:val="20"/>
                <w:szCs w:val="20"/>
                <w:color w:val="auto"/>
              </w:rPr>
            </w:pPr>
            <w:r>
              <w:rPr>
                <w:rFonts w:ascii="Calibri" w:cs="Calibri" w:eastAsia="Calibri" w:hAnsi="Calibri"/>
                <w:sz w:val="14"/>
                <w:szCs w:val="14"/>
                <w:color w:val="auto"/>
              </w:rPr>
              <w:t>Exhibit No.</w:t>
            </w:r>
          </w:p>
        </w:tc>
        <w:tc>
          <w:tcPr>
            <w:tcW w:w="7360" w:type="dxa"/>
            <w:vAlign w:val="bottom"/>
            <w:gridSpan w:val="2"/>
          </w:tcPr>
          <w:p>
            <w:pPr>
              <w:ind w:left="20"/>
              <w:spacing w:after="0"/>
              <w:rPr>
                <w:sz w:val="20"/>
                <w:szCs w:val="20"/>
                <w:color w:val="auto"/>
              </w:rPr>
            </w:pPr>
            <w:r>
              <w:rPr>
                <w:rFonts w:ascii="Calibri" w:cs="Calibri" w:eastAsia="Calibri" w:hAnsi="Calibri"/>
                <w:sz w:val="14"/>
                <w:szCs w:val="14"/>
                <w:color w:val="auto"/>
              </w:rPr>
              <w:t>Descripton</w:t>
            </w:r>
          </w:p>
        </w:tc>
        <w:tc>
          <w:tcPr>
            <w:tcW w:w="1720" w:type="dxa"/>
            <w:vAlign w:val="bottom"/>
            <w:gridSpan w:val="2"/>
          </w:tcPr>
          <w:p>
            <w:pPr>
              <w:jc w:val="center"/>
              <w:ind w:right="40"/>
              <w:spacing w:after="0"/>
              <w:rPr>
                <w:sz w:val="20"/>
                <w:szCs w:val="20"/>
                <w:color w:val="auto"/>
              </w:rPr>
            </w:pPr>
            <w:r>
              <w:rPr>
                <w:rFonts w:ascii="Calibri" w:cs="Calibri" w:eastAsia="Calibri" w:hAnsi="Calibri"/>
                <w:sz w:val="14"/>
                <w:szCs w:val="14"/>
                <w:color w:val="auto"/>
              </w:rPr>
              <w:t>Method of Filing</w:t>
            </w:r>
          </w:p>
        </w:tc>
      </w:tr>
      <w:tr>
        <w:trPr>
          <w:trHeight w:val="47"/>
        </w:trPr>
        <w:tc>
          <w:tcPr>
            <w:tcW w:w="1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10"/>
        </w:trPr>
        <w:tc>
          <w:tcPr>
            <w:tcW w:w="1660" w:type="dxa"/>
            <w:vAlign w:val="bottom"/>
            <w:gridSpan w:val="3"/>
          </w:tcPr>
          <w:p>
            <w:pPr>
              <w:ind w:left="1320"/>
              <w:spacing w:after="0" w:line="209" w:lineRule="exact"/>
              <w:rPr>
                <w:sz w:val="20"/>
                <w:szCs w:val="20"/>
                <w:color w:val="auto"/>
              </w:rPr>
            </w:pPr>
            <w:r>
              <w:rPr>
                <w:rFonts w:ascii="Calibri" w:cs="Calibri" w:eastAsia="Calibri" w:hAnsi="Calibri"/>
                <w:sz w:val="18"/>
                <w:szCs w:val="18"/>
                <w:color w:val="0000FF"/>
              </w:rPr>
              <w:t>99.</w:t>
            </w:r>
            <w:r>
              <w:rPr>
                <w:rFonts w:ascii="Calibri" w:cs="Calibri" w:eastAsia="Calibri" w:hAnsi="Calibri"/>
                <w:sz w:val="18"/>
                <w:szCs w:val="18"/>
                <w:u w:val="single" w:color="auto"/>
                <w:color w:val="0000FF"/>
              </w:rPr>
              <w:t>1</w:t>
            </w:r>
          </w:p>
        </w:tc>
        <w:tc>
          <w:tcPr>
            <w:tcW w:w="500" w:type="dxa"/>
            <w:vAlign w:val="bottom"/>
          </w:tcPr>
          <w:p>
            <w:pPr>
              <w:spacing w:after="0"/>
              <w:rPr>
                <w:sz w:val="18"/>
                <w:szCs w:val="18"/>
                <w:color w:val="auto"/>
              </w:rPr>
            </w:pPr>
          </w:p>
        </w:tc>
        <w:tc>
          <w:tcPr>
            <w:tcW w:w="73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Press Release, dated October 30, 2024, announcing fnancial results of Hawkins, Inc. for its fscal</w:t>
            </w:r>
          </w:p>
        </w:tc>
        <w:tc>
          <w:tcPr>
            <w:tcW w:w="1720" w:type="dxa"/>
            <w:vAlign w:val="bottom"/>
            <w:gridSpan w:val="2"/>
          </w:tcPr>
          <w:p>
            <w:pPr>
              <w:jc w:val="center"/>
              <w:ind w:right="40"/>
              <w:spacing w:after="0" w:line="209" w:lineRule="exact"/>
              <w:rPr>
                <w:sz w:val="20"/>
                <w:szCs w:val="20"/>
                <w:color w:val="auto"/>
              </w:rPr>
            </w:pPr>
            <w:r>
              <w:rPr>
                <w:rFonts w:ascii="Calibri" w:cs="Calibri" w:eastAsia="Calibri" w:hAnsi="Calibri"/>
                <w:sz w:val="18"/>
                <w:szCs w:val="18"/>
                <w:color w:val="auto"/>
                <w:w w:val="96"/>
              </w:rPr>
              <w:t>Filed Electronically</w:t>
            </w:r>
          </w:p>
        </w:tc>
      </w:tr>
      <w:tr>
        <w:trPr>
          <w:trHeight w:val="195"/>
        </w:trPr>
        <w:tc>
          <w:tcPr>
            <w:tcW w:w="13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360" w:type="dxa"/>
            <w:vAlign w:val="bottom"/>
            <w:gridSpan w:val="2"/>
          </w:tcPr>
          <w:p>
            <w:pPr>
              <w:ind w:left="20"/>
              <w:spacing w:after="0" w:line="195" w:lineRule="exact"/>
              <w:rPr>
                <w:sz w:val="20"/>
                <w:szCs w:val="20"/>
                <w:color w:val="auto"/>
              </w:rPr>
            </w:pPr>
            <w:r>
              <w:rPr>
                <w:rFonts w:ascii="Calibri" w:cs="Calibri" w:eastAsia="Calibri" w:hAnsi="Calibri"/>
                <w:sz w:val="18"/>
                <w:szCs w:val="18"/>
                <w:color w:val="auto"/>
              </w:rPr>
              <w:t>2025 second quarter ended September 29, 2024.</w:t>
            </w: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640" w:type="dxa"/>
            <w:vAlign w:val="bottom"/>
            <w:gridSpan w:val="2"/>
          </w:tcPr>
          <w:p>
            <w:pPr>
              <w:ind w:left="1320"/>
              <w:spacing w:after="0"/>
              <w:rPr>
                <w:sz w:val="20"/>
                <w:szCs w:val="20"/>
                <w:color w:val="auto"/>
              </w:rPr>
            </w:pPr>
            <w:r>
              <w:rPr>
                <w:rFonts w:ascii="Calibri" w:cs="Calibri" w:eastAsia="Calibri" w:hAnsi="Calibri"/>
                <w:sz w:val="18"/>
                <w:szCs w:val="18"/>
                <w:color w:val="auto"/>
              </w:rPr>
              <w:t>104</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360" w:type="dxa"/>
            <w:vAlign w:val="bottom"/>
            <w:gridSpan w:val="2"/>
          </w:tcPr>
          <w:p>
            <w:pPr>
              <w:ind w:left="20"/>
              <w:spacing w:after="0"/>
              <w:rPr>
                <w:sz w:val="20"/>
                <w:szCs w:val="20"/>
                <w:color w:val="auto"/>
              </w:rPr>
            </w:pPr>
            <w:r>
              <w:rPr>
                <w:rFonts w:ascii="Calibri" w:cs="Calibri" w:eastAsia="Calibri" w:hAnsi="Calibri"/>
                <w:sz w:val="18"/>
                <w:szCs w:val="18"/>
                <w:color w:val="auto"/>
              </w:rPr>
              <w:t>Cover Page Interactve Data File (embedded within the inline XBRL document)</w:t>
            </w:r>
          </w:p>
        </w:tc>
        <w:tc>
          <w:tcPr>
            <w:tcW w:w="1720" w:type="dxa"/>
            <w:vAlign w:val="bottom"/>
            <w:gridSpan w:val="2"/>
          </w:tcPr>
          <w:p>
            <w:pPr>
              <w:jc w:val="center"/>
              <w:ind w:right="40"/>
              <w:spacing w:after="0"/>
              <w:rPr>
                <w:sz w:val="20"/>
                <w:szCs w:val="20"/>
                <w:color w:val="auto"/>
              </w:rPr>
            </w:pPr>
            <w:r>
              <w:rPr>
                <w:rFonts w:ascii="Calibri" w:cs="Calibri" w:eastAsia="Calibri" w:hAnsi="Calibri"/>
                <w:sz w:val="18"/>
                <w:szCs w:val="18"/>
                <w:color w:val="auto"/>
                <w:w w:val="96"/>
              </w:rPr>
              <w:t>Filed Electronically</w:t>
            </w:r>
          </w:p>
        </w:tc>
      </w:tr>
      <w:tr>
        <w:trPr>
          <w:trHeight w:val="1246"/>
        </w:trPr>
        <w:tc>
          <w:tcPr>
            <w:tcW w:w="1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19"/>
        <w:spacing w:after="0"/>
        <w:rPr>
          <w:sz w:val="20"/>
          <w:szCs w:val="20"/>
          <w:color w:val="auto"/>
        </w:rPr>
      </w:pPr>
      <w:r>
        <w:rPr>
          <w:rFonts w:ascii="Calibri" w:cs="Calibri" w:eastAsia="Calibri" w:hAnsi="Calibri"/>
          <w:sz w:val="18"/>
          <w:szCs w:val="18"/>
          <w:b w:val="1"/>
          <w:bCs w:val="1"/>
          <w:color w:val="auto"/>
        </w:rPr>
        <w:t>SIGNATURES</w:t>
      </w:r>
    </w:p>
    <w:p>
      <w:pPr>
        <w:spacing w:after="0" w:line="163" w:lineRule="exact"/>
        <w:rPr>
          <w:sz w:val="20"/>
          <w:szCs w:val="20"/>
          <w:color w:val="auto"/>
        </w:rPr>
      </w:pPr>
    </w:p>
    <w:p>
      <w:pPr>
        <w:ind w:right="560" w:firstLine="445"/>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hereunto duly authorized.</w:t>
      </w:r>
    </w:p>
    <w:p>
      <w:pPr>
        <w:spacing w:after="0" w:line="37"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3080" w:type="dxa"/>
            <w:vAlign w:val="bottom"/>
          </w:tcPr>
          <w:p>
            <w:pPr>
              <w:spacing w:after="0"/>
              <w:rPr>
                <w:sz w:val="19"/>
                <w:szCs w:val="19"/>
                <w:color w:val="auto"/>
              </w:rPr>
            </w:pPr>
          </w:p>
        </w:tc>
        <w:tc>
          <w:tcPr>
            <w:tcW w:w="2840" w:type="dxa"/>
            <w:vAlign w:val="bottom"/>
            <w:gridSpan w:val="2"/>
          </w:tcPr>
          <w:p>
            <w:pPr>
              <w:ind w:left="1400"/>
              <w:spacing w:after="0"/>
              <w:rPr>
                <w:sz w:val="20"/>
                <w:szCs w:val="20"/>
                <w:color w:val="auto"/>
              </w:rPr>
            </w:pPr>
            <w:r>
              <w:rPr>
                <w:rFonts w:ascii="Calibri" w:cs="Calibri" w:eastAsia="Calibri" w:hAnsi="Calibri"/>
                <w:sz w:val="18"/>
                <w:szCs w:val="18"/>
                <w:color w:val="auto"/>
              </w:rPr>
              <w:t>HAWKINS, INC.</w:t>
            </w:r>
          </w:p>
        </w:tc>
        <w:tc>
          <w:tcPr>
            <w:tcW w:w="5260" w:type="dxa"/>
            <w:vAlign w:val="bottom"/>
          </w:tcPr>
          <w:p>
            <w:pPr>
              <w:spacing w:after="0"/>
              <w:rPr>
                <w:sz w:val="19"/>
                <w:szCs w:val="19"/>
                <w:color w:val="auto"/>
              </w:rPr>
            </w:pPr>
          </w:p>
        </w:tc>
      </w:tr>
      <w:tr>
        <w:trPr>
          <w:trHeight w:val="284"/>
        </w:trPr>
        <w:tc>
          <w:tcPr>
            <w:tcW w:w="3080" w:type="dxa"/>
            <w:vAlign w:val="bottom"/>
          </w:tcPr>
          <w:p>
            <w:pPr>
              <w:spacing w:after="0"/>
              <w:rPr>
                <w:sz w:val="20"/>
                <w:szCs w:val="20"/>
                <w:color w:val="auto"/>
              </w:rPr>
            </w:pPr>
            <w:r>
              <w:rPr>
                <w:rFonts w:ascii="Calibri" w:cs="Calibri" w:eastAsia="Calibri" w:hAnsi="Calibri"/>
                <w:sz w:val="18"/>
                <w:szCs w:val="18"/>
                <w:color w:val="auto"/>
              </w:rPr>
              <w:t>Date: October 30, 2024</w:t>
            </w:r>
          </w:p>
        </w:tc>
        <w:tc>
          <w:tcPr>
            <w:tcW w:w="2840" w:type="dxa"/>
            <w:vAlign w:val="bottom"/>
            <w:gridSpan w:val="2"/>
          </w:tcPr>
          <w:p>
            <w:pPr>
              <w:ind w:left="1400"/>
              <w:spacing w:after="0"/>
              <w:rPr>
                <w:sz w:val="20"/>
                <w:szCs w:val="20"/>
                <w:color w:val="auto"/>
              </w:rPr>
            </w:pPr>
            <w:r>
              <w:rPr>
                <w:rFonts w:ascii="Calibri" w:cs="Calibri" w:eastAsia="Calibri" w:hAnsi="Calibri"/>
                <w:sz w:val="18"/>
                <w:szCs w:val="18"/>
                <w:color w:val="auto"/>
              </w:rPr>
              <w:t>By:</w:t>
            </w:r>
          </w:p>
        </w:tc>
        <w:tc>
          <w:tcPr>
            <w:tcW w:w="5260" w:type="dxa"/>
            <w:vAlign w:val="bottom"/>
          </w:tcPr>
          <w:p>
            <w:pPr>
              <w:jc w:val="center"/>
              <w:ind w:right="810"/>
              <w:spacing w:after="0"/>
              <w:rPr>
                <w:sz w:val="20"/>
                <w:szCs w:val="20"/>
                <w:color w:val="auto"/>
              </w:rPr>
            </w:pPr>
            <w:r>
              <w:rPr>
                <w:rFonts w:ascii="Calibri" w:cs="Calibri" w:eastAsia="Calibri" w:hAnsi="Calibri"/>
                <w:sz w:val="18"/>
                <w:szCs w:val="18"/>
                <w:color w:val="auto"/>
                <w:w w:val="98"/>
              </w:rPr>
              <w:t>/s/ Jefrey P. Oldenkamp</w:t>
            </w:r>
          </w:p>
        </w:tc>
      </w:tr>
      <w:tr>
        <w:trPr>
          <w:trHeight w:val="23"/>
        </w:trPr>
        <w:tc>
          <w:tcPr>
            <w:tcW w:w="30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08"/>
        </w:trPr>
        <w:tc>
          <w:tcPr>
            <w:tcW w:w="30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60" w:type="dxa"/>
            <w:vAlign w:val="bottom"/>
          </w:tcPr>
          <w:p>
            <w:pPr>
              <w:jc w:val="center"/>
              <w:ind w:right="810"/>
              <w:spacing w:after="0" w:line="208" w:lineRule="exact"/>
              <w:rPr>
                <w:sz w:val="20"/>
                <w:szCs w:val="20"/>
                <w:color w:val="auto"/>
              </w:rPr>
            </w:pPr>
            <w:r>
              <w:rPr>
                <w:rFonts w:ascii="Calibri" w:cs="Calibri" w:eastAsia="Calibri" w:hAnsi="Calibri"/>
                <w:sz w:val="18"/>
                <w:szCs w:val="18"/>
                <w:color w:val="auto"/>
                <w:w w:val="98"/>
              </w:rPr>
              <w:t>Jefrey P. Oldenkamp</w:t>
            </w:r>
          </w:p>
        </w:tc>
      </w:tr>
      <w:tr>
        <w:trPr>
          <w:trHeight w:val="221"/>
        </w:trPr>
        <w:tc>
          <w:tcPr>
            <w:tcW w:w="30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60" w:type="dxa"/>
            <w:vAlign w:val="bottom"/>
          </w:tcPr>
          <w:p>
            <w:pPr>
              <w:jc w:val="center"/>
              <w:ind w:right="810"/>
              <w:spacing w:after="0"/>
              <w:rPr>
                <w:sz w:val="20"/>
                <w:szCs w:val="20"/>
                <w:color w:val="auto"/>
              </w:rPr>
            </w:pPr>
            <w:r>
              <w:rPr>
                <w:rFonts w:ascii="Calibri" w:cs="Calibri" w:eastAsia="Calibri" w:hAnsi="Calibri"/>
                <w:sz w:val="18"/>
                <w:szCs w:val="18"/>
                <w:color w:val="auto"/>
              </w:rPr>
              <w:t>Executve Vice President and Chief Financial Ofcer</w:t>
            </w:r>
          </w:p>
        </w:tc>
      </w:tr>
    </w:tbl>
    <w:p>
      <w:pPr>
        <w:sectPr>
          <w:pgSz w:w="11900" w:h="16838" w:orient="portrait"/>
          <w:cols w:equalWidth="0" w:num="1">
            <w:col w:w="11240"/>
          </w:cols>
          <w:pgMar w:left="320" w:top="882" w:right="339" w:bottom="1440" w:gutter="0" w:footer="0" w:header="0"/>
        </w:sectPr>
      </w:pPr>
    </w:p>
    <w:bookmarkStart w:id="3" w:name="page4"/>
    <w:bookmarkEnd w:id="3"/>
    <w:p>
      <w:pPr>
        <w:ind w:left="10360"/>
        <w:spacing w:after="0"/>
        <w:rPr>
          <w:sz w:val="20"/>
          <w:szCs w:val="20"/>
          <w:color w:val="auto"/>
        </w:rPr>
      </w:pPr>
      <w:r>
        <w:rPr>
          <w:rFonts w:ascii="Calibri" w:cs="Calibri" w:eastAsia="Calibri" w:hAnsi="Calibri"/>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Hawkins, Inc. Reports</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Second Quarter Fiscal 2025 Results</w:t>
      </w:r>
    </w:p>
    <w:p>
      <w:pPr>
        <w:spacing w:after="0" w:line="24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Roseville, Minn., October 30, 2024 – Hawkins, Inc. (Nasdaq: HWKN) today announced results for the six months ended September 29, 2024, its second quarter of fscal 2025.</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Second Quarter Fiscal Year 2025 Highlights:</w:t>
      </w:r>
    </w:p>
    <w:p>
      <w:pPr>
        <w:spacing w:after="0" w:line="231" w:lineRule="exact"/>
        <w:rPr>
          <w:sz w:val="20"/>
          <w:szCs w:val="20"/>
          <w:color w:val="auto"/>
        </w:rPr>
      </w:pPr>
    </w:p>
    <w:p>
      <w:pPr>
        <w:ind w:left="660" w:right="380" w:hanging="328"/>
        <w:spacing w:after="0" w:line="227" w:lineRule="auto"/>
        <w:tabs>
          <w:tab w:leader="none" w:pos="653"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Record second quarter results for revenue, gross proft, operatng income, net income, diluted earnings per share (“EPS”) and adjusted Earnings Before Interest, Taxes, Depreciaton and Amortzaton (“adjusted EBITDA”), a non-GAAP measure.</w:t>
      </w:r>
    </w:p>
    <w:p>
      <w:pPr>
        <w:spacing w:after="0" w:line="1" w:lineRule="exact"/>
        <w:rPr>
          <w:rFonts w:ascii="Calibri" w:cs="Calibri" w:eastAsia="Calibri" w:hAnsi="Calibri"/>
          <w:sz w:val="18"/>
          <w:szCs w:val="18"/>
          <w:color w:val="auto"/>
        </w:rPr>
      </w:pPr>
    </w:p>
    <w:p>
      <w:pPr>
        <w:ind w:left="640" w:hanging="308"/>
        <w:spacing w:after="0" w:line="221" w:lineRule="auto"/>
        <w:tabs>
          <w:tab w:leader="none" w:pos="6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Overall revenue growth of 4%, once again driven by the Water Treatment segment growth of 23% over the same period of the prior year.</w:t>
      </w:r>
    </w:p>
    <w:p>
      <w:pPr>
        <w:ind w:left="640" w:hanging="308"/>
        <w:spacing w:after="0" w:line="206" w:lineRule="auto"/>
        <w:tabs>
          <w:tab w:leader="none" w:pos="6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Gross proft increase of 12% over the same period of the prior year, with Water Treatment segment gross proft growth of 22%.</w:t>
      </w:r>
    </w:p>
    <w:p>
      <w:pPr>
        <w:ind w:left="640" w:hanging="308"/>
        <w:spacing w:after="0" w:line="221" w:lineRule="auto"/>
        <w:tabs>
          <w:tab w:leader="none" w:pos="6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Second quarter operatng income of $33.7 million, our 26th consecutve quarter of year-over-year operatng income increase.</w:t>
      </w:r>
    </w:p>
    <w:p>
      <w:pPr>
        <w:ind w:left="640" w:hanging="308"/>
        <w:spacing w:after="0" w:line="221" w:lineRule="auto"/>
        <w:tabs>
          <w:tab w:leader="none" w:pos="6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Diluted EPS of $1.16, an increase of $0.06, or 5%, compared to the same period of the prior year.</w:t>
      </w:r>
    </w:p>
    <w:p>
      <w:pPr>
        <w:ind w:left="660" w:right="160" w:hanging="328"/>
        <w:spacing w:after="0" w:line="221" w:lineRule="auto"/>
        <w:tabs>
          <w:tab w:leader="none" w:pos="653"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Adjusted EBITDA, a non-GAAP measure, of $46.3 million, a 12% increase over the same period of the prior year. Trailing 12-month adjusted EBITDA exceeded $157 million.</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Executve Commentary – Patrick H. Hawkins, Chief Executve Ofcer and President:</w:t>
      </w:r>
    </w:p>
    <w:p>
      <w:pPr>
        <w:spacing w:after="0" w:line="244" w:lineRule="exact"/>
        <w:rPr>
          <w:sz w:val="20"/>
          <w:szCs w:val="20"/>
          <w:color w:val="auto"/>
        </w:rPr>
      </w:pPr>
    </w:p>
    <w:p>
      <w:pPr>
        <w:ind w:right="140"/>
        <w:spacing w:after="0" w:line="243" w:lineRule="auto"/>
        <w:rPr>
          <w:sz w:val="20"/>
          <w:szCs w:val="20"/>
          <w:color w:val="auto"/>
        </w:rPr>
      </w:pPr>
      <w:r>
        <w:rPr>
          <w:rFonts w:ascii="Calibri" w:cs="Calibri" w:eastAsia="Calibri" w:hAnsi="Calibri"/>
          <w:sz w:val="18"/>
          <w:szCs w:val="18"/>
          <w:color w:val="auto"/>
        </w:rPr>
        <w:t>“Our record performance in the second quarter was once again driven by our Water Treatment business, as we contnued to gain efciencies within our recent acquisitons and made progress towards future acquisiton targets. Within the quarter we saw strong revenue growth of 23% in our Water Treatment business driven by our recent acquisitons, with organic volume fat due to unfavorable weather conditons in several regions. Revenue in our Industrial segment declined year over year due primarily to reduced selling prices driven by lower commodity costs, with volumes up slightly. Health and Nutriton revenues declined due to lower sales of our manufactured products and overall sofness in the market. Overall, we saw 4% revenue growth with gross proft increasing 12%, overcoming the $3.2 million LIFO beneft we saw in the second quarter of fscal 2024.”</w:t>
      </w:r>
    </w:p>
    <w:p>
      <w:pPr>
        <w:spacing w:after="0" w:line="24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Mr. Hawkins, contnued, “Our balance sheet contnues to be strong, as we paid down $30 million of debt within the quarter, resultng in our leverage rato being 0.65x trailing 12-month proforma adjusted EBITDA at the end of the quarter. Looking to the third quarter, we expect contnued growth within our Water Treatment segment and for our Health and Nutriton segment to resume growth. We expect to see our Industrial segment contnue to perform similar to the frst half of fscal 2025.”</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Second Quarter Financial Highlights: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NET INCOME</w:t>
      </w:r>
    </w:p>
    <w:p>
      <w:pPr>
        <w:spacing w:after="0" w:line="10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For the second quarter of fscal 2025, the Company reported net income of $24.1 million, or $1.16 per diluted share, compared to net income for the second quarter of fscal 2024 of $23.2 million, or $1.10 per diluted share.</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w:t>
      </w:r>
    </w:p>
    <w:p>
      <w:pPr>
        <w:spacing w:after="0" w:line="109" w:lineRule="exact"/>
        <w:rPr>
          <w:sz w:val="20"/>
          <w:szCs w:val="20"/>
          <w:color w:val="auto"/>
        </w:rPr>
      </w:pPr>
    </w:p>
    <w:p>
      <w:pPr>
        <w:ind w:right="20"/>
        <w:spacing w:after="0" w:line="251" w:lineRule="auto"/>
        <w:rPr>
          <w:sz w:val="20"/>
          <w:szCs w:val="20"/>
          <w:color w:val="auto"/>
        </w:rPr>
      </w:pPr>
      <w:r>
        <w:rPr>
          <w:rFonts w:ascii="Calibri" w:cs="Calibri" w:eastAsia="Calibri" w:hAnsi="Calibri"/>
          <w:sz w:val="17"/>
          <w:szCs w:val="17"/>
          <w:color w:val="auto"/>
        </w:rPr>
        <w:t>Sales were $247.0 million for the second quarter of fscal 2025, an increase of $10.5 million, or 4%, from sales of $236.5 million in the same period a year ago. Increased sales in our Water Treatment segment more than ofset sales sofness in our Industrial and Health and Nutriton segments. Water Treatment segment sales increased $23.6 million, or 23%, to $124.5 million for the current quarter, from $100.9 million in the same period a year ago. Water Treatment sales increased as a result of added sales from our acquired businesses. Industrial segment sales decreased $8.6 million, or 9%, to $89.9 million for the current quarter, from $98.5 million in the same period a year ago. Although overall volumes increased slightly year over year, sales decreased as a result of lower selling prices on certain products, driven by lower raw material costs and compettve pricing actons. Health and Nutriton segment sales decreased $4.5 million, or 12%, to $32.6 million for the current quarter, from $37.1 million in the same period a year ago. Health and Nutriton sales decreased due to lower sales of our manufactured products driven by reduced volumes and selling prices due to decreased demand for certain of our products.</w:t>
      </w:r>
    </w:p>
    <w:p>
      <w:pPr>
        <w:sectPr>
          <w:pgSz w:w="11900" w:h="16838" w:orient="portrait"/>
          <w:cols w:equalWidth="0" w:num="1">
            <w:col w:w="11240"/>
          </w:cols>
          <w:pgMar w:left="320" w:top="598" w:right="33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b w:val="1"/>
          <w:bCs w:val="1"/>
          <w:color w:val="auto"/>
        </w:rPr>
        <w:t>GROSS PROFIT</w:t>
      </w:r>
    </w:p>
    <w:p>
      <w:pPr>
        <w:spacing w:after="0" w:line="163" w:lineRule="exact"/>
        <w:rPr>
          <w:sz w:val="20"/>
          <w:szCs w:val="20"/>
          <w:color w:val="auto"/>
        </w:rPr>
      </w:pPr>
    </w:p>
    <w:p>
      <w:pPr>
        <w:ind w:right="80"/>
        <w:spacing w:after="0" w:line="249" w:lineRule="auto"/>
        <w:rPr>
          <w:sz w:val="20"/>
          <w:szCs w:val="20"/>
          <w:color w:val="auto"/>
        </w:rPr>
      </w:pPr>
      <w:r>
        <w:rPr>
          <w:rFonts w:ascii="Calibri" w:cs="Calibri" w:eastAsia="Calibri" w:hAnsi="Calibri"/>
          <w:sz w:val="17"/>
          <w:szCs w:val="17"/>
          <w:color w:val="auto"/>
        </w:rPr>
        <w:t>Gross proft increased $6.3 million, or 12%, to $60.2 million, or 24% of sales, for the current quarter, from $53.9 million, or 23% of sales, in the same period a year ago. During the current quarter, the LIFO reserve was unchanged, having no impact on gross proft. In the same quarter a year ago, the LIFO reserve decreased, and gross proft increased, by $3.2 million. Gross proft for the Water Treatment segment increased $6.3 million, or 22%, to $35.6 million, or 29% of sales, for the current quarter, from $29.3 million, or 29% of sales, in the same period a year ago. Water Treatment segment gross proft increased as a result of increased sales from our acquired businesses. Gross proft for the Industrial segment increased $0.5 million, or 3%, to $18.3 million, or 20% of sales, for the current quarter, from $17.8 million, or 18% of sales, in the same period a year ago. Industrial segment gross proft increased as a result of increased volumes of certain products and product mix changes. Gross proft for our Health and Nutriton segment decreased $0.3 million, or 4%, to $6.4 million, or</w:t>
      </w:r>
    </w:p>
    <w:p>
      <w:pPr>
        <w:spacing w:after="0" w:line="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20% of sales, for the current quarter, from $6.7 million, or 18% of sales, in the same period a year ago. Health and Nutriton segment gross proft decreased as a result of the decrease in sales.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SELLING, GENERAL AND ADMINISTRATIVE EXPENSES</w:t>
      </w:r>
    </w:p>
    <w:p>
      <w:pPr>
        <w:spacing w:after="0" w:line="109"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Selling, general and administratve expenses increased $5.6 million, or 27%, to $26.5 million, or 11% of sales, for the current quarter, from $20.9 million, or 9% of sales, in the same period a year ago. Expenses increased primarily due to $3.8 million in added costs from the acquired businesses in our Water Treatment segment, including amortzaton of intangibles of $1.5 million. In additon, a year-over-year increase of $1.0 million in compensaton expense related to our non-qualifed deferred compensaton plan increased SG&amp;A expenses, with the ofset in other income.</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ADJUSTED EBITDA</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Adjusted EBITDA, a non-GAAP fnancial measure, is an important performance indicator and a key compliance measure under the terms of our credit agreement. An explanaton of the computaton of adjusted EBITDA is presented below. Adjusted EBITDA for the three months ended September 29, 2024 was $46.3 million, an increase of $4.8 million, or 12%, from $41.5 million in the same period a year ago.</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INCOME TAXES</w:t>
      </w:r>
    </w:p>
    <w:p>
      <w:pPr>
        <w:spacing w:after="0" w:line="109" w:lineRule="exact"/>
        <w:rPr>
          <w:sz w:val="20"/>
          <w:szCs w:val="20"/>
          <w:color w:val="auto"/>
        </w:rPr>
      </w:pPr>
    </w:p>
    <w:p>
      <w:pPr>
        <w:ind w:right="140"/>
        <w:spacing w:after="0" w:line="258" w:lineRule="auto"/>
        <w:rPr>
          <w:sz w:val="20"/>
          <w:szCs w:val="20"/>
          <w:color w:val="auto"/>
        </w:rPr>
      </w:pPr>
      <w:r>
        <w:rPr>
          <w:rFonts w:ascii="Calibri" w:cs="Calibri" w:eastAsia="Calibri" w:hAnsi="Calibri"/>
          <w:sz w:val="17"/>
          <w:szCs w:val="17"/>
          <w:color w:val="auto"/>
        </w:rPr>
        <w:t>Our efectve income tax rate was 27% for both the current quarter and for the same period a year ago. The efectve tax rate is impacted by projected levels of annual taxable income, permanent items, and state taxes. Our efectve tax rate for the full year is currently expected to be approximately 26-27%.</w:t>
      </w:r>
    </w:p>
    <w:p>
      <w:pPr>
        <w:spacing w:after="0" w:line="1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BALANCE SHEET</w:t>
      </w:r>
    </w:p>
    <w:p>
      <w:pPr>
        <w:spacing w:after="0" w:line="96" w:lineRule="exact"/>
        <w:rPr>
          <w:sz w:val="20"/>
          <w:szCs w:val="20"/>
          <w:color w:val="auto"/>
        </w:rPr>
      </w:pPr>
    </w:p>
    <w:p>
      <w:pPr>
        <w:ind w:right="100"/>
        <w:spacing w:after="0" w:line="223" w:lineRule="auto"/>
        <w:rPr>
          <w:sz w:val="20"/>
          <w:szCs w:val="20"/>
          <w:color w:val="auto"/>
        </w:rPr>
      </w:pPr>
      <w:r>
        <w:rPr>
          <w:rFonts w:ascii="Calibri" w:cs="Calibri" w:eastAsia="Calibri" w:hAnsi="Calibri"/>
          <w:sz w:val="18"/>
          <w:szCs w:val="18"/>
          <w:color w:val="auto"/>
        </w:rPr>
        <w:t>At the end of the second quarter, our working capital was $18 million higher than the end of fscal 2024 due primarily to increased inventory and lower liabilites due to the payment of certain year-end accruals in the frst quarter. During the quarter, we paid down $30 million on our line of credit. Year-to-date net borrowings of $5.0 million and $59.2 million of operatng cash fow was used to fund $25.4 million of acquisiton spending for the acquisitons of Intercoastal Trading, Inc. and Woford Water Service, Inc., capital spending of $21.3 million, stock repurchases of $9.1 million and dividend payments of $7.1 million. Our total debt outstanding at the end of the second quarter was $104.0 million and our leverage rato was 0.65x our trailing 12-month proforma adjusted EBITDA, as compared to 0.66x of trailing twelve-month adjusted EBITDA at the end of fscal 2024.</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auto"/>
        </w:rPr>
        <w:t>About Hawkins, Inc.</w:t>
      </w:r>
    </w:p>
    <w:p>
      <w:pPr>
        <w:spacing w:after="0" w:line="217" w:lineRule="exact"/>
        <w:rPr>
          <w:sz w:val="20"/>
          <w:szCs w:val="20"/>
          <w:color w:val="auto"/>
        </w:rPr>
      </w:pPr>
    </w:p>
    <w:p>
      <w:pPr>
        <w:ind w:right="120"/>
        <w:spacing w:after="0" w:line="223" w:lineRule="auto"/>
        <w:rPr>
          <w:sz w:val="20"/>
          <w:szCs w:val="20"/>
          <w:color w:val="auto"/>
        </w:rPr>
      </w:pPr>
      <w:r>
        <w:rPr>
          <w:rFonts w:ascii="Calibri" w:cs="Calibri" w:eastAsia="Calibri" w:hAnsi="Calibri"/>
          <w:sz w:val="18"/>
          <w:szCs w:val="18"/>
          <w:color w:val="auto"/>
        </w:rPr>
        <w:t>Hawkins, Inc. was founded in 1938 and is a leading specialty chemical and ingredients company that formulates, distributes, blends, and manufactures products for its Industrial, Water Treatment, and Health &amp; Nutriton customers. Headquartered in Roseville, Minnesota, the Company has 61 facilites in 28 states and creates value for its customers through superb customer service and support, quality products and personalized applicatons. Hawkins, Inc. generated $919 million of revenue in fscal 2024 and has approximately 1,000 employees. For more informaton, including registering to receive email alerts, please visit www.hawkinsinc.com/investors.</w:t>
      </w:r>
    </w:p>
    <w:p>
      <w:pPr>
        <w:sectPr>
          <w:pgSz w:w="11900" w:h="16838" w:orient="portrait"/>
          <w:cols w:equalWidth="0" w:num="1">
            <w:col w:w="11240"/>
          </w:cols>
          <w:pgMar w:left="320" w:top="558" w:right="33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u w:val="single" w:color="auto"/>
          <w:color w:val="auto"/>
        </w:rPr>
        <w:t>Reconciliaton of Non-GAAP Financial Measures</w:t>
      </w:r>
    </w:p>
    <w:p>
      <w:pPr>
        <w:spacing w:after="0" w:line="17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We report our consolidated fnancial results in accordance with U.S. generally accepted accountng principles (GAAP). To assist investors in understanding our fnancial performance between periods, we have provided certain fnancial measures not computed according to GAAP, including adjusted EBITDA. This non-GAAP fnancial measure is not meant to be considered in isolaton or as a substtute for comparable GAAP measures. The method we use to produce non-GAAP results is not computed according to GAAP and may difer from the methods used by other companies.</w:t>
      </w:r>
    </w:p>
    <w:p>
      <w:pPr>
        <w:spacing w:after="0" w:line="192"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Management uses this non-GAAP fnancial measure internally to understand, manage and evaluate our business and to make operatng decisions. Management believes that this non-GAAP fnancial measure refects an additonal way of viewing aspects of our operatons that, when viewed with our GAAP results, provides a more complete understanding of the factors and trends afectng our fnancial conditon and results of operatons.</w:t>
      </w:r>
    </w:p>
    <w:p>
      <w:pPr>
        <w:spacing w:after="0" w:line="178"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We defne adjusted EBITDA as GAAP net income adjusted for the impact of the following: net interest expense resultng from our net borrowing positon; income tax expense; non-cash expenses including amortzaton of intangibles, depreciaton and charges for the employee stock purchase plan and restricted stock grants; and non-recurring items of income or expense, if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center"/>
              <w:ind w:right="30"/>
              <w:spacing w:after="0"/>
              <w:rPr>
                <w:sz w:val="20"/>
                <w:szCs w:val="20"/>
                <w:color w:val="auto"/>
              </w:rPr>
            </w:pPr>
            <w:r>
              <w:rPr>
                <w:rFonts w:ascii="Calibri" w:cs="Calibri" w:eastAsia="Calibri" w:hAnsi="Calibri"/>
                <w:sz w:val="18"/>
                <w:szCs w:val="18"/>
                <w:b w:val="1"/>
                <w:bCs w:val="1"/>
                <w:color w:val="auto"/>
                <w:w w:val="95"/>
              </w:rPr>
              <w:t>Trailing 12-months</w:t>
            </w:r>
          </w:p>
        </w:tc>
      </w:tr>
      <w:tr>
        <w:trPr>
          <w:trHeight w:val="228"/>
        </w:trPr>
        <w:tc>
          <w:tcPr>
            <w:tcW w:w="3180" w:type="dxa"/>
            <w:vAlign w:val="bottom"/>
          </w:tcPr>
          <w:p>
            <w:pPr>
              <w:ind w:left="20"/>
              <w:spacing w:after="0"/>
              <w:rPr>
                <w:sz w:val="20"/>
                <w:szCs w:val="20"/>
                <w:color w:val="auto"/>
              </w:rPr>
            </w:pPr>
            <w:r>
              <w:rPr>
                <w:rFonts w:ascii="Calibri" w:cs="Calibri" w:eastAsia="Calibri" w:hAnsi="Calibri"/>
                <w:sz w:val="18"/>
                <w:szCs w:val="18"/>
                <w:b w:val="1"/>
                <w:bCs w:val="1"/>
                <w:color w:val="auto"/>
              </w:rPr>
              <w:t>Adjusted EBITDA</w:t>
            </w:r>
          </w:p>
        </w:tc>
        <w:tc>
          <w:tcPr>
            <w:tcW w:w="160" w:type="dxa"/>
            <w:vAlign w:val="bottom"/>
          </w:tcPr>
          <w:p>
            <w:pPr>
              <w:spacing w:after="0"/>
              <w:rPr>
                <w:sz w:val="19"/>
                <w:szCs w:val="19"/>
                <w:color w:val="auto"/>
              </w:rPr>
            </w:pPr>
          </w:p>
        </w:tc>
        <w:tc>
          <w:tcPr>
            <w:tcW w:w="3060" w:type="dxa"/>
            <w:vAlign w:val="bottom"/>
            <w:gridSpan w:val="5"/>
          </w:tcPr>
          <w:p>
            <w:pPr>
              <w:ind w:left="620"/>
              <w:spacing w:after="0"/>
              <w:rPr>
                <w:sz w:val="20"/>
                <w:szCs w:val="20"/>
                <w:color w:val="auto"/>
              </w:rPr>
            </w:pPr>
            <w:r>
              <w:rPr>
                <w:rFonts w:ascii="Calibri" w:cs="Calibri" w:eastAsia="Calibri" w:hAnsi="Calibri"/>
                <w:sz w:val="18"/>
                <w:szCs w:val="18"/>
                <w:b w:val="1"/>
                <w:bCs w:val="1"/>
                <w:color w:val="auto"/>
              </w:rPr>
              <w:t>Three Months Ended</w:t>
            </w:r>
          </w:p>
        </w:tc>
        <w:tc>
          <w:tcPr>
            <w:tcW w:w="500" w:type="dxa"/>
            <w:vAlign w:val="bottom"/>
          </w:tcPr>
          <w:p>
            <w:pPr>
              <w:spacing w:after="0"/>
              <w:rPr>
                <w:sz w:val="19"/>
                <w:szCs w:val="19"/>
                <w:color w:val="auto"/>
              </w:rPr>
            </w:pPr>
          </w:p>
        </w:tc>
        <w:tc>
          <w:tcPr>
            <w:tcW w:w="2720" w:type="dxa"/>
            <w:vAlign w:val="bottom"/>
            <w:gridSpan w:val="5"/>
          </w:tcPr>
          <w:p>
            <w:pPr>
              <w:ind w:left="400"/>
              <w:spacing w:after="0"/>
              <w:rPr>
                <w:sz w:val="20"/>
                <w:szCs w:val="20"/>
                <w:color w:val="auto"/>
              </w:rPr>
            </w:pPr>
            <w:r>
              <w:rPr>
                <w:rFonts w:ascii="Calibri" w:cs="Calibri" w:eastAsia="Calibri" w:hAnsi="Calibri"/>
                <w:sz w:val="18"/>
                <w:szCs w:val="18"/>
                <w:b w:val="1"/>
                <w:bCs w:val="1"/>
                <w:color w:val="auto"/>
              </w:rPr>
              <w:t>Six months ended</w:t>
            </w:r>
          </w:p>
        </w:tc>
        <w:tc>
          <w:tcPr>
            <w:tcW w:w="120" w:type="dxa"/>
            <w:vAlign w:val="bottom"/>
          </w:tcPr>
          <w:p>
            <w:pPr>
              <w:spacing w:after="0"/>
              <w:rPr>
                <w:sz w:val="19"/>
                <w:szCs w:val="19"/>
                <w:color w:val="auto"/>
              </w:rPr>
            </w:pPr>
          </w:p>
        </w:tc>
        <w:tc>
          <w:tcPr>
            <w:tcW w:w="1500" w:type="dxa"/>
            <w:vAlign w:val="bottom"/>
          </w:tcPr>
          <w:p>
            <w:pPr>
              <w:jc w:val="center"/>
              <w:ind w:right="30"/>
              <w:spacing w:after="0" w:line="215" w:lineRule="exact"/>
              <w:rPr>
                <w:sz w:val="20"/>
                <w:szCs w:val="20"/>
                <w:color w:val="auto"/>
              </w:rPr>
            </w:pPr>
            <w:r>
              <w:rPr>
                <w:rFonts w:ascii="Calibri" w:cs="Calibri" w:eastAsia="Calibri" w:hAnsi="Calibri"/>
                <w:sz w:val="18"/>
                <w:szCs w:val="18"/>
                <w:b w:val="1"/>
                <w:bCs w:val="1"/>
                <w:color w:val="auto"/>
                <w:w w:val="97"/>
              </w:rPr>
              <w:t>ended</w:t>
            </w:r>
          </w:p>
        </w:tc>
      </w:tr>
      <w:tr>
        <w:trPr>
          <w:trHeight w:val="23"/>
        </w:trPr>
        <w:tc>
          <w:tcPr>
            <w:tcW w:w="3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60"/>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60" w:lineRule="exact"/>
              <w:rPr>
                <w:sz w:val="20"/>
                <w:szCs w:val="20"/>
                <w:color w:val="auto"/>
              </w:rPr>
            </w:pPr>
            <w:r>
              <w:rPr>
                <w:rFonts w:ascii="Calibri" w:cs="Calibri" w:eastAsia="Calibri" w:hAnsi="Calibri"/>
                <w:sz w:val="17"/>
                <w:szCs w:val="17"/>
                <w:b w:val="1"/>
                <w:bCs w:val="1"/>
                <w:color w:val="auto"/>
              </w:rPr>
              <w:t>September 29,</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28"/>
        </w:trPr>
        <w:tc>
          <w:tcPr>
            <w:tcW w:w="3180" w:type="dxa"/>
            <w:vAlign w:val="bottom"/>
          </w:tcPr>
          <w:p>
            <w:pPr>
              <w:ind w:left="20"/>
              <w:spacing w:after="0"/>
              <w:rPr>
                <w:sz w:val="20"/>
                <w:szCs w:val="20"/>
                <w:color w:val="auto"/>
              </w:rPr>
            </w:pPr>
            <w:r>
              <w:rPr>
                <w:rFonts w:ascii="Calibri" w:cs="Calibri" w:eastAsia="Calibri" w:hAnsi="Calibri"/>
                <w:sz w:val="18"/>
                <w:szCs w:val="18"/>
                <w:color w:val="auto"/>
              </w:rPr>
              <w:t>(In thousands)</w:t>
            </w:r>
          </w:p>
        </w:tc>
        <w:tc>
          <w:tcPr>
            <w:tcW w:w="160" w:type="dxa"/>
            <w:vAlign w:val="bottom"/>
          </w:tcPr>
          <w:p>
            <w:pPr>
              <w:spacing w:after="0"/>
              <w:rPr>
                <w:sz w:val="19"/>
                <w:szCs w:val="19"/>
                <w:color w:val="auto"/>
              </w:rPr>
            </w:pPr>
          </w:p>
        </w:tc>
        <w:tc>
          <w:tcPr>
            <w:tcW w:w="1320" w:type="dxa"/>
            <w:vAlign w:val="bottom"/>
          </w:tcPr>
          <w:p>
            <w:pPr>
              <w:jc w:val="right"/>
              <w:ind w:right="471"/>
              <w:spacing w:after="0" w:line="215" w:lineRule="exact"/>
              <w:rPr>
                <w:sz w:val="20"/>
                <w:szCs w:val="20"/>
                <w:color w:val="auto"/>
              </w:rPr>
            </w:pPr>
            <w:r>
              <w:rPr>
                <w:rFonts w:ascii="Calibri" w:cs="Calibri" w:eastAsia="Calibri" w:hAnsi="Calibri"/>
                <w:sz w:val="18"/>
                <w:szCs w:val="18"/>
                <w:b w:val="1"/>
                <w:bCs w:val="1"/>
                <w:color w:val="auto"/>
              </w:rPr>
              <w:t>2024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20"/>
              <w:spacing w:after="0"/>
              <w:rPr>
                <w:sz w:val="20"/>
                <w:szCs w:val="20"/>
                <w:color w:val="auto"/>
              </w:rPr>
            </w:pPr>
            <w:r>
              <w:rPr>
                <w:rFonts w:ascii="Calibri" w:cs="Calibri" w:eastAsia="Calibri" w:hAnsi="Calibri"/>
                <w:sz w:val="18"/>
                <w:szCs w:val="18"/>
                <w:b w:val="1"/>
                <w:bCs w:val="1"/>
                <w:color w:val="auto"/>
              </w:rPr>
              <w:t>October 1, 2023</w:t>
            </w:r>
          </w:p>
        </w:tc>
        <w:tc>
          <w:tcPr>
            <w:tcW w:w="162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September 29, 2024</w:t>
            </w:r>
          </w:p>
        </w:tc>
        <w:tc>
          <w:tcPr>
            <w:tcW w:w="14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Calibri" w:cs="Calibri" w:eastAsia="Calibri" w:hAnsi="Calibri"/>
                <w:sz w:val="18"/>
                <w:szCs w:val="18"/>
                <w:b w:val="1"/>
                <w:bCs w:val="1"/>
                <w:color w:val="auto"/>
              </w:rPr>
              <w:t>October 1, 2023</w:t>
            </w:r>
          </w:p>
        </w:tc>
        <w:tc>
          <w:tcPr>
            <w:tcW w:w="1620" w:type="dxa"/>
            <w:vAlign w:val="bottom"/>
            <w:gridSpan w:val="2"/>
          </w:tcPr>
          <w:p>
            <w:pPr>
              <w:jc w:val="center"/>
              <w:spacing w:after="0"/>
              <w:rPr>
                <w:sz w:val="20"/>
                <w:szCs w:val="20"/>
                <w:color w:val="auto"/>
              </w:rPr>
            </w:pPr>
            <w:r>
              <w:rPr>
                <w:rFonts w:ascii="Calibri" w:cs="Calibri" w:eastAsia="Calibri" w:hAnsi="Calibri"/>
                <w:sz w:val="18"/>
                <w:szCs w:val="18"/>
                <w:b w:val="1"/>
                <w:bCs w:val="1"/>
                <w:color w:val="auto"/>
                <w:w w:val="97"/>
              </w:rPr>
              <w:t>September 29, 2024</w:t>
            </w:r>
          </w:p>
        </w:tc>
      </w:tr>
      <w:tr>
        <w:trPr>
          <w:trHeight w:val="23"/>
        </w:trPr>
        <w:tc>
          <w:tcPr>
            <w:tcW w:w="3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318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b w:val="1"/>
                <w:bCs w:val="1"/>
                <w:color w:val="auto"/>
              </w:rPr>
              <w:t>Net Income (GAAP)</w:t>
            </w: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24,118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23,216</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52,997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46,646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5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81,714</w:t>
            </w:r>
          </w:p>
        </w:tc>
      </w:tr>
      <w:tr>
        <w:trPr>
          <w:trHeight w:val="222"/>
        </w:trPr>
        <w:tc>
          <w:tcPr>
            <w:tcW w:w="3180" w:type="dxa"/>
            <w:vAlign w:val="bottom"/>
          </w:tcPr>
          <w:p>
            <w:pPr>
              <w:ind w:left="140"/>
              <w:spacing w:after="0" w:line="215" w:lineRule="exact"/>
              <w:rPr>
                <w:sz w:val="20"/>
                <w:szCs w:val="20"/>
                <w:color w:val="auto"/>
              </w:rPr>
            </w:pPr>
            <w:r>
              <w:rPr>
                <w:rFonts w:ascii="Calibri" w:cs="Calibri" w:eastAsia="Calibri" w:hAnsi="Calibri"/>
                <w:sz w:val="18"/>
                <w:szCs w:val="18"/>
                <w:color w:val="auto"/>
              </w:rPr>
              <w:t>Interest expense, net</w:t>
            </w:r>
          </w:p>
        </w:tc>
        <w:tc>
          <w:tcPr>
            <w:tcW w:w="160" w:type="dxa"/>
            <w:vAlign w:val="bottom"/>
          </w:tcPr>
          <w:p>
            <w:pPr>
              <w:spacing w:after="0"/>
              <w:rPr>
                <w:sz w:val="19"/>
                <w:szCs w:val="19"/>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1,427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717</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2,690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1,865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5,107</w:t>
            </w:r>
          </w:p>
        </w:tc>
      </w:tr>
      <w:tr>
        <w:trPr>
          <w:trHeight w:val="237"/>
        </w:trPr>
        <w:tc>
          <w:tcPr>
            <w:tcW w:w="31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Income tax expense</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8,873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8,769</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18,681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17,015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27,447</w:t>
            </w:r>
          </w:p>
        </w:tc>
      </w:tr>
      <w:tr>
        <w:trPr>
          <w:trHeight w:val="222"/>
        </w:trPr>
        <w:tc>
          <w:tcPr>
            <w:tcW w:w="3180" w:type="dxa"/>
            <w:vAlign w:val="bottom"/>
          </w:tcPr>
          <w:p>
            <w:pPr>
              <w:ind w:left="140"/>
              <w:spacing w:after="0" w:line="215" w:lineRule="exact"/>
              <w:rPr>
                <w:sz w:val="20"/>
                <w:szCs w:val="20"/>
                <w:color w:val="auto"/>
              </w:rPr>
            </w:pPr>
            <w:r>
              <w:rPr>
                <w:rFonts w:ascii="Calibri" w:cs="Calibri" w:eastAsia="Calibri" w:hAnsi="Calibri"/>
                <w:sz w:val="18"/>
                <w:szCs w:val="18"/>
                <w:color w:val="auto"/>
              </w:rPr>
              <w:t>Amortzaton of intangibles</w:t>
            </w:r>
          </w:p>
        </w:tc>
        <w:tc>
          <w:tcPr>
            <w:tcW w:w="160" w:type="dxa"/>
            <w:vAlign w:val="bottom"/>
          </w:tcPr>
          <w:p>
            <w:pPr>
              <w:spacing w:after="0"/>
              <w:rPr>
                <w:sz w:val="19"/>
                <w:szCs w:val="19"/>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3,196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1,724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5,998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3,394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11,143</w:t>
            </w:r>
          </w:p>
        </w:tc>
      </w:tr>
      <w:tr>
        <w:trPr>
          <w:trHeight w:val="237"/>
        </w:trPr>
        <w:tc>
          <w:tcPr>
            <w:tcW w:w="31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Depreciaton expense</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6,731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5,675</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13,258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11,112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25,410</w:t>
            </w:r>
          </w:p>
        </w:tc>
      </w:tr>
      <w:tr>
        <w:trPr>
          <w:trHeight w:val="222"/>
        </w:trPr>
        <w:tc>
          <w:tcPr>
            <w:tcW w:w="3180" w:type="dxa"/>
            <w:vAlign w:val="bottom"/>
          </w:tcPr>
          <w:p>
            <w:pPr>
              <w:ind w:left="140"/>
              <w:spacing w:after="0" w:line="215" w:lineRule="exact"/>
              <w:rPr>
                <w:sz w:val="20"/>
                <w:szCs w:val="20"/>
                <w:color w:val="auto"/>
              </w:rPr>
            </w:pPr>
            <w:r>
              <w:rPr>
                <w:rFonts w:ascii="Calibri" w:cs="Calibri" w:eastAsia="Calibri" w:hAnsi="Calibri"/>
                <w:sz w:val="18"/>
                <w:szCs w:val="18"/>
                <w:color w:val="auto"/>
              </w:rPr>
              <w:t>Non-cash compensaton expense</w:t>
            </w:r>
          </w:p>
        </w:tc>
        <w:tc>
          <w:tcPr>
            <w:tcW w:w="160" w:type="dxa"/>
            <w:vAlign w:val="bottom"/>
          </w:tcPr>
          <w:p>
            <w:pPr>
              <w:spacing w:after="0"/>
              <w:rPr>
                <w:sz w:val="19"/>
                <w:szCs w:val="19"/>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1,832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1,260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3,299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2,219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5,960</w:t>
            </w:r>
          </w:p>
        </w:tc>
      </w:tr>
      <w:tr>
        <w:trPr>
          <w:trHeight w:val="237"/>
        </w:trPr>
        <w:tc>
          <w:tcPr>
            <w:tcW w:w="318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Non-recurring acquisiton expenses</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94</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122</w:t>
            </w:r>
          </w:p>
        </w:tc>
        <w:tc>
          <w:tcPr>
            <w:tcW w:w="14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282</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1,077</w:t>
            </w:r>
          </w:p>
        </w:tc>
      </w:tr>
      <w:tr>
        <w:trPr>
          <w:trHeight w:val="223"/>
        </w:trPr>
        <w:tc>
          <w:tcPr>
            <w:tcW w:w="3180" w:type="dxa"/>
            <w:vAlign w:val="bottom"/>
          </w:tcPr>
          <w:p>
            <w:pPr>
              <w:ind w:left="20"/>
              <w:spacing w:after="0"/>
              <w:rPr>
                <w:sz w:val="20"/>
                <w:szCs w:val="20"/>
                <w:color w:val="auto"/>
              </w:rPr>
            </w:pPr>
            <w:r>
              <w:rPr>
                <w:rFonts w:ascii="Calibri" w:cs="Calibri" w:eastAsia="Calibri" w:hAnsi="Calibri"/>
                <w:sz w:val="18"/>
                <w:szCs w:val="18"/>
                <w:b w:val="1"/>
                <w:bCs w:val="1"/>
                <w:color w:val="auto"/>
              </w:rPr>
              <w:t>Adjusted EBITDA</w:t>
            </w: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46,271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41,483</w:t>
            </w:r>
          </w:p>
        </w:tc>
        <w:tc>
          <w:tcPr>
            <w:tcW w:w="140" w:type="dxa"/>
            <w:vAlign w:val="bottom"/>
          </w:tcPr>
          <w:p>
            <w:pPr>
              <w:spacing w:after="0"/>
              <w:rPr>
                <w:sz w:val="19"/>
                <w:szCs w:val="19"/>
                <w:color w:val="auto"/>
              </w:rPr>
            </w:pPr>
          </w:p>
        </w:tc>
        <w:tc>
          <w:tcPr>
            <w:tcW w:w="50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97,205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82,373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5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157,858</w:t>
            </w:r>
          </w:p>
        </w:tc>
      </w:tr>
      <w:tr>
        <w:trPr>
          <w:trHeight w:val="21"/>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558" w:right="339" w:bottom="1440" w:gutter="0" w:footer="0" w:header="0"/>
        </w:sectPr>
      </w:pPr>
    </w:p>
    <w:bookmarkStart w:id="6" w:name="page7"/>
    <w:bookmarkEnd w:id="6"/>
    <w:p>
      <w:pPr>
        <w:jc w:val="center"/>
        <w:spacing w:after="0"/>
        <w:rPr>
          <w:sz w:val="20"/>
          <w:szCs w:val="20"/>
          <w:color w:val="auto"/>
        </w:rPr>
      </w:pPr>
      <w:r>
        <w:rPr>
          <w:rFonts w:ascii="Calibri" w:cs="Calibri" w:eastAsia="Calibri" w:hAnsi="Calibri"/>
          <w:sz w:val="18"/>
          <w:szCs w:val="18"/>
          <w:b w:val="1"/>
          <w:bCs w:val="1"/>
          <w:color w:val="auto"/>
        </w:rPr>
        <w:t>HAWKINS, INC.</w:t>
      </w:r>
    </w:p>
    <w:p>
      <w:pPr>
        <w:jc w:val="center"/>
        <w:spacing w:after="0" w:line="235" w:lineRule="auto"/>
        <w:rPr>
          <w:sz w:val="20"/>
          <w:szCs w:val="20"/>
          <w:color w:val="auto"/>
        </w:rPr>
      </w:pPr>
      <w:r>
        <w:rPr>
          <w:rFonts w:ascii="Calibri" w:cs="Calibri" w:eastAsia="Calibri" w:hAnsi="Calibri"/>
          <w:sz w:val="18"/>
          <w:szCs w:val="18"/>
          <w:b w:val="1"/>
          <w:bCs w:val="1"/>
          <w:color w:val="auto"/>
        </w:rPr>
        <w:t>CONSOLIDATED STATEMENTS OF INCOME (UNAUDITED)</w:t>
      </w:r>
    </w:p>
    <w:p>
      <w:pPr>
        <w:jc w:val="center"/>
        <w:spacing w:after="0" w:line="233" w:lineRule="auto"/>
        <w:rPr>
          <w:sz w:val="20"/>
          <w:szCs w:val="20"/>
          <w:color w:val="auto"/>
        </w:rPr>
      </w:pPr>
      <w:r>
        <w:rPr>
          <w:rFonts w:ascii="Calibri" w:cs="Calibri" w:eastAsia="Calibri" w:hAnsi="Calibri"/>
          <w:sz w:val="14"/>
          <w:szCs w:val="14"/>
          <w:b w:val="1"/>
          <w:bCs w:val="1"/>
          <w:color w:val="auto"/>
        </w:rPr>
        <w:t>(In thousands, except share and per-share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40" w:type="dxa"/>
            <w:vAlign w:val="bottom"/>
            <w:gridSpan w:val="5"/>
          </w:tcPr>
          <w:p>
            <w:pPr>
              <w:ind w:left="580"/>
              <w:spacing w:after="0"/>
              <w:rPr>
                <w:sz w:val="20"/>
                <w:szCs w:val="20"/>
                <w:color w:val="auto"/>
              </w:rPr>
            </w:pPr>
            <w:r>
              <w:rPr>
                <w:rFonts w:ascii="Calibri" w:cs="Calibri" w:eastAsia="Calibri" w:hAnsi="Calibri"/>
                <w:sz w:val="18"/>
                <w:szCs w:val="18"/>
                <w:b w:val="1"/>
                <w:bCs w:val="1"/>
                <w:color w:val="auto"/>
              </w:rPr>
              <w:t>Three Months Ended</w:t>
            </w:r>
          </w:p>
        </w:tc>
        <w:tc>
          <w:tcPr>
            <w:tcW w:w="140" w:type="dxa"/>
            <w:vAlign w:val="bottom"/>
          </w:tcPr>
          <w:p>
            <w:pPr>
              <w:spacing w:after="0"/>
              <w:rPr>
                <w:sz w:val="19"/>
                <w:szCs w:val="19"/>
                <w:color w:val="auto"/>
              </w:rPr>
            </w:pPr>
          </w:p>
        </w:tc>
        <w:tc>
          <w:tcPr>
            <w:tcW w:w="2740" w:type="dxa"/>
            <w:vAlign w:val="bottom"/>
            <w:gridSpan w:val="4"/>
          </w:tcPr>
          <w:p>
            <w:pPr>
              <w:jc w:val="right"/>
              <w:ind w:right="690"/>
              <w:spacing w:after="0"/>
              <w:rPr>
                <w:sz w:val="20"/>
                <w:szCs w:val="20"/>
                <w:color w:val="auto"/>
              </w:rPr>
            </w:pPr>
            <w:r>
              <w:rPr>
                <w:rFonts w:ascii="Calibri" w:cs="Calibri" w:eastAsia="Calibri" w:hAnsi="Calibri"/>
                <w:sz w:val="18"/>
                <w:szCs w:val="18"/>
                <w:b w:val="1"/>
                <w:bCs w:val="1"/>
                <w:color w:val="auto"/>
              </w:rPr>
              <w:t>Six Months Ended</w:t>
            </w:r>
          </w:p>
        </w:tc>
      </w:tr>
      <w:tr>
        <w:trPr>
          <w:trHeight w:val="23"/>
        </w:trPr>
        <w:tc>
          <w:tcPr>
            <w:tcW w:w="5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0"/>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ind w:left="40"/>
              <w:spacing w:after="0" w:line="160" w:lineRule="exact"/>
              <w:rPr>
                <w:sz w:val="20"/>
                <w:szCs w:val="20"/>
                <w:color w:val="auto"/>
              </w:rPr>
            </w:pPr>
            <w:r>
              <w:rPr>
                <w:rFonts w:ascii="Calibri" w:cs="Calibri" w:eastAsia="Calibri" w:hAnsi="Calibri"/>
                <w:sz w:val="17"/>
                <w:szCs w:val="17"/>
                <w:b w:val="1"/>
                <w:bCs w:val="1"/>
                <w:color w:val="auto"/>
              </w:rPr>
              <w:t>September 29,</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line="160" w:lineRule="exact"/>
              <w:rPr>
                <w:sz w:val="20"/>
                <w:szCs w:val="20"/>
                <w:color w:val="auto"/>
              </w:rPr>
            </w:pPr>
            <w:r>
              <w:rPr>
                <w:rFonts w:ascii="Calibri" w:cs="Calibri" w:eastAsia="Calibri" w:hAnsi="Calibri"/>
                <w:sz w:val="17"/>
                <w:szCs w:val="17"/>
                <w:b w:val="1"/>
                <w:bCs w:val="1"/>
                <w:color w:val="auto"/>
              </w:rPr>
              <w:t>September 29,</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28"/>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430"/>
              <w:spacing w:after="0" w:line="215" w:lineRule="exact"/>
              <w:rPr>
                <w:sz w:val="20"/>
                <w:szCs w:val="20"/>
                <w:color w:val="auto"/>
              </w:rPr>
            </w:pPr>
            <w:r>
              <w:rPr>
                <w:rFonts w:ascii="Calibri" w:cs="Calibri" w:eastAsia="Calibri" w:hAnsi="Calibri"/>
                <w:sz w:val="18"/>
                <w:szCs w:val="18"/>
                <w:b w:val="1"/>
                <w:bCs w:val="1"/>
                <w:color w:val="auto"/>
              </w:rPr>
              <w:t>2024</w:t>
            </w:r>
          </w:p>
        </w:tc>
        <w:tc>
          <w:tcPr>
            <w:tcW w:w="120" w:type="dxa"/>
            <w:vAlign w:val="bottom"/>
          </w:tcPr>
          <w:p>
            <w:pPr>
              <w:spacing w:after="0"/>
              <w:rPr>
                <w:sz w:val="19"/>
                <w:szCs w:val="19"/>
                <w:color w:val="auto"/>
              </w:rPr>
            </w:pPr>
          </w:p>
        </w:tc>
        <w:tc>
          <w:tcPr>
            <w:tcW w:w="1540" w:type="dxa"/>
            <w:vAlign w:val="bottom"/>
            <w:gridSpan w:val="3"/>
          </w:tcPr>
          <w:p>
            <w:pPr>
              <w:ind w:left="80"/>
              <w:spacing w:after="0"/>
              <w:rPr>
                <w:sz w:val="20"/>
                <w:szCs w:val="20"/>
                <w:color w:val="auto"/>
              </w:rPr>
            </w:pPr>
            <w:r>
              <w:rPr>
                <w:rFonts w:ascii="Calibri" w:cs="Calibri" w:eastAsia="Calibri" w:hAnsi="Calibri"/>
                <w:sz w:val="18"/>
                <w:szCs w:val="18"/>
                <w:b w:val="1"/>
                <w:bCs w:val="1"/>
                <w:color w:val="auto"/>
              </w:rPr>
              <w:t>October 01, 2023</w:t>
            </w:r>
          </w:p>
        </w:tc>
        <w:tc>
          <w:tcPr>
            <w:tcW w:w="140" w:type="dxa"/>
            <w:vAlign w:val="bottom"/>
          </w:tcPr>
          <w:p>
            <w:pPr>
              <w:spacing w:after="0"/>
              <w:rPr>
                <w:sz w:val="19"/>
                <w:szCs w:val="19"/>
                <w:color w:val="auto"/>
              </w:rPr>
            </w:pPr>
          </w:p>
        </w:tc>
        <w:tc>
          <w:tcPr>
            <w:tcW w:w="1280" w:type="dxa"/>
            <w:vAlign w:val="bottom"/>
          </w:tcPr>
          <w:p>
            <w:pPr>
              <w:jc w:val="right"/>
              <w:ind w:right="450"/>
              <w:spacing w:after="0" w:line="215" w:lineRule="exact"/>
              <w:rPr>
                <w:sz w:val="20"/>
                <w:szCs w:val="20"/>
                <w:color w:val="auto"/>
              </w:rPr>
            </w:pPr>
            <w:r>
              <w:rPr>
                <w:rFonts w:ascii="Calibri" w:cs="Calibri" w:eastAsia="Calibri" w:hAnsi="Calibri"/>
                <w:sz w:val="18"/>
                <w:szCs w:val="18"/>
                <w:b w:val="1"/>
                <w:bCs w:val="1"/>
                <w:color w:val="auto"/>
              </w:rPr>
              <w:t>2024</w:t>
            </w: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Calibri" w:cs="Calibri" w:eastAsia="Calibri" w:hAnsi="Calibri"/>
                <w:sz w:val="18"/>
                <w:szCs w:val="18"/>
                <w:b w:val="1"/>
                <w:bCs w:val="1"/>
                <w:color w:val="auto"/>
              </w:rPr>
              <w:t>October 01, 2023</w:t>
            </w:r>
          </w:p>
        </w:tc>
      </w:tr>
      <w:tr>
        <w:trPr>
          <w:trHeight w:val="23"/>
        </w:trPr>
        <w:tc>
          <w:tcPr>
            <w:tcW w:w="5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528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Sales</w:t>
            </w: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247,029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236,526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502,908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487,646</w:t>
            </w:r>
          </w:p>
        </w:tc>
      </w:tr>
      <w:tr>
        <w:trPr>
          <w:trHeight w:val="223"/>
        </w:trPr>
        <w:tc>
          <w:tcPr>
            <w:tcW w:w="52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(186,807)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(182,640)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(378,031)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(381,769)</w:t>
            </w:r>
          </w:p>
        </w:tc>
      </w:tr>
      <w:tr>
        <w:trPr>
          <w:trHeight w:val="229"/>
        </w:trPr>
        <w:tc>
          <w:tcPr>
            <w:tcW w:w="528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Gross proft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60,222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53,886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124,877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105,877</w:t>
            </w:r>
          </w:p>
        </w:tc>
      </w:tr>
      <w:tr>
        <w:trPr>
          <w:trHeight w:val="223"/>
        </w:trPr>
        <w:tc>
          <w:tcPr>
            <w:tcW w:w="52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(26,477)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(20,895)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(51,341)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(40,399)</w:t>
            </w:r>
          </w:p>
        </w:tc>
      </w:tr>
      <w:tr>
        <w:trPr>
          <w:trHeight w:val="229"/>
        </w:trPr>
        <w:tc>
          <w:tcPr>
            <w:tcW w:w="528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Operatng income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33,745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32,991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73,536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65,478</w:t>
            </w:r>
          </w:p>
        </w:tc>
      </w:tr>
      <w:tr>
        <w:trPr>
          <w:trHeight w:val="222"/>
        </w:trPr>
        <w:tc>
          <w:tcPr>
            <w:tcW w:w="528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 net</w:t>
            </w:r>
          </w:p>
        </w:tc>
        <w:tc>
          <w:tcPr>
            <w:tcW w:w="140" w:type="dxa"/>
            <w:vAlign w:val="bottom"/>
          </w:tcPr>
          <w:p>
            <w:pPr>
              <w:spacing w:after="0"/>
              <w:rPr>
                <w:sz w:val="19"/>
                <w:szCs w:val="19"/>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(1,427)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(717)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(2,690)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(1,865)</w:t>
            </w:r>
          </w:p>
        </w:tc>
      </w:tr>
      <w:tr>
        <w:trPr>
          <w:trHeight w:val="237"/>
        </w:trPr>
        <w:tc>
          <w:tcPr>
            <w:tcW w:w="52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income (expense)</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673</w:t>
            </w: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(289)</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832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48</w:t>
            </w:r>
          </w:p>
        </w:tc>
      </w:tr>
      <w:tr>
        <w:trPr>
          <w:trHeight w:val="216"/>
        </w:trPr>
        <w:tc>
          <w:tcPr>
            <w:tcW w:w="5280" w:type="dxa"/>
            <w:vAlign w:val="bottom"/>
          </w:tcPr>
          <w:p>
            <w:pPr>
              <w:ind w:left="20"/>
              <w:spacing w:after="0" w:line="195" w:lineRule="exact"/>
              <w:rPr>
                <w:sz w:val="20"/>
                <w:szCs w:val="20"/>
                <w:color w:val="auto"/>
              </w:rPr>
            </w:pPr>
            <w:r>
              <w:rPr>
                <w:rFonts w:ascii="Calibri" w:cs="Calibri" w:eastAsia="Calibri" w:hAnsi="Calibri"/>
                <w:sz w:val="18"/>
                <w:szCs w:val="18"/>
                <w:color w:val="auto"/>
              </w:rPr>
              <w:t>Income before income taxes</w:t>
            </w:r>
          </w:p>
        </w:tc>
        <w:tc>
          <w:tcPr>
            <w:tcW w:w="14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32,991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31,985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71,678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63,661</w:t>
            </w:r>
          </w:p>
        </w:tc>
      </w:tr>
      <w:tr>
        <w:trPr>
          <w:trHeight w:val="237"/>
        </w:trPr>
        <w:tc>
          <w:tcPr>
            <w:tcW w:w="52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Income tax expense</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(8,873)</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(8,769)</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(18,681)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(17,015)</w:t>
            </w:r>
          </w:p>
        </w:tc>
      </w:tr>
      <w:tr>
        <w:trPr>
          <w:trHeight w:val="217"/>
        </w:trPr>
        <w:tc>
          <w:tcPr>
            <w:tcW w:w="5280" w:type="dxa"/>
            <w:vAlign w:val="bottom"/>
          </w:tcPr>
          <w:p>
            <w:pPr>
              <w:ind w:left="20"/>
              <w:spacing w:after="0" w:line="195" w:lineRule="exact"/>
              <w:rPr>
                <w:sz w:val="20"/>
                <w:szCs w:val="20"/>
                <w:color w:val="auto"/>
              </w:rPr>
            </w:pPr>
            <w:r>
              <w:rPr>
                <w:rFonts w:ascii="Calibri" w:cs="Calibri" w:eastAsia="Calibri" w:hAnsi="Calibri"/>
                <w:sz w:val="18"/>
                <w:szCs w:val="18"/>
                <w:color w:val="auto"/>
              </w:rPr>
              <w:t>Net income</w:t>
            </w:r>
          </w:p>
        </w:tc>
        <w:tc>
          <w:tcPr>
            <w:tcW w:w="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24,118</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23,216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52,997</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46,646</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3"/>
        </w:trPr>
        <w:tc>
          <w:tcPr>
            <w:tcW w:w="5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22"/>
        </w:trPr>
        <w:tc>
          <w:tcPr>
            <w:tcW w:w="528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 average number of shares outstanding - basic</w:t>
            </w:r>
          </w:p>
        </w:tc>
        <w:tc>
          <w:tcPr>
            <w:tcW w:w="140" w:type="dxa"/>
            <w:vAlign w:val="bottom"/>
          </w:tcPr>
          <w:p>
            <w:pPr>
              <w:spacing w:after="0"/>
              <w:rPr>
                <w:sz w:val="19"/>
                <w:szCs w:val="19"/>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20,757,397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20,903,690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20,786,938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20,905,707</w:t>
            </w:r>
          </w:p>
        </w:tc>
      </w:tr>
      <w:tr>
        <w:trPr>
          <w:trHeight w:val="237"/>
        </w:trPr>
        <w:tc>
          <w:tcPr>
            <w:tcW w:w="52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Weighted average number of shares outstanding - diluted</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20,860,418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21,026,428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20,898,641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21,034,153</w:t>
            </w:r>
          </w:p>
        </w:tc>
      </w:tr>
      <w:tr>
        <w:trPr>
          <w:trHeight w:val="222"/>
        </w:trPr>
        <w:tc>
          <w:tcPr>
            <w:tcW w:w="5280" w:type="dxa"/>
            <w:vAlign w:val="bottom"/>
          </w:tcPr>
          <w:p>
            <w:pPr>
              <w:ind w:left="20"/>
              <w:spacing w:after="0" w:line="215" w:lineRule="exact"/>
              <w:rPr>
                <w:sz w:val="20"/>
                <w:szCs w:val="20"/>
                <w:color w:val="auto"/>
              </w:rPr>
            </w:pPr>
            <w:r>
              <w:rPr>
                <w:rFonts w:ascii="Calibri" w:cs="Calibri" w:eastAsia="Calibri" w:hAnsi="Calibri"/>
                <w:sz w:val="18"/>
                <w:szCs w:val="18"/>
                <w:color w:val="auto"/>
              </w:rPr>
              <w:t>Basic earnings per share</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1.16</w:t>
            </w:r>
          </w:p>
        </w:tc>
        <w:tc>
          <w:tcPr>
            <w:tcW w:w="120" w:type="dxa"/>
            <w:vAlign w:val="bottom"/>
          </w:tcPr>
          <w:p>
            <w:pPr>
              <w:spacing w:after="0"/>
              <w:rPr>
                <w:sz w:val="19"/>
                <w:szCs w:val="19"/>
                <w:color w:val="auto"/>
              </w:rPr>
            </w:pP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1.11</w:t>
            </w:r>
          </w:p>
        </w:tc>
        <w:tc>
          <w:tcPr>
            <w:tcW w:w="120" w:type="dxa"/>
            <w:vAlign w:val="bottom"/>
          </w:tcPr>
          <w:p>
            <w:pPr>
              <w:spacing w:after="0"/>
              <w:rPr>
                <w:sz w:val="19"/>
                <w:szCs w:val="19"/>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2.55</w:t>
            </w:r>
          </w:p>
        </w:tc>
        <w:tc>
          <w:tcPr>
            <w:tcW w:w="100" w:type="dxa"/>
            <w:vAlign w:val="bottom"/>
          </w:tcPr>
          <w:p>
            <w:pPr>
              <w:spacing w:after="0"/>
              <w:rPr>
                <w:sz w:val="19"/>
                <w:szCs w:val="19"/>
                <w:color w:val="auto"/>
              </w:rPr>
            </w:pPr>
          </w:p>
        </w:tc>
        <w:tc>
          <w:tcPr>
            <w:tcW w:w="30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2.23</w:t>
            </w:r>
          </w:p>
        </w:tc>
      </w:tr>
      <w:tr>
        <w:trPr>
          <w:trHeight w:val="237"/>
        </w:trPr>
        <w:tc>
          <w:tcPr>
            <w:tcW w:w="52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2.22</w:t>
            </w:r>
          </w:p>
        </w:tc>
      </w:tr>
      <w:tr>
        <w:trPr>
          <w:trHeight w:val="215"/>
        </w:trPr>
        <w:tc>
          <w:tcPr>
            <w:tcW w:w="528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declared per common share</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0.18</w:t>
            </w:r>
          </w:p>
        </w:tc>
        <w:tc>
          <w:tcPr>
            <w:tcW w:w="120" w:type="dxa"/>
            <w:vAlign w:val="bottom"/>
          </w:tcPr>
          <w:p>
            <w:pPr>
              <w:spacing w:after="0"/>
              <w:rPr>
                <w:sz w:val="18"/>
                <w:szCs w:val="18"/>
                <w:color w:val="auto"/>
              </w:rPr>
            </w:pP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0.16</w:t>
            </w:r>
          </w:p>
        </w:tc>
        <w:tc>
          <w:tcPr>
            <w:tcW w:w="12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0.34</w:t>
            </w:r>
          </w:p>
        </w:tc>
        <w:tc>
          <w:tcPr>
            <w:tcW w:w="100" w:type="dxa"/>
            <w:vAlign w:val="bottom"/>
          </w:tcPr>
          <w:p>
            <w:pPr>
              <w:spacing w:after="0"/>
              <w:rPr>
                <w:sz w:val="18"/>
                <w:szCs w:val="18"/>
                <w:color w:val="auto"/>
              </w:rPr>
            </w:pPr>
          </w:p>
        </w:tc>
        <w:tc>
          <w:tcPr>
            <w:tcW w:w="30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0.31</w:t>
            </w:r>
          </w:p>
        </w:tc>
      </w:tr>
    </w:tbl>
    <w:p>
      <w:pPr>
        <w:sectPr>
          <w:pgSz w:w="11900" w:h="16838" w:orient="portrait"/>
          <w:cols w:equalWidth="0" w:num="1">
            <w:col w:w="11240"/>
          </w:cols>
          <w:pgMar w:left="320" w:top="1017" w:right="339" w:bottom="1440" w:gutter="0" w:footer="0" w:header="0"/>
        </w:sectPr>
      </w:pPr>
    </w:p>
    <w:bookmarkStart w:id="7" w:name="page8"/>
    <w:bookmarkEnd w:id="7"/>
    <w:p>
      <w:pPr>
        <w:jc w:val="center"/>
        <w:spacing w:after="0"/>
        <w:rPr>
          <w:sz w:val="20"/>
          <w:szCs w:val="20"/>
          <w:color w:val="auto"/>
        </w:rPr>
      </w:pPr>
      <w:r>
        <w:rPr>
          <w:rFonts w:ascii="Calibri" w:cs="Calibri" w:eastAsia="Calibri" w:hAnsi="Calibri"/>
          <w:sz w:val="18"/>
          <w:szCs w:val="18"/>
          <w:b w:val="1"/>
          <w:bCs w:val="1"/>
          <w:color w:val="auto"/>
        </w:rPr>
        <w:t>HAWKINS, INC.</w:t>
      </w:r>
    </w:p>
    <w:p>
      <w:pPr>
        <w:jc w:val="center"/>
        <w:spacing w:after="0" w:line="235" w:lineRule="auto"/>
        <w:rPr>
          <w:sz w:val="20"/>
          <w:szCs w:val="20"/>
          <w:color w:val="auto"/>
        </w:rPr>
      </w:pPr>
      <w:r>
        <w:rPr>
          <w:rFonts w:ascii="Calibri" w:cs="Calibri" w:eastAsia="Calibri" w:hAnsi="Calibri"/>
          <w:sz w:val="18"/>
          <w:szCs w:val="18"/>
          <w:b w:val="1"/>
          <w:bCs w:val="1"/>
          <w:color w:val="auto"/>
        </w:rPr>
        <w:t>CONDENSED CONSOLIDATED BALANCE SHEETS (UNAUDITED)</w:t>
      </w:r>
    </w:p>
    <w:p>
      <w:pPr>
        <w:jc w:val="center"/>
        <w:spacing w:after="0" w:line="233" w:lineRule="auto"/>
        <w:rPr>
          <w:sz w:val="20"/>
          <w:szCs w:val="20"/>
          <w:color w:val="auto"/>
        </w:rPr>
      </w:pPr>
      <w:r>
        <w:rPr>
          <w:rFonts w:ascii="Calibri" w:cs="Calibri" w:eastAsia="Calibri" w:hAnsi="Calibri"/>
          <w:sz w:val="14"/>
          <w:szCs w:val="14"/>
          <w:b w:val="1"/>
          <w:bCs w:val="1"/>
          <w:color w:val="auto"/>
        </w:rPr>
        <w:t>(In thousands, except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Calibri" w:cs="Calibri" w:eastAsia="Calibri" w:hAnsi="Calibri"/>
                <w:sz w:val="16"/>
                <w:szCs w:val="16"/>
                <w:b w:val="1"/>
                <w:bCs w:val="1"/>
                <w:color w:val="auto"/>
              </w:rPr>
              <w:t>September 29,</w:t>
            </w:r>
          </w:p>
        </w:tc>
        <w:tc>
          <w:tcPr>
            <w:tcW w:w="240" w:type="dxa"/>
            <w:vAlign w:val="bottom"/>
          </w:tcPr>
          <w:p>
            <w:pPr>
              <w:spacing w:after="0"/>
              <w:rPr>
                <w:sz w:val="16"/>
                <w:szCs w:val="16"/>
                <w:color w:val="auto"/>
              </w:rPr>
            </w:pPr>
          </w:p>
        </w:tc>
        <w:tc>
          <w:tcPr>
            <w:tcW w:w="118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March 31,</w:t>
            </w:r>
          </w:p>
        </w:tc>
      </w:tr>
      <w:tr>
        <w:trPr>
          <w:trHeight w:val="193"/>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459"/>
              <w:spacing w:after="0" w:line="193" w:lineRule="exact"/>
              <w:rPr>
                <w:sz w:val="20"/>
                <w:szCs w:val="20"/>
                <w:color w:val="auto"/>
              </w:rPr>
            </w:pPr>
            <w:r>
              <w:rPr>
                <w:rFonts w:ascii="Calibri" w:cs="Calibri" w:eastAsia="Calibri" w:hAnsi="Calibri"/>
                <w:sz w:val="16"/>
                <w:szCs w:val="16"/>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59"/>
              <w:spacing w:after="0" w:line="193" w:lineRule="exact"/>
              <w:rPr>
                <w:sz w:val="20"/>
                <w:szCs w:val="20"/>
                <w:color w:val="auto"/>
              </w:rPr>
            </w:pPr>
            <w:r>
              <w:rPr>
                <w:rFonts w:ascii="Calibri" w:cs="Calibri" w:eastAsia="Calibri" w:hAnsi="Calibri"/>
                <w:sz w:val="16"/>
                <w:szCs w:val="16"/>
                <w:b w:val="1"/>
                <w:bCs w:val="1"/>
                <w:color w:val="auto"/>
              </w:rPr>
              <w:t>2024</w:t>
            </w:r>
          </w:p>
        </w:tc>
      </w:tr>
      <w:tr>
        <w:trPr>
          <w:trHeight w:val="28"/>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6"/>
        </w:trPr>
        <w:tc>
          <w:tcPr>
            <w:tcW w:w="824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b w:val="1"/>
                <w:bCs w:val="1"/>
                <w:color w:val="auto"/>
              </w:rPr>
              <w:t>ASSETS</w:t>
            </w:r>
          </w:p>
        </w:tc>
        <w:tc>
          <w:tcPr>
            <w:tcW w:w="1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ASSETS:</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Cash and cash equivalents</w:t>
            </w:r>
          </w:p>
        </w:tc>
        <w:tc>
          <w:tcPr>
            <w:tcW w:w="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7,526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7,153</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Trade accounts receivables, net</w:t>
            </w:r>
          </w:p>
        </w:tc>
        <w:tc>
          <w:tcPr>
            <w:tcW w:w="16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115,221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114,477</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Inventories</w:t>
            </w: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81,565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74,600</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Prepaid expenses and other current assets</w:t>
            </w:r>
          </w:p>
        </w:tc>
        <w:tc>
          <w:tcPr>
            <w:tcW w:w="16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5,563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6,596</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0"/>
        </w:trPr>
        <w:tc>
          <w:tcPr>
            <w:tcW w:w="8240" w:type="dxa"/>
            <w:vAlign w:val="bottom"/>
            <w:tcBorders>
              <w:bottom w:val="single" w:sz="8" w:color="CCEEFF"/>
            </w:tcBorders>
            <w:shd w:val="clear" w:color="auto" w:fill="CCEEFF"/>
          </w:tcPr>
          <w:p>
            <w:pPr>
              <w:ind w:left="780"/>
              <w:spacing w:after="0" w:line="174" w:lineRule="exact"/>
              <w:rPr>
                <w:sz w:val="20"/>
                <w:szCs w:val="20"/>
                <w:color w:val="auto"/>
              </w:rPr>
            </w:pPr>
            <w:r>
              <w:rPr>
                <w:rFonts w:ascii="Calibri" w:cs="Calibri" w:eastAsia="Calibri" w:hAnsi="Calibri"/>
                <w:sz w:val="16"/>
                <w:szCs w:val="16"/>
                <w:color w:val="auto"/>
              </w:rPr>
              <w:t>Total current assets</w:t>
            </w:r>
          </w:p>
        </w:tc>
        <w:tc>
          <w:tcPr>
            <w:tcW w:w="1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209,875</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202,826</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PROPERTY, PLANT, AND EQUIPMENT:</w:t>
            </w:r>
          </w:p>
        </w:tc>
        <w:tc>
          <w:tcPr>
            <w:tcW w:w="16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402,104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386,648</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Less accumulated depreciaton</w:t>
            </w:r>
          </w:p>
        </w:tc>
        <w:tc>
          <w:tcPr>
            <w:tcW w:w="1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184,642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177,774</w:t>
            </w:r>
          </w:p>
        </w:tc>
      </w:tr>
      <w:tr>
        <w:trPr>
          <w:trHeight w:val="187"/>
        </w:trPr>
        <w:tc>
          <w:tcPr>
            <w:tcW w:w="8240" w:type="dxa"/>
            <w:vAlign w:val="bottom"/>
          </w:tcPr>
          <w:p>
            <w:pPr>
              <w:ind w:left="780"/>
              <w:spacing w:after="0" w:line="174" w:lineRule="exact"/>
              <w:rPr>
                <w:sz w:val="20"/>
                <w:szCs w:val="20"/>
                <w:color w:val="auto"/>
              </w:rPr>
            </w:pPr>
            <w:r>
              <w:rPr>
                <w:rFonts w:ascii="Calibri" w:cs="Calibri" w:eastAsia="Calibri" w:hAnsi="Calibri"/>
                <w:sz w:val="16"/>
                <w:szCs w:val="16"/>
                <w:color w:val="auto"/>
              </w:rPr>
              <w:t>Net property, plant, and equipment</w:t>
            </w: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217,462</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208,874</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OTHER ASSETS:</w:t>
            </w: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Right-of-use assets</w:t>
            </w:r>
          </w:p>
        </w:tc>
        <w:tc>
          <w:tcPr>
            <w:tcW w:w="16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12,047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11,713</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Goodwill</w:t>
            </w: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111,566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103,399</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Intangible assets, net of accumulated amortzaton</w:t>
            </w:r>
          </w:p>
        </w:tc>
        <w:tc>
          <w:tcPr>
            <w:tcW w:w="16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123,886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116,626</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Deferred compensaton plan asset</w:t>
            </w: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11,698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9,584</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Other</w:t>
            </w:r>
          </w:p>
        </w:tc>
        <w:tc>
          <w:tcPr>
            <w:tcW w:w="16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3,163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4,912</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8240" w:type="dxa"/>
            <w:vAlign w:val="bottom"/>
            <w:tcBorders>
              <w:bottom w:val="single" w:sz="8" w:color="CCEEFF"/>
            </w:tcBorders>
            <w:shd w:val="clear" w:color="auto" w:fill="CCEEFF"/>
          </w:tcPr>
          <w:p>
            <w:pPr>
              <w:ind w:left="780"/>
              <w:spacing w:after="0" w:line="174" w:lineRule="exact"/>
              <w:rPr>
                <w:sz w:val="20"/>
                <w:szCs w:val="20"/>
                <w:color w:val="auto"/>
              </w:rPr>
            </w:pPr>
            <w:r>
              <w:rPr>
                <w:rFonts w:ascii="Calibri" w:cs="Calibri" w:eastAsia="Calibri" w:hAnsi="Calibri"/>
                <w:sz w:val="16"/>
                <w:szCs w:val="16"/>
                <w:color w:val="auto"/>
              </w:rPr>
              <w:t>Total other assets</w:t>
            </w:r>
          </w:p>
        </w:tc>
        <w:tc>
          <w:tcPr>
            <w:tcW w:w="1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262,360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246,234</w:t>
            </w:r>
          </w:p>
        </w:tc>
      </w:tr>
      <w:tr>
        <w:trPr>
          <w:trHeight w:val="187"/>
        </w:trPr>
        <w:tc>
          <w:tcPr>
            <w:tcW w:w="8240" w:type="dxa"/>
            <w:vAlign w:val="bottom"/>
          </w:tcPr>
          <w:p>
            <w:pPr>
              <w:ind w:left="780"/>
              <w:spacing w:after="0" w:line="182" w:lineRule="exact"/>
              <w:rPr>
                <w:sz w:val="20"/>
                <w:szCs w:val="20"/>
                <w:color w:val="auto"/>
              </w:rPr>
            </w:pPr>
            <w:r>
              <w:rPr>
                <w:rFonts w:ascii="Calibri" w:cs="Calibri" w:eastAsia="Calibri" w:hAnsi="Calibri"/>
                <w:sz w:val="16"/>
                <w:szCs w:val="16"/>
                <w:color w:val="auto"/>
              </w:rPr>
              <w:t>Total assets</w:t>
            </w:r>
          </w:p>
        </w:tc>
        <w:tc>
          <w:tcPr>
            <w:tcW w:w="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689,697</w:t>
            </w:r>
          </w:p>
        </w:tc>
        <w:tc>
          <w:tcPr>
            <w:tcW w:w="120" w:type="dxa"/>
            <w:vAlign w:val="bottom"/>
          </w:tcPr>
          <w:p>
            <w:pPr>
              <w:spacing w:after="0"/>
              <w:rPr>
                <w:sz w:val="16"/>
                <w:szCs w:val="16"/>
                <w:color w:val="auto"/>
              </w:rPr>
            </w:pPr>
          </w:p>
        </w:tc>
        <w:tc>
          <w:tcPr>
            <w:tcW w:w="24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w w:val="97"/>
              </w:rPr>
              <w:t>$</w:t>
            </w:r>
          </w:p>
        </w:tc>
        <w:tc>
          <w:tcPr>
            <w:tcW w:w="1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657,934</w:t>
            </w:r>
          </w:p>
        </w:tc>
      </w:tr>
      <w:tr>
        <w:trPr>
          <w:trHeight w:val="23"/>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3"/>
        </w:trPr>
        <w:tc>
          <w:tcPr>
            <w:tcW w:w="8240" w:type="dxa"/>
            <w:vAlign w:val="bottom"/>
            <w:tcBorders>
              <w:bottom w:val="single" w:sz="8" w:color="CCEEFF"/>
            </w:tcBorders>
            <w:shd w:val="clear" w:color="auto" w:fill="CCEEFF"/>
          </w:tcPr>
          <w:p>
            <w:pPr>
              <w:ind w:left="20"/>
              <w:spacing w:after="0" w:line="161" w:lineRule="exact"/>
              <w:rPr>
                <w:sz w:val="20"/>
                <w:szCs w:val="20"/>
                <w:color w:val="auto"/>
              </w:rPr>
            </w:pPr>
            <w:r>
              <w:rPr>
                <w:rFonts w:ascii="Calibri" w:cs="Calibri" w:eastAsia="Calibri" w:hAnsi="Calibri"/>
                <w:sz w:val="16"/>
                <w:szCs w:val="16"/>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LIABILITIES:</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Accounts payable — trade</w:t>
            </w:r>
          </w:p>
        </w:tc>
        <w:tc>
          <w:tcPr>
            <w:tcW w:w="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50,956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56,387</w:t>
            </w:r>
          </w:p>
        </w:tc>
      </w:tr>
      <w:tr>
        <w:trPr>
          <w:trHeight w:val="194"/>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Accrued payroll and employee benefts</w:t>
            </w:r>
          </w:p>
        </w:tc>
        <w:tc>
          <w:tcPr>
            <w:tcW w:w="16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12,701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19,532</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Income tax payable</w:t>
            </w: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2,284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1,943</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Current porton of long-term debt</w:t>
            </w:r>
          </w:p>
        </w:tc>
        <w:tc>
          <w:tcPr>
            <w:tcW w:w="16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9,913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9,913</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Environmental remediaton</w:t>
            </w: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7,700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7,700</w:t>
            </w:r>
          </w:p>
        </w:tc>
      </w:tr>
      <w:tr>
        <w:trPr>
          <w:trHeight w:val="194"/>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Other current liabilites</w:t>
            </w:r>
          </w:p>
        </w:tc>
        <w:tc>
          <w:tcPr>
            <w:tcW w:w="16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8,787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7,832</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0"/>
        </w:trPr>
        <w:tc>
          <w:tcPr>
            <w:tcW w:w="8240" w:type="dxa"/>
            <w:vAlign w:val="bottom"/>
            <w:tcBorders>
              <w:bottom w:val="single" w:sz="8" w:color="CCEEFF"/>
            </w:tcBorders>
            <w:shd w:val="clear" w:color="auto" w:fill="CCEEFF"/>
          </w:tcPr>
          <w:p>
            <w:pPr>
              <w:ind w:left="780"/>
              <w:spacing w:after="0" w:line="174" w:lineRule="exact"/>
              <w:rPr>
                <w:sz w:val="20"/>
                <w:szCs w:val="20"/>
                <w:color w:val="auto"/>
              </w:rPr>
            </w:pPr>
            <w:r>
              <w:rPr>
                <w:rFonts w:ascii="Calibri" w:cs="Calibri" w:eastAsia="Calibri" w:hAnsi="Calibri"/>
                <w:sz w:val="16"/>
                <w:szCs w:val="16"/>
                <w:color w:val="auto"/>
              </w:rPr>
              <w:t>Total current liabilites</w:t>
            </w:r>
          </w:p>
        </w:tc>
        <w:tc>
          <w:tcPr>
            <w:tcW w:w="1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92,341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103,307</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LONG-TERM DEBT, LESS CURRENT PORTION</w:t>
            </w:r>
          </w:p>
        </w:tc>
        <w:tc>
          <w:tcPr>
            <w:tcW w:w="16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93,862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88,818</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LONG-TERM LEASE LIABILITY</w:t>
            </w: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9,687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9,530</w:t>
            </w:r>
          </w:p>
        </w:tc>
      </w:tr>
      <w:tr>
        <w:trPr>
          <w:trHeight w:val="194"/>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PENSION WITHDRAWAL LIABILITY</w:t>
            </w:r>
          </w:p>
        </w:tc>
        <w:tc>
          <w:tcPr>
            <w:tcW w:w="16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3,348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3,538</w:t>
            </w:r>
          </w:p>
        </w:tc>
      </w:tr>
      <w:tr>
        <w:trPr>
          <w:trHeight w:val="22"/>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DEFERRED INCOME TAXES</w:t>
            </w: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21,875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22,406</w:t>
            </w:r>
          </w:p>
        </w:tc>
      </w:tr>
      <w:tr>
        <w:trPr>
          <w:trHeight w:val="194"/>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DEFERRED COMPENSATION LIABILITY</w:t>
            </w:r>
          </w:p>
        </w:tc>
        <w:tc>
          <w:tcPr>
            <w:tcW w:w="16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13,057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11,764</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EARNOUT LIABILITY</w:t>
            </w: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11,919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11,235</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OTHER LONG-TERM LIABILITIES</w:t>
            </w:r>
          </w:p>
        </w:tc>
        <w:tc>
          <w:tcPr>
            <w:tcW w:w="16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236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1,310</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0"/>
        </w:trPr>
        <w:tc>
          <w:tcPr>
            <w:tcW w:w="8240" w:type="dxa"/>
            <w:vAlign w:val="bottom"/>
            <w:tcBorders>
              <w:bottom w:val="single" w:sz="8" w:color="CCEEFF"/>
            </w:tcBorders>
            <w:shd w:val="clear" w:color="auto" w:fill="CCEEFF"/>
          </w:tcPr>
          <w:p>
            <w:pPr>
              <w:ind w:left="780"/>
              <w:spacing w:after="0" w:line="174" w:lineRule="exact"/>
              <w:rPr>
                <w:sz w:val="20"/>
                <w:szCs w:val="20"/>
                <w:color w:val="auto"/>
              </w:rPr>
            </w:pPr>
            <w:r>
              <w:rPr>
                <w:rFonts w:ascii="Calibri" w:cs="Calibri" w:eastAsia="Calibri" w:hAnsi="Calibri"/>
                <w:sz w:val="16"/>
                <w:szCs w:val="16"/>
                <w:color w:val="auto"/>
              </w:rPr>
              <w:t>Total liabilites</w:t>
            </w:r>
          </w:p>
        </w:tc>
        <w:tc>
          <w:tcPr>
            <w:tcW w:w="1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246,325</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251,908</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COMMITMENTS AND CONTINGENCIES</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SHAREHOLDERS’ EQUITY:</w:t>
            </w: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57"/>
        </w:trPr>
        <w:tc>
          <w:tcPr>
            <w:tcW w:w="8240" w:type="dxa"/>
            <w:vAlign w:val="bottom"/>
          </w:tcPr>
          <w:p>
            <w:pPr>
              <w:ind w:left="340"/>
              <w:spacing w:after="0" w:line="157" w:lineRule="exact"/>
              <w:rPr>
                <w:sz w:val="20"/>
                <w:szCs w:val="20"/>
                <w:color w:val="auto"/>
              </w:rPr>
            </w:pPr>
            <w:r>
              <w:rPr>
                <w:rFonts w:ascii="Calibri" w:cs="Calibri" w:eastAsia="Calibri" w:hAnsi="Calibri"/>
                <w:sz w:val="16"/>
                <w:szCs w:val="16"/>
                <w:color w:val="auto"/>
              </w:rPr>
              <w:t>Common stock; authorized: 60,000,000 shares of $0.01 par value; 20,766,764 and 20,790,261 shares issued and</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4"/>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outstanding as of September 29, 2024 and March 31, 2024, respectvely</w:t>
            </w:r>
          </w:p>
        </w:tc>
        <w:tc>
          <w:tcPr>
            <w:tcW w:w="16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208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208</w:t>
            </w:r>
          </w:p>
        </w:tc>
      </w:tr>
      <w:tr>
        <w:trPr>
          <w:trHeight w:val="28"/>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Additonal paid-in capital</w:t>
            </w: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31,060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38,154</w:t>
            </w:r>
          </w:p>
        </w:tc>
      </w:tr>
      <w:tr>
        <w:trPr>
          <w:trHeight w:val="194"/>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Retained earnings</w:t>
            </w:r>
          </w:p>
        </w:tc>
        <w:tc>
          <w:tcPr>
            <w:tcW w:w="16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410,425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364,549</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Accumulated other comprehensive income</w:t>
            </w:r>
          </w:p>
        </w:tc>
        <w:tc>
          <w:tcPr>
            <w:tcW w:w="1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1,679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3,115</w:t>
            </w:r>
          </w:p>
        </w:tc>
      </w:tr>
      <w:tr>
        <w:trPr>
          <w:trHeight w:val="187"/>
        </w:trPr>
        <w:tc>
          <w:tcPr>
            <w:tcW w:w="8240" w:type="dxa"/>
            <w:vAlign w:val="bottom"/>
          </w:tcPr>
          <w:p>
            <w:pPr>
              <w:ind w:left="780"/>
              <w:spacing w:after="0" w:line="174" w:lineRule="exact"/>
              <w:rPr>
                <w:sz w:val="20"/>
                <w:szCs w:val="20"/>
                <w:color w:val="auto"/>
              </w:rPr>
            </w:pPr>
            <w:r>
              <w:rPr>
                <w:rFonts w:ascii="Calibri" w:cs="Calibri" w:eastAsia="Calibri" w:hAnsi="Calibri"/>
                <w:sz w:val="16"/>
                <w:szCs w:val="16"/>
                <w:color w:val="auto"/>
              </w:rPr>
              <w:t>Total shareholders’ equity</w:t>
            </w: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443,372</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406,026</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5"/>
        </w:trPr>
        <w:tc>
          <w:tcPr>
            <w:tcW w:w="8240" w:type="dxa"/>
            <w:vAlign w:val="bottom"/>
            <w:tcBorders>
              <w:bottom w:val="single" w:sz="8" w:color="CCEEFF"/>
            </w:tcBorders>
            <w:shd w:val="clear" w:color="auto" w:fill="CCEEFF"/>
          </w:tcPr>
          <w:p>
            <w:pPr>
              <w:ind w:left="780"/>
              <w:spacing w:after="0" w:line="182" w:lineRule="exact"/>
              <w:rPr>
                <w:sz w:val="20"/>
                <w:szCs w:val="20"/>
                <w:color w:val="auto"/>
              </w:rPr>
            </w:pPr>
            <w:r>
              <w:rPr>
                <w:rFonts w:ascii="Calibri" w:cs="Calibri" w:eastAsia="Calibri" w:hAnsi="Calibri"/>
                <w:sz w:val="16"/>
                <w:szCs w:val="16"/>
                <w:color w:val="auto"/>
              </w:rPr>
              <w:t>Total liabilites and shareholders’ equity</w:t>
            </w:r>
          </w:p>
        </w:tc>
        <w:tc>
          <w:tcPr>
            <w:tcW w:w="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689,697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line="187" w:lineRule="exact"/>
              <w:rPr>
                <w:sz w:val="20"/>
                <w:szCs w:val="20"/>
                <w:color w:val="auto"/>
              </w:rPr>
            </w:pPr>
            <w:r>
              <w:rPr>
                <w:rFonts w:ascii="Calibri" w:cs="Calibri" w:eastAsia="Calibri" w:hAnsi="Calibri"/>
                <w:sz w:val="16"/>
                <w:szCs w:val="16"/>
                <w:color w:val="auto"/>
                <w:w w:val="97"/>
              </w:rPr>
              <w:t>$</w:t>
            </w:r>
          </w:p>
        </w:tc>
        <w:tc>
          <w:tcPr>
            <w:tcW w:w="1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657,934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1044" w:right="359" w:bottom="1440" w:gutter="0" w:footer="0" w:header="0"/>
        </w:sectPr>
      </w:pPr>
    </w:p>
    <w:bookmarkStart w:id="8" w:name="page9"/>
    <w:bookmarkEnd w:id="8"/>
    <w:p>
      <w:pPr>
        <w:jc w:val="center"/>
        <w:spacing w:after="0"/>
        <w:rPr>
          <w:sz w:val="20"/>
          <w:szCs w:val="20"/>
          <w:color w:val="auto"/>
        </w:rPr>
      </w:pPr>
      <w:r>
        <w:rPr>
          <w:rFonts w:ascii="Calibri" w:cs="Calibri" w:eastAsia="Calibri" w:hAnsi="Calibri"/>
          <w:sz w:val="18"/>
          <w:szCs w:val="18"/>
          <w:b w:val="1"/>
          <w:bCs w:val="1"/>
          <w:color w:val="auto"/>
        </w:rPr>
        <w:t>HAWKINS, INC.</w:t>
      </w:r>
    </w:p>
    <w:p>
      <w:pPr>
        <w:jc w:val="center"/>
        <w:spacing w:after="0" w:line="235" w:lineRule="auto"/>
        <w:rPr>
          <w:sz w:val="20"/>
          <w:szCs w:val="20"/>
          <w:color w:val="auto"/>
        </w:rPr>
      </w:pPr>
      <w:r>
        <w:rPr>
          <w:rFonts w:ascii="Calibri" w:cs="Calibri" w:eastAsia="Calibri" w:hAnsi="Calibri"/>
          <w:sz w:val="18"/>
          <w:szCs w:val="18"/>
          <w:b w:val="1"/>
          <w:bCs w:val="1"/>
          <w:color w:val="auto"/>
        </w:rPr>
        <w:t>CONDENSED CONSOLIDATED STATEMENTS OF CASH FLOWS (UNAUDITED)</w:t>
      </w:r>
    </w:p>
    <w:p>
      <w:pPr>
        <w:jc w:val="center"/>
        <w:spacing w:after="0" w:line="233" w:lineRule="auto"/>
        <w:rPr>
          <w:sz w:val="20"/>
          <w:szCs w:val="20"/>
          <w:color w:val="auto"/>
        </w:rPr>
      </w:pPr>
      <w:r>
        <w:rPr>
          <w:rFonts w:ascii="Calibri" w:cs="Calibri" w:eastAsia="Calibri" w:hAnsi="Calibri"/>
          <w:sz w:val="14"/>
          <w:szCs w:val="14"/>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4"/>
          </w:tcPr>
          <w:p>
            <w:pPr>
              <w:jc w:val="right"/>
              <w:ind w:right="899"/>
              <w:spacing w:after="0"/>
              <w:rPr>
                <w:sz w:val="20"/>
                <w:szCs w:val="20"/>
                <w:color w:val="auto"/>
              </w:rPr>
            </w:pPr>
            <w:r>
              <w:rPr>
                <w:rFonts w:ascii="Calibri" w:cs="Calibri" w:eastAsia="Calibri" w:hAnsi="Calibri"/>
                <w:sz w:val="16"/>
                <w:szCs w:val="16"/>
                <w:b w:val="1"/>
                <w:bCs w:val="1"/>
                <w:color w:val="auto"/>
              </w:rPr>
              <w:t>Six Months Ended</w:t>
            </w:r>
          </w:p>
        </w:tc>
      </w:tr>
      <w:tr>
        <w:trPr>
          <w:trHeight w:val="28"/>
        </w:trPr>
        <w:tc>
          <w:tcPr>
            <w:tcW w:w="8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51"/>
        </w:trPr>
        <w:tc>
          <w:tcPr>
            <w:tcW w:w="8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ind w:left="100"/>
              <w:spacing w:after="0" w:line="150" w:lineRule="exact"/>
              <w:rPr>
                <w:sz w:val="20"/>
                <w:szCs w:val="20"/>
                <w:color w:val="auto"/>
              </w:rPr>
            </w:pPr>
            <w:r>
              <w:rPr>
                <w:rFonts w:ascii="Calibri" w:cs="Calibri" w:eastAsia="Calibri" w:hAnsi="Calibri"/>
                <w:sz w:val="16"/>
                <w:szCs w:val="16"/>
                <w:b w:val="1"/>
                <w:bCs w:val="1"/>
                <w:color w:val="auto"/>
              </w:rPr>
              <w:t>September 29,</w:t>
            </w:r>
          </w:p>
        </w:tc>
        <w:tc>
          <w:tcPr>
            <w:tcW w:w="260" w:type="dxa"/>
            <w:vAlign w:val="bottom"/>
          </w:tcPr>
          <w:p>
            <w:pPr>
              <w:spacing w:after="0"/>
              <w:rPr>
                <w:sz w:val="13"/>
                <w:szCs w:val="13"/>
                <w:color w:val="auto"/>
              </w:rPr>
            </w:pPr>
          </w:p>
        </w:tc>
        <w:tc>
          <w:tcPr>
            <w:tcW w:w="1220" w:type="dxa"/>
            <w:vAlign w:val="bottom"/>
          </w:tcPr>
          <w:p>
            <w:pPr>
              <w:jc w:val="right"/>
              <w:ind w:right="299"/>
              <w:spacing w:after="0" w:line="150" w:lineRule="exact"/>
              <w:rPr>
                <w:sz w:val="20"/>
                <w:szCs w:val="20"/>
                <w:color w:val="auto"/>
              </w:rPr>
            </w:pPr>
            <w:r>
              <w:rPr>
                <w:rFonts w:ascii="Calibri" w:cs="Calibri" w:eastAsia="Calibri" w:hAnsi="Calibri"/>
                <w:sz w:val="16"/>
                <w:szCs w:val="16"/>
                <w:b w:val="1"/>
                <w:bCs w:val="1"/>
                <w:color w:val="auto"/>
              </w:rPr>
              <w:t>October 1,</w:t>
            </w:r>
          </w:p>
        </w:tc>
      </w:tr>
      <w:tr>
        <w:trPr>
          <w:trHeight w:val="193"/>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539"/>
              <w:spacing w:after="0" w:line="193"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499"/>
              <w:spacing w:after="0" w:line="193" w:lineRule="exact"/>
              <w:rPr>
                <w:sz w:val="20"/>
                <w:szCs w:val="20"/>
                <w:color w:val="auto"/>
              </w:rPr>
            </w:pPr>
            <w:r>
              <w:rPr>
                <w:rFonts w:ascii="Calibri" w:cs="Calibri" w:eastAsia="Calibri" w:hAnsi="Calibri"/>
                <w:sz w:val="16"/>
                <w:szCs w:val="16"/>
                <w:b w:val="1"/>
                <w:bCs w:val="1"/>
                <w:color w:val="auto"/>
              </w:rPr>
              <w:t>2023</w:t>
            </w:r>
          </w:p>
        </w:tc>
      </w:tr>
      <w:tr>
        <w:trPr>
          <w:trHeight w:val="28"/>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6"/>
        </w:trPr>
        <w:tc>
          <w:tcPr>
            <w:tcW w:w="808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2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52,997</w:t>
            </w:r>
          </w:p>
        </w:tc>
        <w:tc>
          <w:tcPr>
            <w:tcW w:w="100" w:type="dxa"/>
            <w:vAlign w:val="bottom"/>
          </w:tcPr>
          <w:p>
            <w:pPr>
              <w:spacing w:after="0"/>
              <w:rPr>
                <w:sz w:val="16"/>
                <w:szCs w:val="16"/>
                <w:color w:val="auto"/>
              </w:rPr>
            </w:pPr>
          </w:p>
        </w:tc>
        <w:tc>
          <w:tcPr>
            <w:tcW w:w="26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w w:val="97"/>
              </w:rPr>
              <w:t>$</w:t>
            </w: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46,646</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Reconciliaton to cash fows:</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Depreciaton and amortzaton</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19,256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14,506</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Change in fair value of earnout liability</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684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Operatng leases</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1,607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1,115</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Gain on deferred compensaton assets</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(833)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(48)</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Stock compensaton expense</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3,299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2,219</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Other</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Changes in operatng accounts providing (using) cash:</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Trade receivables</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616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4,909</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Inventories</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(6,403)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20,752</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Accounts payable</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(4,218)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6,421</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Accrued liabilites</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(7,285)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(7,149)</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Lease liabilites</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(1,624)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(1,127)</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Income taxes</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341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990</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Other</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811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3,430</w:t>
            </w:r>
          </w:p>
        </w:tc>
      </w:tr>
      <w:tr>
        <w:trPr>
          <w:trHeight w:val="187"/>
        </w:trPr>
        <w:tc>
          <w:tcPr>
            <w:tcW w:w="8080" w:type="dxa"/>
            <w:vAlign w:val="bottom"/>
          </w:tcPr>
          <w:p>
            <w:pPr>
              <w:ind w:left="1440"/>
              <w:spacing w:after="0" w:line="174" w:lineRule="exact"/>
              <w:rPr>
                <w:sz w:val="20"/>
                <w:szCs w:val="20"/>
                <w:color w:val="auto"/>
              </w:rPr>
            </w:pPr>
            <w:r>
              <w:rPr>
                <w:rFonts w:ascii="Calibri" w:cs="Calibri" w:eastAsia="Calibri" w:hAnsi="Calibri"/>
                <w:sz w:val="16"/>
                <w:szCs w:val="16"/>
                <w:color w:val="auto"/>
              </w:rPr>
              <w:t>Net cash provided by operatng actvites</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59,216</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92,630</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FLOWS FROM INVESTING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Purchases of property, plant, and equipment</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(21,286)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(16,922)</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Acquisitons</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(25,400)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(3,355)</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Other</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357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335</w:t>
            </w:r>
          </w:p>
        </w:tc>
      </w:tr>
      <w:tr>
        <w:trPr>
          <w:trHeight w:val="23"/>
        </w:trPr>
        <w:tc>
          <w:tcPr>
            <w:tcW w:w="8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0"/>
        </w:trPr>
        <w:tc>
          <w:tcPr>
            <w:tcW w:w="808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used in investng actvites</w:t>
            </w: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(46,329)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(19,942)</w:t>
            </w:r>
          </w:p>
        </w:tc>
      </w:tr>
      <w:tr>
        <w:trPr>
          <w:trHeight w:val="193"/>
        </w:trPr>
        <w:tc>
          <w:tcPr>
            <w:tcW w:w="8080" w:type="dxa"/>
            <w:vAlign w:val="bottom"/>
          </w:tcPr>
          <w:p>
            <w:pPr>
              <w:ind w:left="20"/>
              <w:spacing w:after="0" w:line="193" w:lineRule="exact"/>
              <w:rPr>
                <w:sz w:val="20"/>
                <w:szCs w:val="20"/>
                <w:color w:val="auto"/>
              </w:rPr>
            </w:pPr>
            <w:r>
              <w:rPr>
                <w:rFonts w:ascii="Calibri" w:cs="Calibri" w:eastAsia="Calibri" w:hAnsi="Calibri"/>
                <w:sz w:val="16"/>
                <w:szCs w:val="16"/>
                <w:color w:val="auto"/>
              </w:rPr>
              <w:t>CASH FLOWS FROM FINANCING ACTIVITIES: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dividends declared and paid</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(7,121)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(6,535)</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New shares issued</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1,297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1,147</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Payroll taxes paid in exchange for shares withheld</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(2,140)</w:t>
            </w:r>
          </w:p>
        </w:tc>
      </w:tr>
      <w:tr>
        <w:trPr>
          <w:trHeight w:val="194"/>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Shares repurchased</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(9,149)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(9,752)</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Payments on revolving loan</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(40,000)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(52,000)</w:t>
            </w:r>
          </w:p>
        </w:tc>
      </w:tr>
      <w:tr>
        <w:trPr>
          <w:trHeight w:val="194"/>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Proceeds from revolving loan borrowings</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45,000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23"/>
        </w:trPr>
        <w:tc>
          <w:tcPr>
            <w:tcW w:w="8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9"/>
        </w:trPr>
        <w:tc>
          <w:tcPr>
            <w:tcW w:w="808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used in fnancing actvites</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(12,514)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(69,280)</w:t>
            </w:r>
          </w:p>
        </w:tc>
      </w:tr>
      <w:tr>
        <w:trPr>
          <w:trHeight w:val="187"/>
        </w:trPr>
        <w:tc>
          <w:tcPr>
            <w:tcW w:w="8080" w:type="dxa"/>
            <w:vAlign w:val="bottom"/>
          </w:tcPr>
          <w:p>
            <w:pPr>
              <w:ind w:left="20"/>
              <w:spacing w:after="0" w:line="174" w:lineRule="exact"/>
              <w:rPr>
                <w:sz w:val="20"/>
                <w:szCs w:val="20"/>
                <w:color w:val="auto"/>
              </w:rPr>
            </w:pPr>
            <w:r>
              <w:rPr>
                <w:rFonts w:ascii="Calibri" w:cs="Calibri" w:eastAsia="Calibri" w:hAnsi="Calibri"/>
                <w:sz w:val="16"/>
                <w:szCs w:val="16"/>
                <w:color w:val="auto"/>
              </w:rPr>
              <w:t>NET INCREASE IN CASH AND CASH EQUIVALENTS</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373</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3,408</w:t>
            </w:r>
          </w:p>
        </w:tc>
      </w:tr>
      <w:tr>
        <w:trPr>
          <w:trHeight w:val="22"/>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6"/>
        </w:trPr>
        <w:tc>
          <w:tcPr>
            <w:tcW w:w="80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AND CASH EQUIVALENTS, BEGINNING OF PERIOD</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7,153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7,566</w:t>
            </w:r>
          </w:p>
        </w:tc>
      </w:tr>
      <w:tr>
        <w:trPr>
          <w:trHeight w:val="187"/>
        </w:trPr>
        <w:tc>
          <w:tcPr>
            <w:tcW w:w="8080" w:type="dxa"/>
            <w:vAlign w:val="bottom"/>
          </w:tcPr>
          <w:p>
            <w:pPr>
              <w:ind w:left="20"/>
              <w:spacing w:after="0" w:line="174" w:lineRule="exact"/>
              <w:rPr>
                <w:sz w:val="20"/>
                <w:szCs w:val="20"/>
                <w:color w:val="auto"/>
              </w:rPr>
            </w:pPr>
            <w:r>
              <w:rPr>
                <w:rFonts w:ascii="Calibri" w:cs="Calibri" w:eastAsia="Calibri" w:hAnsi="Calibri"/>
                <w:sz w:val="16"/>
                <w:szCs w:val="16"/>
                <w:color w:val="auto"/>
              </w:rPr>
              <w:t>CASH AND CASH EQUIVALENTS, END OF PERIOD</w:t>
            </w:r>
          </w:p>
        </w:tc>
        <w:tc>
          <w:tcPr>
            <w:tcW w:w="200" w:type="dxa"/>
            <w:vAlign w:val="bottom"/>
            <w:tcBorders>
              <w:top w:val="single" w:sz="8" w:color="auto"/>
            </w:tcBorders>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13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7,526</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line="187" w:lineRule="exact"/>
              <w:rPr>
                <w:sz w:val="20"/>
                <w:szCs w:val="20"/>
                <w:color w:val="auto"/>
              </w:rPr>
            </w:pPr>
            <w:r>
              <w:rPr>
                <w:rFonts w:ascii="Calibri" w:cs="Calibri" w:eastAsia="Calibri" w:hAnsi="Calibri"/>
                <w:sz w:val="16"/>
                <w:szCs w:val="16"/>
                <w:color w:val="auto"/>
                <w:w w:val="97"/>
              </w:rPr>
              <w:t>$</w:t>
            </w:r>
          </w:p>
        </w:tc>
        <w:tc>
          <w:tcPr>
            <w:tcW w:w="12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10,974</w:t>
            </w:r>
          </w:p>
        </w:tc>
      </w:tr>
      <w:tr>
        <w:trPr>
          <w:trHeight w:val="23"/>
        </w:trPr>
        <w:tc>
          <w:tcPr>
            <w:tcW w:w="8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8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94"/>
        </w:trPr>
        <w:tc>
          <w:tcPr>
            <w:tcW w:w="8080" w:type="dxa"/>
            <w:vAlign w:val="bottom"/>
          </w:tcPr>
          <w:p>
            <w:pPr>
              <w:ind w:left="20"/>
              <w:spacing w:after="0" w:line="193" w:lineRule="exact"/>
              <w:rPr>
                <w:sz w:val="20"/>
                <w:szCs w:val="20"/>
                <w:color w:val="auto"/>
              </w:rPr>
            </w:pPr>
            <w:r>
              <w:rPr>
                <w:rFonts w:ascii="Calibri" w:cs="Calibri" w:eastAsia="Calibri" w:hAnsi="Calibri"/>
                <w:sz w:val="16"/>
                <w:szCs w:val="16"/>
                <w:color w:val="auto"/>
              </w:rPr>
              <w:t>SUPPLEMENTAL DISCLOSURES OF CASH FLOW INFORMATION</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paid for income taxes</w:t>
            </w:r>
          </w:p>
        </w:tc>
        <w:tc>
          <w:tcPr>
            <w:tcW w:w="20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18,340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w w:val="97"/>
              </w:rPr>
              <w:t>$</w:t>
            </w: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16,025</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Cash paid for interest</w:t>
            </w:r>
          </w:p>
        </w:tc>
        <w:tc>
          <w:tcPr>
            <w:tcW w:w="2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2,923</w:t>
            </w:r>
          </w:p>
        </w:tc>
        <w:tc>
          <w:tcPr>
            <w:tcW w:w="100" w:type="dxa"/>
            <w:vAlign w:val="bottom"/>
          </w:tcPr>
          <w:p>
            <w:pPr>
              <w:spacing w:after="0"/>
              <w:rPr>
                <w:sz w:val="16"/>
                <w:szCs w:val="16"/>
                <w:color w:val="auto"/>
              </w:rPr>
            </w:pPr>
          </w:p>
        </w:tc>
        <w:tc>
          <w:tcPr>
            <w:tcW w:w="26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w w:val="97"/>
              </w:rPr>
              <w:t>$</w:t>
            </w: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2,002</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4"/>
        </w:trPr>
        <w:tc>
          <w:tcPr>
            <w:tcW w:w="8080" w:type="dxa"/>
            <w:vAlign w:val="bottom"/>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Noncash investng actvites - capital expenditures in accounts payable</w:t>
            </w:r>
          </w:p>
        </w:tc>
        <w:tc>
          <w:tcPr>
            <w:tcW w:w="200" w:type="dxa"/>
            <w:vAlign w:val="bottom"/>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38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1,094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w w:val="97"/>
              </w:rPr>
              <w:t>$</w:t>
            </w:r>
          </w:p>
        </w:tc>
        <w:tc>
          <w:tcPr>
            <w:tcW w:w="122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2,970</w:t>
            </w:r>
          </w:p>
        </w:tc>
      </w:tr>
      <w:tr>
        <w:trPr>
          <w:trHeight w:val="23"/>
        </w:trPr>
        <w:tc>
          <w:tcPr>
            <w:tcW w:w="8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882" w:right="339" w:bottom="1440" w:gutter="0" w:footer="0" w:header="0"/>
        </w:sectPr>
      </w:pPr>
    </w:p>
    <w:bookmarkStart w:id="9" w:name="page10"/>
    <w:bookmarkEnd w:id="9"/>
    <w:p>
      <w:pPr>
        <w:jc w:val="center"/>
        <w:ind w:right="20"/>
        <w:spacing w:after="0"/>
        <w:rPr>
          <w:sz w:val="20"/>
          <w:szCs w:val="20"/>
          <w:color w:val="auto"/>
        </w:rPr>
      </w:pPr>
      <w:r>
        <w:rPr>
          <w:rFonts w:ascii="Calibri" w:cs="Calibri" w:eastAsia="Calibri" w:hAnsi="Calibri"/>
          <w:sz w:val="18"/>
          <w:szCs w:val="18"/>
          <w:b w:val="1"/>
          <w:bCs w:val="1"/>
          <w:color w:val="auto"/>
        </w:rPr>
        <w:t>HAWKINS,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REPORTABLE SEGMENTS (UNAUDITED)</w:t>
      </w:r>
    </w:p>
    <w:p>
      <w:pPr>
        <w:jc w:val="center"/>
        <w:ind w:right="20"/>
        <w:spacing w:after="0" w:line="233" w:lineRule="auto"/>
        <w:rPr>
          <w:sz w:val="20"/>
          <w:szCs w:val="20"/>
          <w:color w:val="auto"/>
        </w:rPr>
      </w:pPr>
      <w:r>
        <w:rPr>
          <w:rFonts w:ascii="Calibri" w:cs="Calibri" w:eastAsia="Calibri" w:hAnsi="Calibri"/>
          <w:sz w:val="14"/>
          <w:szCs w:val="14"/>
          <w:b w:val="1"/>
          <w:b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Calibri" w:cs="Calibri" w:eastAsia="Calibri" w:hAnsi="Calibri"/>
                <w:sz w:val="18"/>
                <w:szCs w:val="18"/>
                <w:b w:val="1"/>
                <w:bCs w:val="1"/>
                <w:color w:val="auto"/>
                <w:w w:val="97"/>
              </w:rPr>
              <w:t>Water</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360"/>
              <w:spacing w:after="0" w:line="215" w:lineRule="exact"/>
              <w:rPr>
                <w:sz w:val="20"/>
                <w:szCs w:val="20"/>
                <w:color w:val="auto"/>
              </w:rPr>
            </w:pPr>
            <w:r>
              <w:rPr>
                <w:rFonts w:ascii="Calibri" w:cs="Calibri" w:eastAsia="Calibri" w:hAnsi="Calibri"/>
                <w:sz w:val="18"/>
                <w:szCs w:val="18"/>
                <w:b w:val="1"/>
                <w:bCs w:val="1"/>
                <w:color w:val="auto"/>
                <w:w w:val="93"/>
              </w:rPr>
              <w:t>Treatment</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Industrial</w:t>
            </w:r>
          </w:p>
        </w:tc>
        <w:tc>
          <w:tcPr>
            <w:tcW w:w="180" w:type="dxa"/>
            <w:vAlign w:val="bottom"/>
          </w:tcPr>
          <w:p>
            <w:pPr>
              <w:spacing w:after="0"/>
              <w:rPr>
                <w:sz w:val="19"/>
                <w:szCs w:val="19"/>
                <w:color w:val="auto"/>
              </w:rPr>
            </w:pPr>
          </w:p>
        </w:tc>
        <w:tc>
          <w:tcPr>
            <w:tcW w:w="1280" w:type="dxa"/>
            <w:vAlign w:val="bottom"/>
            <w:gridSpan w:val="2"/>
          </w:tcPr>
          <w:p>
            <w:pPr>
              <w:jc w:val="center"/>
              <w:ind w:right="32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5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240" w:type="dxa"/>
            <w:vAlign w:val="bottom"/>
            <w:shd w:val="clear" w:color="auto" w:fill="CCEEFF"/>
          </w:tcPr>
          <w:p>
            <w:pPr>
              <w:spacing w:after="0" w:line="195" w:lineRule="exact"/>
              <w:rPr>
                <w:sz w:val="20"/>
                <w:szCs w:val="20"/>
                <w:color w:val="auto"/>
              </w:rPr>
            </w:pPr>
            <w:r>
              <w:rPr>
                <w:rFonts w:ascii="Calibri" w:cs="Calibri" w:eastAsia="Calibri" w:hAnsi="Calibri"/>
                <w:sz w:val="18"/>
                <w:szCs w:val="18"/>
                <w:color w:val="auto"/>
              </w:rPr>
              <w:t>Three months ended September 29, 2024: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2"/>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Sales</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124,528</w:t>
            </w:r>
          </w:p>
        </w:tc>
        <w:tc>
          <w:tcPr>
            <w:tcW w:w="140" w:type="dxa"/>
            <w:vAlign w:val="bottom"/>
          </w:tcPr>
          <w:p>
            <w:pPr>
              <w:spacing w:after="0"/>
              <w:rPr>
                <w:sz w:val="19"/>
                <w:szCs w:val="19"/>
                <w:color w:val="auto"/>
              </w:rPr>
            </w:pP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89,936</w:t>
            </w:r>
          </w:p>
        </w:tc>
        <w:tc>
          <w:tcPr>
            <w:tcW w:w="10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32,565</w:t>
            </w:r>
          </w:p>
        </w:tc>
        <w:tc>
          <w:tcPr>
            <w:tcW w:w="14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247,029</w:t>
            </w: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Gross proft</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35,590</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18,268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6,364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60,222</w:t>
            </w:r>
          </w:p>
        </w:tc>
      </w:tr>
      <w:tr>
        <w:trPr>
          <w:trHeight w:val="222"/>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15,512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6,952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4,013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26,477</w:t>
            </w: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Operatng income</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20,078</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11,316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2,351</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33,745</w:t>
            </w:r>
          </w:p>
        </w:tc>
      </w:tr>
      <w:tr>
        <w:trPr>
          <w:trHeight w:val="222"/>
        </w:trPr>
        <w:tc>
          <w:tcPr>
            <w:tcW w:w="5240" w:type="dxa"/>
            <w:vAlign w:val="bottom"/>
          </w:tcPr>
          <w:p>
            <w:pPr>
              <w:spacing w:after="0" w:line="215" w:lineRule="exact"/>
              <w:rPr>
                <w:sz w:val="20"/>
                <w:szCs w:val="20"/>
                <w:color w:val="auto"/>
              </w:rPr>
            </w:pPr>
            <w:r>
              <w:rPr>
                <w:rFonts w:ascii="Calibri" w:cs="Calibri" w:eastAsia="Calibri" w:hAnsi="Calibri"/>
                <w:sz w:val="18"/>
                <w:szCs w:val="18"/>
                <w:color w:val="auto"/>
              </w:rPr>
              <w:t>Three months ended October 1, 2023:</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Sales</w:t>
            </w: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100,925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98,535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37,066</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236,526</w:t>
            </w:r>
          </w:p>
        </w:tc>
      </w:tr>
      <w:tr>
        <w:trPr>
          <w:trHeight w:val="222"/>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Gross proft</w:t>
            </w: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29,308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17,844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6,734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53,886</w:t>
            </w: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10,145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6,806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3,944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20,895</w:t>
            </w:r>
          </w:p>
        </w:tc>
      </w:tr>
      <w:tr>
        <w:trPr>
          <w:trHeight w:val="222"/>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Operatng income</w:t>
            </w: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19,163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11,038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2,790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32,991</w:t>
            </w:r>
          </w:p>
        </w:tc>
      </w:tr>
      <w:tr>
        <w:trPr>
          <w:trHeight w:val="237"/>
        </w:trPr>
        <w:tc>
          <w:tcPr>
            <w:tcW w:w="5240" w:type="dxa"/>
            <w:vAlign w:val="bottom"/>
            <w:shd w:val="clear" w:color="auto" w:fill="CCEEFF"/>
          </w:tcPr>
          <w:p>
            <w:pPr>
              <w:spacing w:after="0"/>
              <w:rPr>
                <w:sz w:val="20"/>
                <w:szCs w:val="20"/>
                <w:color w:val="auto"/>
              </w:rPr>
            </w:pPr>
            <w:r>
              <w:rPr>
                <w:rFonts w:ascii="Calibri" w:cs="Calibri" w:eastAsia="Calibri" w:hAnsi="Calibri"/>
                <w:sz w:val="18"/>
                <w:szCs w:val="18"/>
                <w:color w:val="auto"/>
              </w:rPr>
              <w:t>Six months ended September 29, 2024:</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2"/>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Sales</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241,704</w:t>
            </w:r>
          </w:p>
        </w:tc>
        <w:tc>
          <w:tcPr>
            <w:tcW w:w="140" w:type="dxa"/>
            <w:vAlign w:val="bottom"/>
          </w:tcPr>
          <w:p>
            <w:pPr>
              <w:spacing w:after="0"/>
              <w:rPr>
                <w:sz w:val="19"/>
                <w:szCs w:val="19"/>
                <w:color w:val="auto"/>
              </w:rPr>
            </w:pP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193,138</w:t>
            </w:r>
          </w:p>
        </w:tc>
        <w:tc>
          <w:tcPr>
            <w:tcW w:w="10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68,066</w:t>
            </w:r>
          </w:p>
        </w:tc>
        <w:tc>
          <w:tcPr>
            <w:tcW w:w="14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502,908</w:t>
            </w: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Gross proft</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70,545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40,144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14,188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124,877</w:t>
            </w:r>
          </w:p>
        </w:tc>
      </w:tr>
      <w:tr>
        <w:trPr>
          <w:trHeight w:val="222"/>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29,678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13,591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8,072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51,341</w:t>
            </w: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Operatng income</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40,867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26,553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6,116</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73,536</w:t>
            </w:r>
          </w:p>
        </w:tc>
      </w:tr>
      <w:tr>
        <w:trPr>
          <w:trHeight w:val="222"/>
        </w:trPr>
        <w:tc>
          <w:tcPr>
            <w:tcW w:w="5240" w:type="dxa"/>
            <w:vAlign w:val="bottom"/>
          </w:tcPr>
          <w:p>
            <w:pPr>
              <w:spacing w:after="0" w:line="215" w:lineRule="exact"/>
              <w:rPr>
                <w:sz w:val="20"/>
                <w:szCs w:val="20"/>
                <w:color w:val="auto"/>
              </w:rPr>
            </w:pPr>
            <w:r>
              <w:rPr>
                <w:rFonts w:ascii="Calibri" w:cs="Calibri" w:eastAsia="Calibri" w:hAnsi="Calibri"/>
                <w:sz w:val="18"/>
                <w:szCs w:val="18"/>
                <w:color w:val="auto"/>
              </w:rPr>
              <w:t>Six months ended October 1, 2023:</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Sales</w:t>
            </w: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194,576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219,408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73,662</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487,646</w:t>
            </w:r>
          </w:p>
        </w:tc>
      </w:tr>
      <w:tr>
        <w:trPr>
          <w:trHeight w:val="222"/>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Gross proft</w:t>
            </w: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55,716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37,150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13,011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105,877</w:t>
            </w: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19,271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13,381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7,747</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40,399</w:t>
            </w:r>
          </w:p>
        </w:tc>
      </w:tr>
      <w:tr>
        <w:trPr>
          <w:trHeight w:val="215"/>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Operatng income</w:t>
            </w:r>
          </w:p>
        </w:tc>
        <w:tc>
          <w:tcPr>
            <w:tcW w:w="20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36,445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23,769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5,264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65,478</w:t>
            </w:r>
          </w:p>
        </w:tc>
      </w:tr>
    </w:tbl>
    <w:p>
      <w:pPr>
        <w:sectPr>
          <w:pgSz w:w="11900" w:h="16838" w:orient="portrait"/>
          <w:cols w:equalWidth="0" w:num="1">
            <w:col w:w="10940"/>
          </w:cols>
          <w:pgMar w:left="480" w:top="882" w:right="479" w:bottom="1440" w:gutter="0" w:footer="0" w:header="0"/>
        </w:sectPr>
      </w:pPr>
    </w:p>
    <w:bookmarkStart w:id="10" w:name="page11"/>
    <w:bookmarkEnd w:id="10"/>
    <w:p>
      <w:pPr>
        <w:spacing w:after="0" w:line="230" w:lineRule="auto"/>
        <w:rPr>
          <w:rFonts w:ascii="Calibri" w:cs="Calibri" w:eastAsia="Calibri" w:hAnsi="Calibri"/>
          <w:sz w:val="17"/>
          <w:szCs w:val="17"/>
          <w:color w:val="0000FF"/>
        </w:rPr>
      </w:pPr>
      <w:r>
        <w:rPr>
          <w:rFonts w:ascii="Calibri" w:cs="Calibri" w:eastAsia="Calibri" w:hAnsi="Calibri"/>
          <w:sz w:val="17"/>
          <w:szCs w:val="17"/>
          <w:u w:val="single" w:color="auto"/>
          <w:color w:val="auto"/>
        </w:rPr>
        <w:t>Forward-Looking Statements</w:t>
      </w:r>
      <w:r>
        <w:rPr>
          <w:rFonts w:ascii="Calibri" w:cs="Calibri" w:eastAsia="Calibri" w:hAnsi="Calibri"/>
          <w:sz w:val="17"/>
          <w:szCs w:val="17"/>
          <w:color w:val="auto"/>
        </w:rPr>
        <w:t xml:space="preserve">. Various remarks in this press release consttute forward-looking statements within the meaning of Secton 27A of the Securites Act of 1933, as amended, and Secton 21E of the Securites Exchange Act of 1934, as amended. These statements include those relatng to consumer demand for products containing our ingredients and the impacts of those demands, expectatons for results in our business segments and the tming of our flings with the Securites and Exchange Commission. These statements are not historical facts, but rather are based on our current expectatons, estmates and projectons, and our beliefs and assumptons. Forward-looking statements may be identfed by terms, including “antcipate,” “believe,” “can,” “could,” “expect,” “intend,” “may,” “predict,” “should,” or “will” or the negatve of these terms or other comparable terms. These statements are not guarantees of future performance and are subject to certain risks, uncertaintes and other factors, some of which are beyond our control and are difcult to predict. Actual results may vary materially from those contained in forward looking statements based on a number of factors, including, but not limited to, changes in competton and price pressures, changes in demand and customer requirements or processes for our products, availability of product and disruptons to supplies, interruptons in producton resultng from hazards, transportaton limitatons or other extraordinary events outside our control that may negatvely impact our business or the supply chains in which we partcipate, changes in imported products and tarif levels, the availability of products and the prices at which they are available, the acceptance of new products by our customers and the tming of any such acceptance, and changes in product supplies. </w:t>
      </w:r>
      <w:hyperlink r:id="rId11">
        <w:r>
          <w:rPr>
            <w:rFonts w:ascii="Calibri" w:cs="Calibri" w:eastAsia="Calibri" w:hAnsi="Calibri"/>
            <w:sz w:val="17"/>
            <w:szCs w:val="17"/>
            <w:color w:val="auto"/>
          </w:rPr>
          <w:t xml:space="preserve">Additonal informaton concerning potental factors that could afect future fnancial results is included in our </w:t>
        </w:r>
        <w:r>
          <w:rPr>
            <w:rFonts w:ascii="Calibri" w:cs="Calibri" w:eastAsia="Calibri" w:hAnsi="Calibri"/>
            <w:sz w:val="17"/>
            <w:szCs w:val="17"/>
            <w:u w:val="single" w:color="auto"/>
            <w:color w:val="0000FF"/>
          </w:rPr>
          <w:t>Annual Report on Form 10-K for the fscal year</w:t>
        </w:r>
      </w:hyperlink>
      <w:r>
        <w:rPr>
          <w:rFonts w:ascii="Calibri" w:cs="Calibri" w:eastAsia="Calibri" w:hAnsi="Calibri"/>
          <w:sz w:val="17"/>
          <w:szCs w:val="17"/>
          <w:color w:val="auto"/>
        </w:rPr>
        <w:t xml:space="preserve"> </w:t>
      </w:r>
      <w:hyperlink r:id="rId11">
        <w:r>
          <w:rPr>
            <w:rFonts w:ascii="Calibri" w:cs="Calibri" w:eastAsia="Calibri" w:hAnsi="Calibri"/>
            <w:sz w:val="17"/>
            <w:szCs w:val="17"/>
            <w:u w:val="single" w:color="auto"/>
            <w:color w:val="0000FF"/>
          </w:rPr>
          <w:t>ended March 31, 2024</w:t>
        </w:r>
        <w:r>
          <w:rPr>
            <w:rFonts w:ascii="Calibri" w:cs="Calibri" w:eastAsia="Calibri" w:hAnsi="Calibri"/>
            <w:sz w:val="17"/>
            <w:szCs w:val="17"/>
            <w:color w:val="000000"/>
          </w:rPr>
          <w:t>, as updated from tme to tme in amendments and subsequent reports fled with the SEC. Investors should take such risks into account</w:t>
        </w:r>
      </w:hyperlink>
      <w:r>
        <w:rPr>
          <w:rFonts w:ascii="Calibri" w:cs="Calibri" w:eastAsia="Calibri" w:hAnsi="Calibri"/>
          <w:sz w:val="17"/>
          <w:szCs w:val="17"/>
          <w:color w:val="0000FF"/>
        </w:rPr>
        <w:t xml:space="preserve"> </w:t>
      </w:r>
      <w:r>
        <w:rPr>
          <w:rFonts w:ascii="Calibri" w:cs="Calibri" w:eastAsia="Calibri" w:hAnsi="Calibri"/>
          <w:sz w:val="17"/>
          <w:szCs w:val="17"/>
          <w:color w:val="000000"/>
        </w:rPr>
        <w:t>when making investment decisions. Shareholders and other readers are cautoned not to place undue reliance on forward-looking statements, which refect our management’s view only as of the date hereof. We do not undertake any obligaton to update any forward-looking statements.</w:t>
      </w:r>
    </w:p>
    <w:p>
      <w:pPr>
        <w:spacing w:after="0" w:line="242" w:lineRule="exact"/>
        <w:rPr>
          <w:sz w:val="20"/>
          <w:szCs w:val="20"/>
          <w:color w:val="auto"/>
        </w:rPr>
      </w:pPr>
    </w:p>
    <w:p>
      <w:pPr>
        <w:spacing w:after="0"/>
        <w:tabs>
          <w:tab w:leader="none" w:pos="820" w:val="left"/>
        </w:tabs>
        <w:rPr>
          <w:sz w:val="20"/>
          <w:szCs w:val="20"/>
          <w:color w:val="auto"/>
        </w:rPr>
      </w:pPr>
      <w:r>
        <w:rPr>
          <w:rFonts w:ascii="Calibri" w:cs="Calibri" w:eastAsia="Calibri" w:hAnsi="Calibri"/>
          <w:sz w:val="18"/>
          <w:szCs w:val="18"/>
          <w:color w:val="auto"/>
        </w:rPr>
        <w:t>Contacts:</w:t>
      </w:r>
      <w:r>
        <w:rPr>
          <w:sz w:val="20"/>
          <w:szCs w:val="20"/>
          <w:color w:val="auto"/>
        </w:rPr>
        <w:tab/>
      </w:r>
      <w:r>
        <w:rPr>
          <w:rFonts w:ascii="Calibri" w:cs="Calibri" w:eastAsia="Calibri" w:hAnsi="Calibri"/>
          <w:sz w:val="17"/>
          <w:szCs w:val="17"/>
          <w:color w:val="auto"/>
        </w:rPr>
        <w:t>Jefrey P. Oldenkamp</w:t>
      </w:r>
    </w:p>
    <w:p>
      <w:pPr>
        <w:ind w:left="1300"/>
        <w:spacing w:after="0" w:line="221" w:lineRule="auto"/>
        <w:rPr>
          <w:sz w:val="20"/>
          <w:szCs w:val="20"/>
          <w:color w:val="auto"/>
        </w:rPr>
      </w:pPr>
      <w:r>
        <w:rPr>
          <w:rFonts w:ascii="Calibri" w:cs="Calibri" w:eastAsia="Calibri" w:hAnsi="Calibri"/>
          <w:sz w:val="18"/>
          <w:szCs w:val="18"/>
          <w:color w:val="auto"/>
        </w:rPr>
        <w:t>Executve Vice President and Chief Financial Ofcer</w:t>
      </w:r>
    </w:p>
    <w:p>
      <w:pPr>
        <w:ind w:left="1300"/>
        <w:spacing w:after="0" w:line="221" w:lineRule="auto"/>
        <w:rPr>
          <w:sz w:val="20"/>
          <w:szCs w:val="20"/>
          <w:color w:val="auto"/>
        </w:rPr>
      </w:pPr>
      <w:r>
        <w:rPr>
          <w:rFonts w:ascii="Calibri" w:cs="Calibri" w:eastAsia="Calibri" w:hAnsi="Calibri"/>
          <w:sz w:val="18"/>
          <w:szCs w:val="18"/>
          <w:color w:val="auto"/>
        </w:rPr>
        <w:t>612/331-6910</w:t>
      </w:r>
    </w:p>
    <w:p>
      <w:pPr>
        <w:ind w:left="1300"/>
        <w:spacing w:after="0" w:line="221" w:lineRule="auto"/>
        <w:rPr>
          <w:sz w:val="20"/>
          <w:szCs w:val="20"/>
          <w:color w:val="auto"/>
        </w:rPr>
      </w:pPr>
      <w:r>
        <w:rPr>
          <w:rFonts w:ascii="Calibri" w:cs="Calibri" w:eastAsia="Calibri" w:hAnsi="Calibri"/>
          <w:sz w:val="18"/>
          <w:szCs w:val="18"/>
          <w:u w:val="single" w:color="auto"/>
          <w:color w:val="auto"/>
        </w:rPr>
        <w:t>ir@HawkinsInc.com</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s://www.sec.gov/ix?doc=/Archives/edgar/data/46250/000004625024000013/hwkn-202403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2024-10-30T15:33:16Z</dcterms:created>
  <dcterms:modified xsi:type="dcterms:W3CDTF">2024-10-30T15:33:16Z</dcterms:modified>
</cp:coreProperties>
</file>